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D47C" w14:textId="77777777" w:rsidR="00BA1C07" w:rsidRDefault="00BA1C07" w:rsidP="00BA1C07">
      <w:pPr>
        <w:pStyle w:val="Heading2"/>
      </w:pPr>
      <w:r>
        <w:t>OFF</w:t>
      </w:r>
    </w:p>
    <w:p w14:paraId="30DCA1A4" w14:textId="77777777" w:rsidR="00BA1C07" w:rsidRDefault="00BA1C07" w:rsidP="00BA1C07">
      <w:pPr>
        <w:pStyle w:val="Heading3"/>
      </w:pPr>
      <w:r>
        <w:lastRenderedPageBreak/>
        <w:t>1NC---OFF</w:t>
      </w:r>
    </w:p>
    <w:p w14:paraId="1B31EF84" w14:textId="77777777" w:rsidR="00BA1C07" w:rsidRPr="00D75C25" w:rsidRDefault="00BA1C07" w:rsidP="00BA1C07">
      <w:r>
        <w:t>T</w:t>
      </w:r>
    </w:p>
    <w:p w14:paraId="65BE53BF" w14:textId="77777777" w:rsidR="00BA1C07" w:rsidRDefault="00BA1C07" w:rsidP="00BA1C07">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519FBA73" w14:textId="77777777" w:rsidR="00BA1C07" w:rsidRDefault="00BA1C07" w:rsidP="00BA1C07">
      <w:r w:rsidRPr="00D82BCA">
        <w:t> </w:t>
      </w:r>
    </w:p>
    <w:p w14:paraId="77C0B57A" w14:textId="77777777" w:rsidR="00BA1C07" w:rsidRDefault="00BA1C07" w:rsidP="00BA1C07">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36FEF225" w14:textId="77777777" w:rsidR="00BA1C07" w:rsidRDefault="00BA1C07" w:rsidP="00BA1C07"/>
    <w:p w14:paraId="6D9C53C6" w14:textId="77777777" w:rsidR="00BA1C07" w:rsidRDefault="00BA1C07" w:rsidP="00BA1C07">
      <w:pPr>
        <w:pStyle w:val="Heading4"/>
      </w:pPr>
      <w:bookmarkStart w:id="0" w:name="_Hlk187849549"/>
      <w:r>
        <w:t xml:space="preserve">“USFG” means the three branches. </w:t>
      </w:r>
    </w:p>
    <w:p w14:paraId="2146C712" w14:textId="77777777" w:rsidR="00BA1C07" w:rsidRPr="00E707BA" w:rsidRDefault="00BA1C07" w:rsidP="00BA1C07">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34FC5FF" w14:textId="77777777" w:rsidR="00BA1C07" w:rsidRPr="00E707BA" w:rsidRDefault="00BA1C07" w:rsidP="00BA1C07">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166B93EB" w14:textId="77777777" w:rsidR="00BA1C07" w:rsidRDefault="00BA1C07" w:rsidP="00BA1C07">
      <w:pPr>
        <w:rPr>
          <w:sz w:val="14"/>
        </w:rPr>
      </w:pPr>
      <w:r>
        <w:rPr>
          <w:sz w:val="14"/>
        </w:rPr>
        <w:br/>
      </w:r>
    </w:p>
    <w:p w14:paraId="38164E67" w14:textId="77777777" w:rsidR="00BA1C07" w:rsidRDefault="00BA1C07" w:rsidP="00BA1C07">
      <w:pPr>
        <w:pStyle w:val="Heading4"/>
      </w:pPr>
      <w:r>
        <w:t xml:space="preserve">Strengthening collective bargaining must </w:t>
      </w:r>
      <w:proofErr w:type="gramStart"/>
      <w:r>
        <w:t>increasing</w:t>
      </w:r>
      <w:proofErr w:type="gramEnd"/>
      <w:r>
        <w:t xml:space="preserve"> the incidence of agreements. </w:t>
      </w:r>
    </w:p>
    <w:p w14:paraId="4ACA8974" w14:textId="77777777" w:rsidR="00BA1C07" w:rsidRPr="009C4A76" w:rsidRDefault="00BA1C07" w:rsidP="00BA1C07">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5707FE48" w14:textId="77777777" w:rsidR="00BA1C07" w:rsidRPr="00B007FB" w:rsidRDefault="00BA1C07" w:rsidP="00BA1C07">
      <w:pPr>
        <w:rPr>
          <w:sz w:val="16"/>
        </w:rPr>
      </w:pPr>
      <w:r w:rsidRPr="00B007FB">
        <w:rPr>
          <w:sz w:val="16"/>
        </w:rPr>
        <w:t xml:space="preserve">In this paper I examine both claims, subjecting them to comparative scrutiny with </w:t>
      </w:r>
      <w:r w:rsidRPr="00A9119B">
        <w:rPr>
          <w:rStyle w:val="StyleUnderline"/>
        </w:rPr>
        <w:t>data from 32 advanced capitalist countries</w:t>
      </w:r>
      <w:r w:rsidRPr="00B007FB">
        <w:rPr>
          <w:sz w:val="16"/>
        </w:rPr>
        <w:t xml:space="preserve">. Do </w:t>
      </w:r>
      <w:r w:rsidRPr="00A9119B">
        <w:rPr>
          <w:rStyle w:val="StyleUnderline"/>
        </w:rPr>
        <w:t>we</w:t>
      </w:r>
      <w:r w:rsidRPr="00B007FB">
        <w:rPr>
          <w:sz w:val="16"/>
        </w:rPr>
        <w:t xml:space="preserve"> </w:t>
      </w:r>
      <w:r w:rsidRPr="00A9119B">
        <w:rPr>
          <w:rStyle w:val="StyleUnderline"/>
        </w:rPr>
        <w:t>observe</w:t>
      </w:r>
      <w:r w:rsidRPr="00B007FB">
        <w:rPr>
          <w:sz w:val="16"/>
        </w:rPr>
        <w:t xml:space="preserve">, </w:t>
      </w:r>
      <w:r w:rsidRPr="00A9119B">
        <w:rPr>
          <w:rStyle w:val="StyleUnderline"/>
        </w:rPr>
        <w:t>universally</w:t>
      </w:r>
      <w:r w:rsidRPr="00B007FB">
        <w:rPr>
          <w:sz w:val="16"/>
        </w:rPr>
        <w:t xml:space="preserve">, </w:t>
      </w:r>
      <w:r w:rsidRPr="00A9119B">
        <w:rPr>
          <w:rStyle w:val="StyleUnderline"/>
        </w:rPr>
        <w:t>the weakening of collective bargaining</w:t>
      </w:r>
      <w:r w:rsidRPr="00B007FB">
        <w:rPr>
          <w:sz w:val="16"/>
        </w:rPr>
        <w:t xml:space="preserve"> and expansion of employer discretion? Have employers everywhere and always worked to achieve this outcome or have employers and their </w:t>
      </w:r>
      <w:proofErr w:type="spellStart"/>
      <w:r w:rsidRPr="00B007FB">
        <w:rPr>
          <w:sz w:val="16"/>
        </w:rPr>
        <w:t>organisations</w:t>
      </w:r>
      <w:proofErr w:type="spellEnd"/>
      <w:r w:rsidRPr="00B007FB">
        <w:rPr>
          <w:sz w:val="16"/>
        </w:rPr>
        <w:t>, across and within countries, advocated different policies and defended collective bargaining and public policies promoting sectoral bargaining, as is claimed in some recent case studies (</w:t>
      </w:r>
      <w:proofErr w:type="spellStart"/>
      <w:r w:rsidRPr="00B007FB">
        <w:rPr>
          <w:sz w:val="16"/>
        </w:rPr>
        <w:t>Bulfone</w:t>
      </w:r>
      <w:proofErr w:type="spellEnd"/>
      <w:r w:rsidRPr="00B007FB">
        <w:rPr>
          <w:sz w:val="16"/>
        </w:rPr>
        <w:t xml:space="preserve"> &amp; Afonso, 2020; Kjellberg, 2022; Paster et al., 2020; Sanchez Mosuero, 2022).</w:t>
      </w:r>
    </w:p>
    <w:p w14:paraId="68B2F382" w14:textId="77777777" w:rsidR="00BA1C07" w:rsidRDefault="00BA1C07" w:rsidP="00BA1C07">
      <w:pPr>
        <w:rPr>
          <w:sz w:val="16"/>
          <w:szCs w:val="16"/>
        </w:rPr>
      </w:pPr>
      <w:r w:rsidRPr="00B007FB">
        <w:rPr>
          <w:sz w:val="16"/>
        </w:rPr>
        <w:t xml:space="preserve">The first part of the paper is dedicated to conceptually </w:t>
      </w:r>
      <w:r w:rsidRPr="00A9119B">
        <w:rPr>
          <w:rStyle w:val="StyleUnderline"/>
        </w:rPr>
        <w:t>defining</w:t>
      </w:r>
      <w:r w:rsidRPr="00B007FB">
        <w:rPr>
          <w:sz w:val="16"/>
        </w:rPr>
        <w:t xml:space="preserve"> and empirically measuring </w:t>
      </w:r>
      <w:r w:rsidRPr="00A9119B">
        <w:rPr>
          <w:rStyle w:val="StyleUnderline"/>
        </w:rPr>
        <w:t xml:space="preserve">the </w:t>
      </w:r>
      <w:r w:rsidRPr="00665078">
        <w:rPr>
          <w:rStyle w:val="Emphasis"/>
          <w:bCs/>
        </w:rPr>
        <w:t>weakening</w:t>
      </w:r>
      <w:r w:rsidRPr="00A9119B">
        <w:rPr>
          <w:rStyle w:val="StyleUnderline"/>
        </w:rPr>
        <w:t xml:space="preserve"> </w:t>
      </w:r>
      <w:r w:rsidRPr="00665078">
        <w:rPr>
          <w:rStyle w:val="Emphasis"/>
          <w:bCs/>
        </w:rPr>
        <w:t xml:space="preserve">of </w:t>
      </w:r>
      <w:r w:rsidRPr="009D54E8">
        <w:rPr>
          <w:rStyle w:val="Emphasis"/>
          <w:bCs/>
          <w:highlight w:val="green"/>
        </w:rPr>
        <w:t>collective bargaining</w:t>
      </w:r>
      <w:r w:rsidRPr="00B007FB">
        <w:rPr>
          <w:sz w:val="16"/>
        </w:rPr>
        <w:t xml:space="preserve">. ‘Before social facts can be “explained”, it is advisable to ensure that they </w:t>
      </w:r>
      <w:proofErr w:type="gramStart"/>
      <w:r w:rsidRPr="00B007FB">
        <w:rPr>
          <w:sz w:val="16"/>
        </w:rPr>
        <w:t>actually exist</w:t>
      </w:r>
      <w:proofErr w:type="gramEnd"/>
      <w:r w:rsidRPr="00B007FB">
        <w:rPr>
          <w:sz w:val="16"/>
        </w:rPr>
        <w:t xml:space="preserve">’, to cite a well‐known pronouncement of the sociologist Robert Merton (1959, p. xiii). My claim is that tor an assessment of collective bargaining as a commitment technology limiting employers' discretionary </w:t>
      </w:r>
      <w:proofErr w:type="gramStart"/>
      <w:r w:rsidRPr="00B007FB">
        <w:rPr>
          <w:sz w:val="16"/>
        </w:rPr>
        <w:t>power</w:t>
      </w:r>
      <w:proofErr w:type="gramEnd"/>
      <w:r w:rsidRPr="00B007FB">
        <w:rPr>
          <w:sz w:val="16"/>
        </w:rPr>
        <w:t xml:space="preserve"> we need three indicators. Besides coverage, I propose </w:t>
      </w:r>
      <w:proofErr w:type="spellStart"/>
      <w:r w:rsidRPr="009D54E8">
        <w:rPr>
          <w:rStyle w:val="Emphasis"/>
          <w:bCs/>
        </w:rPr>
        <w:t>centralisation</w:t>
      </w:r>
      <w:proofErr w:type="spellEnd"/>
      <w:r w:rsidRPr="00B007FB">
        <w:rPr>
          <w:sz w:val="16"/>
        </w:rPr>
        <w:t xml:space="preserve">, that </w:t>
      </w:r>
      <w:r w:rsidRPr="00A9119B">
        <w:rPr>
          <w:rStyle w:val="StyleUnderline"/>
        </w:rPr>
        <w:t xml:space="preserve">is the </w:t>
      </w:r>
      <w:r w:rsidRPr="00665078">
        <w:rPr>
          <w:rStyle w:val="Emphasis"/>
          <w:bCs/>
        </w:rPr>
        <w:t>degree</w:t>
      </w:r>
      <w:r w:rsidRPr="00A9119B">
        <w:rPr>
          <w:rStyle w:val="StyleUnderline"/>
        </w:rPr>
        <w:t xml:space="preserve"> </w:t>
      </w:r>
      <w:r w:rsidRPr="00665078">
        <w:rPr>
          <w:rStyle w:val="Emphasis"/>
          <w:bCs/>
        </w:rPr>
        <w:t>to which</w:t>
      </w:r>
      <w:r w:rsidRPr="00A9119B">
        <w:rPr>
          <w:rStyle w:val="StyleUnderline"/>
        </w:rPr>
        <w:t xml:space="preserve"> </w:t>
      </w:r>
      <w:r w:rsidRPr="00665078">
        <w:rPr>
          <w:rStyle w:val="Emphasis"/>
          <w:bCs/>
        </w:rPr>
        <w:t>bargaining</w:t>
      </w:r>
      <w:r w:rsidRPr="00A9119B">
        <w:rPr>
          <w:rStyle w:val="StyleUnderline"/>
        </w:rPr>
        <w:t xml:space="preserve"> is </w:t>
      </w:r>
      <w:r w:rsidRPr="00665078">
        <w:rPr>
          <w:rStyle w:val="Emphasis"/>
          <w:bCs/>
        </w:rPr>
        <w:t>conducted</w:t>
      </w:r>
      <w:r w:rsidRPr="00A9119B">
        <w:rPr>
          <w:rStyle w:val="StyleUnderline"/>
        </w:rPr>
        <w:t xml:space="preserve"> and authorized</w:t>
      </w:r>
      <w:r w:rsidRPr="00B007FB">
        <w:rPr>
          <w:sz w:val="16"/>
        </w:rPr>
        <w:t xml:space="preserve"> </w:t>
      </w:r>
      <w:r w:rsidRPr="00665078">
        <w:rPr>
          <w:rStyle w:val="Emphasis"/>
          <w:bCs/>
        </w:rPr>
        <w:t>by</w:t>
      </w:r>
      <w:r w:rsidRPr="00A9119B">
        <w:rPr>
          <w:rStyle w:val="StyleUnderline"/>
        </w:rPr>
        <w:t xml:space="preserve"> central or sectoral </w:t>
      </w:r>
      <w:r w:rsidRPr="00665078">
        <w:rPr>
          <w:rStyle w:val="Emphasis"/>
          <w:bCs/>
        </w:rPr>
        <w:t>union</w:t>
      </w:r>
      <w:r w:rsidRPr="00B007FB">
        <w:rPr>
          <w:sz w:val="16"/>
        </w:rPr>
        <w:t xml:space="preserve"> </w:t>
      </w:r>
      <w:r w:rsidRPr="00E75599">
        <w:rPr>
          <w:rStyle w:val="StyleUnderline"/>
        </w:rPr>
        <w:t>and employers' organizations</w:t>
      </w:r>
      <w:r w:rsidRPr="00B007FB">
        <w:rPr>
          <w:sz w:val="16"/>
        </w:rPr>
        <w:t xml:space="preserve">, </w:t>
      </w:r>
      <w:r w:rsidRPr="00665078">
        <w:rPr>
          <w:rStyle w:val="Emphasis"/>
          <w:bCs/>
        </w:rPr>
        <w:t>and</w:t>
      </w:r>
      <w:r w:rsidRPr="00E75599">
        <w:rPr>
          <w:rStyle w:val="StyleUnderline"/>
        </w:rPr>
        <w:t xml:space="preserve"> </w:t>
      </w:r>
      <w:r w:rsidRPr="00665078">
        <w:rPr>
          <w:rStyle w:val="Emphasis"/>
          <w:bCs/>
        </w:rPr>
        <w:t>control</w:t>
      </w:r>
      <w:r w:rsidRPr="00B007FB">
        <w:rPr>
          <w:sz w:val="16"/>
        </w:rPr>
        <w:t xml:space="preserve">, </w:t>
      </w:r>
      <w:r w:rsidRPr="00122391">
        <w:rPr>
          <w:rStyle w:val="StyleUnderline"/>
        </w:rPr>
        <w:t xml:space="preserve">that </w:t>
      </w:r>
      <w:r w:rsidRPr="00665078">
        <w:rPr>
          <w:rStyle w:val="Emphasis"/>
          <w:bCs/>
        </w:rPr>
        <w:t>is the</w:t>
      </w:r>
      <w:r w:rsidRPr="00122391">
        <w:rPr>
          <w:rStyle w:val="StyleUnderline"/>
        </w:rPr>
        <w:t xml:space="preserve"> </w:t>
      </w:r>
      <w:r w:rsidRPr="00665078">
        <w:rPr>
          <w:rStyle w:val="Emphasis"/>
          <w:bCs/>
        </w:rPr>
        <w:t>capacity</w:t>
      </w:r>
      <w:r w:rsidRPr="00122391">
        <w:rPr>
          <w:rStyle w:val="StyleUnderline"/>
        </w:rPr>
        <w:t xml:space="preserve"> </w:t>
      </w:r>
      <w:r w:rsidRPr="00665078">
        <w:rPr>
          <w:rStyle w:val="Emphasis"/>
          <w:bCs/>
        </w:rPr>
        <w:t>of unions to</w:t>
      </w:r>
      <w:r w:rsidRPr="00122391">
        <w:rPr>
          <w:rStyle w:val="StyleUnderline"/>
        </w:rPr>
        <w:t xml:space="preserve"> monitor and </w:t>
      </w:r>
      <w:r w:rsidRPr="00665078">
        <w:rPr>
          <w:rStyle w:val="Emphasis"/>
          <w:bCs/>
        </w:rPr>
        <w:t>enforce</w:t>
      </w:r>
      <w:r w:rsidRPr="00122391">
        <w:rPr>
          <w:rStyle w:val="StyleUnderline"/>
        </w:rPr>
        <w:t xml:space="preserve"> the </w:t>
      </w:r>
      <w:r w:rsidRPr="00665078">
        <w:rPr>
          <w:rStyle w:val="Emphasis"/>
          <w:bCs/>
        </w:rPr>
        <w:t>agreements</w:t>
      </w:r>
      <w:r w:rsidRPr="00122391">
        <w:rPr>
          <w:rStyle w:val="StyleUnderline"/>
        </w:rPr>
        <w:t xml:space="preserve"> they sign</w:t>
      </w:r>
      <w:r w:rsidRPr="00B007FB">
        <w:rPr>
          <w:sz w:val="16"/>
        </w:rPr>
        <w:t xml:space="preserve">. </w:t>
      </w:r>
      <w:r w:rsidRPr="009D54E8">
        <w:rPr>
          <w:rStyle w:val="Emphasis"/>
          <w:bCs/>
          <w:highlight w:val="green"/>
        </w:rPr>
        <w:t>Coverage</w:t>
      </w:r>
      <w:r w:rsidRPr="00B007FB">
        <w:rPr>
          <w:sz w:val="16"/>
        </w:rPr>
        <w:t xml:space="preserve"> </w:t>
      </w:r>
      <w:r w:rsidRPr="009D54E8">
        <w:rPr>
          <w:rStyle w:val="Emphasis"/>
          <w:bCs/>
          <w:highlight w:val="green"/>
        </w:rPr>
        <w:t>measures</w:t>
      </w:r>
      <w:r w:rsidRPr="00B007FB">
        <w:rPr>
          <w:sz w:val="16"/>
        </w:rPr>
        <w:t xml:space="preserve"> </w:t>
      </w:r>
      <w:r w:rsidRPr="009D54E8">
        <w:rPr>
          <w:rStyle w:val="StyleUnderline"/>
          <w:highlight w:val="green"/>
        </w:rPr>
        <w:t xml:space="preserve">the </w:t>
      </w:r>
      <w:r w:rsidRPr="009D54E8">
        <w:rPr>
          <w:rStyle w:val="Emphasis"/>
          <w:bCs/>
          <w:highlight w:val="green"/>
        </w:rPr>
        <w:t>incidence</w:t>
      </w:r>
      <w:r w:rsidRPr="009D54E8">
        <w:rPr>
          <w:rStyle w:val="StyleUnderline"/>
          <w:highlight w:val="green"/>
        </w:rPr>
        <w:t xml:space="preserve"> </w:t>
      </w:r>
      <w:r w:rsidRPr="009D54E8">
        <w:rPr>
          <w:rStyle w:val="Emphasis"/>
          <w:bCs/>
          <w:highlight w:val="green"/>
        </w:rPr>
        <w:t>of agreements</w:t>
      </w:r>
      <w:r w:rsidRPr="00122391">
        <w:rPr>
          <w:rStyle w:val="StyleUnderline"/>
        </w:rPr>
        <w:t xml:space="preserve"> </w:t>
      </w:r>
      <w:r w:rsidRPr="009D54E8">
        <w:rPr>
          <w:rStyle w:val="Emphasis"/>
          <w:bCs/>
          <w:highlight w:val="green"/>
        </w:rPr>
        <w:t>across</w:t>
      </w:r>
      <w:r w:rsidRPr="00122391">
        <w:rPr>
          <w:rStyle w:val="StyleUnderline"/>
        </w:rPr>
        <w:t xml:space="preserve"> </w:t>
      </w:r>
      <w:r w:rsidRPr="009D54E8">
        <w:rPr>
          <w:rStyle w:val="Emphasis"/>
          <w:bCs/>
          <w:highlight w:val="green"/>
        </w:rPr>
        <w:t>workers</w:t>
      </w:r>
      <w:r w:rsidRPr="00122391">
        <w:rPr>
          <w:rStyle w:val="StyleUnderline"/>
        </w:rPr>
        <w:t xml:space="preserve"> </w:t>
      </w:r>
      <w:r w:rsidRPr="009D54E8">
        <w:rPr>
          <w:rStyle w:val="StyleUnderline"/>
          <w:highlight w:val="green"/>
        </w:rPr>
        <w:t xml:space="preserve">and </w:t>
      </w:r>
      <w:r w:rsidRPr="009D54E8">
        <w:rPr>
          <w:rStyle w:val="Emphasis"/>
          <w:bCs/>
          <w:highlight w:val="green"/>
        </w:rPr>
        <w:t>workplaces</w:t>
      </w:r>
      <w:r w:rsidRPr="00B007FB">
        <w:rPr>
          <w:sz w:val="16"/>
        </w:rPr>
        <w:t xml:space="preserve">, </w:t>
      </w:r>
      <w:proofErr w:type="spellStart"/>
      <w:r w:rsidRPr="00665078">
        <w:rPr>
          <w:rStyle w:val="StyleUnderline"/>
        </w:rPr>
        <w:t>centralisation</w:t>
      </w:r>
      <w:proofErr w:type="spellEnd"/>
      <w:r w:rsidRPr="00122391">
        <w:rPr>
          <w:rStyle w:val="StyleUnderline"/>
        </w:rPr>
        <w:t xml:space="preserve"> </w:t>
      </w:r>
      <w:r w:rsidRPr="009D54E8">
        <w:rPr>
          <w:rStyle w:val="Emphasis"/>
          <w:bCs/>
          <w:highlight w:val="green"/>
        </w:rPr>
        <w:t>whether</w:t>
      </w:r>
      <w:r w:rsidRPr="00122391">
        <w:rPr>
          <w:rStyle w:val="StyleUnderline"/>
        </w:rPr>
        <w:t xml:space="preserve"> </w:t>
      </w:r>
      <w:r w:rsidRPr="009D54E8">
        <w:rPr>
          <w:rStyle w:val="Emphasis"/>
          <w:bCs/>
          <w:highlight w:val="green"/>
        </w:rPr>
        <w:t>agreements</w:t>
      </w:r>
      <w:r w:rsidRPr="009D54E8">
        <w:rPr>
          <w:rStyle w:val="StyleUnderline"/>
          <w:highlight w:val="green"/>
        </w:rPr>
        <w:t xml:space="preserve"> </w:t>
      </w:r>
      <w:r w:rsidRPr="009D54E8">
        <w:rPr>
          <w:rStyle w:val="Emphasis"/>
          <w:bCs/>
          <w:highlight w:val="green"/>
        </w:rPr>
        <w:t>are</w:t>
      </w:r>
      <w:r w:rsidRPr="009D54E8">
        <w:rPr>
          <w:rStyle w:val="StyleUnderline"/>
          <w:highlight w:val="green"/>
        </w:rPr>
        <w:t xml:space="preserve"> </w:t>
      </w:r>
      <w:r w:rsidRPr="009D54E8">
        <w:rPr>
          <w:rStyle w:val="Emphasis"/>
          <w:bCs/>
          <w:highlight w:val="green"/>
        </w:rPr>
        <w:t>defined</w:t>
      </w:r>
      <w:r w:rsidRPr="00122391">
        <w:rPr>
          <w:rStyle w:val="StyleUnderline"/>
        </w:rPr>
        <w:t xml:space="preserve"> </w:t>
      </w:r>
      <w:r w:rsidRPr="009D54E8">
        <w:rPr>
          <w:rStyle w:val="StyleUnderline"/>
          <w:highlight w:val="green"/>
        </w:rPr>
        <w:t>and</w:t>
      </w:r>
      <w:r w:rsidRPr="00122391">
        <w:rPr>
          <w:rStyle w:val="StyleUnderline"/>
        </w:rPr>
        <w:t xml:space="preserve"> </w:t>
      </w:r>
      <w:r w:rsidRPr="009D54E8">
        <w:rPr>
          <w:rStyle w:val="StyleUnderline"/>
          <w:highlight w:val="green"/>
        </w:rPr>
        <w:t>bound</w:t>
      </w:r>
      <w:r w:rsidRPr="00122391">
        <w:rPr>
          <w:rStyle w:val="StyleUnderline"/>
        </w:rPr>
        <w:t xml:space="preserve"> </w:t>
      </w:r>
      <w:r w:rsidRPr="009D54E8">
        <w:rPr>
          <w:rStyle w:val="StyleUnderline"/>
          <w:highlight w:val="green"/>
        </w:rPr>
        <w:t>by rules</w:t>
      </w:r>
      <w:r w:rsidRPr="00122391">
        <w:rPr>
          <w:rStyle w:val="StyleUnderline"/>
        </w:rPr>
        <w:t xml:space="preserve"> </w:t>
      </w:r>
      <w:r w:rsidRPr="009D54E8">
        <w:rPr>
          <w:rStyle w:val="StyleUnderline"/>
          <w:highlight w:val="green"/>
        </w:rPr>
        <w:t>set</w:t>
      </w:r>
      <w:r w:rsidRPr="00122391">
        <w:rPr>
          <w:rStyle w:val="StyleUnderline"/>
        </w:rPr>
        <w:t xml:space="preserve"> </w:t>
      </w:r>
      <w:r w:rsidRPr="009D54E8">
        <w:rPr>
          <w:rStyle w:val="Emphasis"/>
          <w:bCs/>
          <w:highlight w:val="green"/>
        </w:rPr>
        <w:t>by</w:t>
      </w:r>
      <w:r w:rsidRPr="00122391">
        <w:rPr>
          <w:rStyle w:val="StyleUnderline"/>
        </w:rPr>
        <w:t xml:space="preserve"> </w:t>
      </w:r>
      <w:r w:rsidRPr="009D54E8">
        <w:rPr>
          <w:rStyle w:val="Emphasis"/>
          <w:bCs/>
          <w:highlight w:val="green"/>
        </w:rPr>
        <w:t>agents</w:t>
      </w:r>
      <w:r w:rsidRPr="00122391">
        <w:rPr>
          <w:rStyle w:val="StyleUnderline"/>
        </w:rPr>
        <w:t xml:space="preserve"> </w:t>
      </w:r>
      <w:r w:rsidRPr="009D54E8">
        <w:rPr>
          <w:rStyle w:val="Emphasis"/>
          <w:bCs/>
          <w:highlight w:val="green"/>
        </w:rPr>
        <w:t>at higher levels</w:t>
      </w:r>
      <w:r w:rsidRPr="00B007FB">
        <w:rPr>
          <w:sz w:val="16"/>
        </w:rPr>
        <w:t xml:space="preserve">, </w:t>
      </w:r>
      <w:r w:rsidRPr="009D54E8">
        <w:rPr>
          <w:rStyle w:val="Emphasis"/>
          <w:bCs/>
          <w:highlight w:val="green"/>
        </w:rPr>
        <w:t>and</w:t>
      </w:r>
      <w:r w:rsidRPr="00122391">
        <w:rPr>
          <w:rStyle w:val="StyleUnderline"/>
        </w:rPr>
        <w:t xml:space="preserve"> </w:t>
      </w:r>
      <w:r w:rsidRPr="009D54E8">
        <w:rPr>
          <w:rStyle w:val="Emphasis"/>
          <w:bCs/>
          <w:highlight w:val="green"/>
        </w:rPr>
        <w:t>control</w:t>
      </w:r>
      <w:r w:rsidRPr="00122391">
        <w:rPr>
          <w:rStyle w:val="StyleUnderline"/>
        </w:rPr>
        <w:t xml:space="preserve"> </w:t>
      </w:r>
      <w:r w:rsidRPr="009D54E8">
        <w:rPr>
          <w:rStyle w:val="Emphasis"/>
          <w:bCs/>
          <w:highlight w:val="green"/>
        </w:rPr>
        <w:t>whether</w:t>
      </w:r>
      <w:r w:rsidRPr="00122391">
        <w:rPr>
          <w:rStyle w:val="StyleUnderline"/>
        </w:rPr>
        <w:t xml:space="preserve"> these </w:t>
      </w:r>
      <w:r w:rsidRPr="009D54E8">
        <w:rPr>
          <w:rStyle w:val="Emphasis"/>
          <w:bCs/>
          <w:highlight w:val="green"/>
        </w:rPr>
        <w:t>rules</w:t>
      </w:r>
      <w:r w:rsidRPr="009D54E8">
        <w:rPr>
          <w:rStyle w:val="StyleUnderline"/>
          <w:highlight w:val="green"/>
        </w:rPr>
        <w:t xml:space="preserve"> are </w:t>
      </w:r>
      <w:r w:rsidRPr="009D54E8">
        <w:rPr>
          <w:rStyle w:val="Emphasis"/>
          <w:bCs/>
          <w:highlight w:val="green"/>
        </w:rPr>
        <w:t>enforced</w:t>
      </w:r>
      <w:r w:rsidRPr="00B007FB">
        <w:rPr>
          <w:sz w:val="16"/>
        </w:rPr>
        <w:t xml:space="preserve">. </w:t>
      </w:r>
      <w:proofErr w:type="spellStart"/>
      <w:r w:rsidRPr="00B007FB">
        <w:rPr>
          <w:sz w:val="16"/>
        </w:rPr>
        <w:t>Centralisation</w:t>
      </w:r>
      <w:proofErr w:type="spellEnd"/>
      <w:r w:rsidRPr="00B007FB">
        <w:rPr>
          <w:sz w:val="16"/>
        </w:rPr>
        <w:t xml:space="preserve"> relates to the input side, how unions and employers' associations set the agenda and supervise the process of bargaining, control is about output. Together these three </w:t>
      </w:r>
      <w:r w:rsidRPr="009D54E8">
        <w:rPr>
          <w:rStyle w:val="Emphasis"/>
          <w:bCs/>
          <w:highlight w:val="green"/>
        </w:rPr>
        <w:t>indicators</w:t>
      </w:r>
      <w:r w:rsidRPr="00B007FB">
        <w:rPr>
          <w:sz w:val="16"/>
        </w:rPr>
        <w:t xml:space="preserve"> </w:t>
      </w:r>
      <w:r w:rsidRPr="009D54E8">
        <w:rPr>
          <w:rStyle w:val="Emphasis"/>
          <w:bCs/>
          <w:highlight w:val="green"/>
        </w:rPr>
        <w:t>gauge</w:t>
      </w:r>
      <w:r w:rsidRPr="00CE18E7">
        <w:rPr>
          <w:rStyle w:val="StyleUnderline"/>
        </w:rPr>
        <w:t xml:space="preserve"> </w:t>
      </w:r>
      <w:r w:rsidRPr="009D54E8">
        <w:rPr>
          <w:rStyle w:val="StyleUnderline"/>
          <w:highlight w:val="green"/>
        </w:rPr>
        <w:t xml:space="preserve">the </w:t>
      </w:r>
      <w:r w:rsidRPr="009D54E8">
        <w:rPr>
          <w:rStyle w:val="Emphasis"/>
          <w:bCs/>
          <w:highlight w:val="green"/>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3434BCE3" w14:textId="77777777" w:rsidR="00BA1C07" w:rsidRDefault="00BA1C07" w:rsidP="00BA1C07">
      <w:pPr>
        <w:rPr>
          <w:sz w:val="16"/>
          <w:szCs w:val="16"/>
        </w:rPr>
      </w:pPr>
    </w:p>
    <w:p w14:paraId="663F1133" w14:textId="77777777" w:rsidR="00BA1C07" w:rsidRDefault="00BA1C07" w:rsidP="00BA1C07">
      <w:pPr>
        <w:pStyle w:val="Heading4"/>
      </w:pPr>
      <w:r>
        <w:t xml:space="preserve">Worker is a person engaged in employment. </w:t>
      </w:r>
    </w:p>
    <w:p w14:paraId="1C83CF56" w14:textId="77777777" w:rsidR="00BA1C07" w:rsidRPr="002E6AD6" w:rsidRDefault="00BA1C07" w:rsidP="00BA1C07">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07B5C8BF" w14:textId="77777777" w:rsidR="00BA1C07" w:rsidRDefault="00BA1C07" w:rsidP="00BA1C07">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63E30B32" w14:textId="77777777" w:rsidR="00BA1C07" w:rsidRDefault="00BA1C07" w:rsidP="00BA1C07">
      <w:pPr>
        <w:rPr>
          <w:sz w:val="16"/>
        </w:rPr>
      </w:pPr>
    </w:p>
    <w:p w14:paraId="183165C4" w14:textId="77777777" w:rsidR="00BA1C07" w:rsidRPr="00450763" w:rsidRDefault="00BA1C07" w:rsidP="00BA1C07">
      <w:pPr>
        <w:pStyle w:val="Heading4"/>
        <w:rPr>
          <w:rFonts w:eastAsia="Times New Roman"/>
        </w:rPr>
      </w:pPr>
      <w:r>
        <w:t>“Should” is immediate.</w:t>
      </w:r>
    </w:p>
    <w:p w14:paraId="3A19D98F" w14:textId="77777777" w:rsidR="00BA1C07" w:rsidRPr="00450763" w:rsidRDefault="00BA1C07" w:rsidP="00BA1C07">
      <w:pPr>
        <w:rPr>
          <w:rFonts w:eastAsia="Calibri"/>
        </w:rPr>
      </w:pPr>
      <w:r w:rsidRPr="00450763">
        <w:rPr>
          <w:rStyle w:val="Style13ptBold"/>
        </w:rPr>
        <w:t xml:space="preserve">Dictionary.com 10 </w:t>
      </w:r>
      <w:r w:rsidRPr="00450763">
        <w:t>Dictionary.com, http://dictionary.reference.com/browse/should</w:t>
      </w:r>
    </w:p>
    <w:p w14:paraId="0CBC1620" w14:textId="77777777" w:rsidR="00BA1C07" w:rsidRPr="008223FD" w:rsidRDefault="00BA1C07" w:rsidP="00BA1C07">
      <w:pPr>
        <w:rPr>
          <w:rFonts w:eastAsia="Calibri"/>
          <w:sz w:val="16"/>
        </w:rPr>
      </w:pPr>
      <w:r w:rsidRPr="008223FD">
        <w:rPr>
          <w:rStyle w:val="StyleUnderline"/>
          <w:highlight w:val="green"/>
        </w:rPr>
        <w:t>should</w:t>
      </w:r>
      <w:r w:rsidRPr="008223FD">
        <w:rPr>
          <w:rStyle w:val="StyleUnderline"/>
        </w:rPr>
        <w:t xml:space="preserve"> </w:t>
      </w:r>
      <w:r w:rsidRPr="008223FD">
        <w:rPr>
          <w:sz w:val="16"/>
        </w:rPr>
        <w:t> </w:t>
      </w:r>
      <w:r w:rsidRPr="008223FD">
        <w:rPr>
          <w:sz w:val="16"/>
        </w:rPr>
        <w:t xml:space="preserve"> </w:t>
      </w:r>
      <w:r w:rsidRPr="008223FD">
        <w:rPr>
          <w:sz w:val="16"/>
        </w:rPr>
        <w:t> </w:t>
      </w:r>
      <w:r w:rsidRPr="008223FD">
        <w:rPr>
          <w:sz w:val="16"/>
        </w:rPr>
        <w:t>/</w:t>
      </w:r>
      <w:proofErr w:type="spellStart"/>
      <w:r w:rsidRPr="008223FD">
        <w:rPr>
          <w:sz w:val="16"/>
        </w:rPr>
        <w:t>ʃʊd</w:t>
      </w:r>
      <w:proofErr w:type="spellEnd"/>
      <w:r w:rsidRPr="008223FD">
        <w:rPr>
          <w:sz w:val="16"/>
        </w:rPr>
        <w:t>/ Show Spelled[shood] Show IPA –auxiliary verb 1. pt. of shall. 2. (</w:t>
      </w:r>
      <w:r w:rsidRPr="008223FD">
        <w:rPr>
          <w:rStyle w:val="StyleUnderline"/>
          <w:highlight w:val="green"/>
        </w:rPr>
        <w:t>used to express condition</w:t>
      </w:r>
      <w:r w:rsidRPr="008223FD">
        <w:rPr>
          <w:sz w:val="16"/>
        </w:rPr>
        <w:t xml:space="preserve">): Were he to arrive, I should be pleased. 3. must; ought (used to </w:t>
      </w:r>
      <w:r w:rsidRPr="008223FD">
        <w:rPr>
          <w:b/>
          <w:bCs/>
          <w:szCs w:val="32"/>
          <w:highlight w:val="green"/>
          <w:u w:val="single"/>
        </w:rPr>
        <w:t>indicate duty, propriety, or expediency</w:t>
      </w:r>
      <w:r w:rsidRPr="008223FD">
        <w:rPr>
          <w:sz w:val="16"/>
        </w:rPr>
        <w:t xml:space="preserve">): You should not do that. 4. would (used to make a statement less direct or blunt): I should think you would apologize. Use should in a Sentence See images of </w:t>
      </w:r>
      <w:proofErr w:type="gramStart"/>
      <w:r w:rsidRPr="008223FD">
        <w:rPr>
          <w:sz w:val="16"/>
        </w:rPr>
        <w:t>should Search should</w:t>
      </w:r>
      <w:proofErr w:type="gramEnd"/>
      <w:r w:rsidRPr="008223FD">
        <w:rPr>
          <w:sz w:val="16"/>
        </w:rPr>
        <w:t xml:space="preserve"> on the Web Origin: ME </w:t>
      </w:r>
      <w:proofErr w:type="spellStart"/>
      <w:r w:rsidRPr="008223FD">
        <w:rPr>
          <w:sz w:val="16"/>
        </w:rPr>
        <w:t>sholde</w:t>
      </w:r>
      <w:proofErr w:type="spellEnd"/>
      <w:r w:rsidRPr="008223FD">
        <w:rPr>
          <w:sz w:val="16"/>
        </w:rPr>
        <w:t xml:space="preserve">, OE </w:t>
      </w:r>
      <w:proofErr w:type="spellStart"/>
      <w:r w:rsidRPr="008223FD">
        <w:rPr>
          <w:sz w:val="16"/>
        </w:rPr>
        <w:t>sc</w:t>
      </w:r>
      <w:proofErr w:type="spellEnd"/>
      <w:r w:rsidRPr="008223FD">
        <w:rPr>
          <w:sz w:val="16"/>
        </w:rPr>
        <w:t xml:space="preserve"> </w:t>
      </w:r>
      <w:proofErr w:type="gramStart"/>
      <w:r w:rsidRPr="008223FD">
        <w:rPr>
          <w:sz w:val="16"/>
        </w:rPr>
        <w:t>( e</w:t>
      </w:r>
      <w:proofErr w:type="gramEnd"/>
      <w:r w:rsidRPr="008223FD">
        <w:rPr>
          <w:sz w:val="16"/>
        </w:rPr>
        <w:t xml:space="preserve"> ) olde; see </w:t>
      </w:r>
      <w:proofErr w:type="gramStart"/>
      <w:r w:rsidRPr="008223FD">
        <w:rPr>
          <w:sz w:val="16"/>
        </w:rPr>
        <w:t>shall  —</w:t>
      </w:r>
      <w:proofErr w:type="gramEnd"/>
      <w:r w:rsidRPr="008223FD">
        <w:rPr>
          <w:sz w:val="16"/>
        </w:rPr>
        <w:t xml:space="preserve">Can be confused: </w:t>
      </w:r>
      <w:r w:rsidRPr="008223FD">
        <w:rPr>
          <w:sz w:val="16"/>
        </w:rPr>
        <w:t> </w:t>
      </w:r>
      <w:r w:rsidRPr="008223FD">
        <w:rPr>
          <w:sz w:val="16"/>
        </w:rPr>
        <w:t xml:space="preserve">could, should, would (see usage note at this </w:t>
      </w:r>
      <w:proofErr w:type="gramStart"/>
      <w:r w:rsidRPr="008223FD">
        <w:rPr>
          <w:sz w:val="16"/>
        </w:rPr>
        <w:t>entry )</w:t>
      </w:r>
      <w:proofErr w:type="gramEnd"/>
      <w:r w:rsidRPr="008223FD">
        <w:rPr>
          <w:sz w:val="16"/>
        </w:rPr>
        <w:t>.  —Synonyms 3. See must</w:t>
      </w:r>
      <w:proofErr w:type="gramStart"/>
      <w:r w:rsidRPr="008223FD">
        <w:rPr>
          <w:sz w:val="16"/>
        </w:rPr>
        <w:t>1 .</w:t>
      </w:r>
      <w:proofErr w:type="gramEnd"/>
      <w:r w:rsidRPr="008223FD">
        <w:rPr>
          <w:sz w:val="16"/>
        </w:rPr>
        <w:t xml:space="preserve">  —</w:t>
      </w:r>
      <w:r w:rsidRPr="008223FD">
        <w:rPr>
          <w:rStyle w:val="StyleUnderline"/>
        </w:rPr>
        <w:t xml:space="preserve">Usage </w:t>
      </w:r>
      <w:proofErr w:type="gramStart"/>
      <w:r w:rsidRPr="008223FD">
        <w:rPr>
          <w:rStyle w:val="StyleUnderline"/>
        </w:rPr>
        <w:t>note</w:t>
      </w:r>
      <w:proofErr w:type="gramEnd"/>
      <w:r w:rsidRPr="008223FD">
        <w:rPr>
          <w:sz w:val="16"/>
        </w:rPr>
        <w:t xml:space="preserve"> Rules </w:t>
      </w:r>
      <w:proofErr w:type="gramStart"/>
      <w:r w:rsidRPr="008223FD">
        <w:rPr>
          <w:sz w:val="16"/>
        </w:rPr>
        <w:t>similar to</w:t>
      </w:r>
      <w:proofErr w:type="gramEnd"/>
      <w:r w:rsidRPr="008223FD">
        <w:rPr>
          <w:sz w:val="16"/>
        </w:rPr>
        <w:t xml:space="preserve"> those for choosing between </w:t>
      </w:r>
      <w:proofErr w:type="gramStart"/>
      <w:r w:rsidRPr="008223FD">
        <w:rPr>
          <w:sz w:val="16"/>
        </w:rPr>
        <w:t>shall  and</w:t>
      </w:r>
      <w:proofErr w:type="gramEnd"/>
      <w:r w:rsidRPr="008223FD">
        <w:rPr>
          <w:sz w:val="16"/>
        </w:rPr>
        <w:t xml:space="preserve"> </w:t>
      </w:r>
      <w:proofErr w:type="gramStart"/>
      <w:r w:rsidRPr="008223FD">
        <w:rPr>
          <w:sz w:val="16"/>
        </w:rPr>
        <w:t>will  have</w:t>
      </w:r>
      <w:proofErr w:type="gramEnd"/>
      <w:r w:rsidRPr="008223FD">
        <w:rPr>
          <w:sz w:val="16"/>
        </w:rPr>
        <w:t xml:space="preserve"> long been advanced for </w:t>
      </w:r>
      <w:proofErr w:type="gramStart"/>
      <w:r w:rsidRPr="008223FD">
        <w:rPr>
          <w:sz w:val="16"/>
        </w:rPr>
        <w:t>should  and</w:t>
      </w:r>
      <w:proofErr w:type="gramEnd"/>
      <w:r w:rsidRPr="008223FD">
        <w:rPr>
          <w:sz w:val="16"/>
        </w:rPr>
        <w:t xml:space="preserve"> </w:t>
      </w:r>
      <w:proofErr w:type="gramStart"/>
      <w:r w:rsidRPr="008223FD">
        <w:rPr>
          <w:sz w:val="16"/>
        </w:rPr>
        <w:t>would,  but</w:t>
      </w:r>
      <w:proofErr w:type="gramEnd"/>
      <w:r w:rsidRPr="008223FD">
        <w:rPr>
          <w:sz w:val="16"/>
        </w:rPr>
        <w:t xml:space="preserve"> again the rules have had little effect on usage. In most constructions, </w:t>
      </w:r>
      <w:proofErr w:type="gramStart"/>
      <w:r w:rsidRPr="008223FD">
        <w:rPr>
          <w:sz w:val="16"/>
        </w:rPr>
        <w:t>would  is</w:t>
      </w:r>
      <w:proofErr w:type="gramEnd"/>
      <w:r w:rsidRPr="008223F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8223FD">
        <w:rPr>
          <w:sz w:val="16"/>
        </w:rPr>
        <w:t>should  in</w:t>
      </w:r>
      <w:proofErr w:type="gramEnd"/>
      <w:r w:rsidRPr="008223FD">
        <w:rPr>
          <w:sz w:val="16"/>
        </w:rPr>
        <w:t xml:space="preserve"> modern American English is to express duty, necessity, etc. </w:t>
      </w:r>
      <w:proofErr w:type="gramStart"/>
      <w:r w:rsidRPr="008223FD">
        <w:rPr>
          <w:sz w:val="16"/>
        </w:rPr>
        <w:t>( You</w:t>
      </w:r>
      <w:proofErr w:type="gramEnd"/>
      <w:r w:rsidRPr="008223FD">
        <w:rPr>
          <w:sz w:val="16"/>
        </w:rPr>
        <w:t xml:space="preserve"> should get your flu shot before winter </w:t>
      </w:r>
      <w:proofErr w:type="gramStart"/>
      <w:r w:rsidRPr="008223FD">
        <w:rPr>
          <w:sz w:val="16"/>
        </w:rPr>
        <w:t>comes )</w:t>
      </w:r>
      <w:proofErr w:type="gramEnd"/>
      <w:r w:rsidRPr="008223FD">
        <w:rPr>
          <w:sz w:val="16"/>
        </w:rPr>
        <w:t xml:space="preserve">, its use for other purposes, as to form a subjunctive, can produce ambiguity, at least initially: I should get my flu shot if I were you.  Furthermore, </w:t>
      </w:r>
      <w:proofErr w:type="gramStart"/>
      <w:r w:rsidRPr="008223FD">
        <w:rPr>
          <w:sz w:val="16"/>
        </w:rPr>
        <w:t>should  seems</w:t>
      </w:r>
      <w:proofErr w:type="gramEnd"/>
      <w:r w:rsidRPr="008223FD">
        <w:rPr>
          <w:sz w:val="16"/>
        </w:rPr>
        <w:t xml:space="preserve"> an affectation to many Americans when used in certain constructions quite common in British English: Had I been informed,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have called immediately.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really prefer a different arrangement.  As with </w:t>
      </w:r>
      <w:proofErr w:type="gramStart"/>
      <w:r w:rsidRPr="008223FD">
        <w:rPr>
          <w:sz w:val="16"/>
        </w:rPr>
        <w:t>shall  and</w:t>
      </w:r>
      <w:proofErr w:type="gramEnd"/>
      <w:r w:rsidRPr="008223FD">
        <w:rPr>
          <w:sz w:val="16"/>
        </w:rPr>
        <w:t xml:space="preserve"> </w:t>
      </w:r>
      <w:proofErr w:type="gramStart"/>
      <w:r w:rsidRPr="008223FD">
        <w:rPr>
          <w:sz w:val="16"/>
        </w:rPr>
        <w:t>will,  most</w:t>
      </w:r>
      <w:proofErr w:type="gramEnd"/>
      <w:r w:rsidRPr="008223FD">
        <w:rPr>
          <w:sz w:val="16"/>
        </w:rPr>
        <w:t xml:space="preserve"> educated native speakers of American English do not follow the textbook rule in making a choice between </w:t>
      </w:r>
      <w:proofErr w:type="gramStart"/>
      <w:r w:rsidRPr="008223FD">
        <w:rPr>
          <w:sz w:val="16"/>
        </w:rPr>
        <w:t>should  and</w:t>
      </w:r>
      <w:proofErr w:type="gramEnd"/>
      <w:r w:rsidRPr="008223FD">
        <w:rPr>
          <w:sz w:val="16"/>
        </w:rPr>
        <w:t xml:space="preserve"> would. </w:t>
      </w:r>
      <w:r w:rsidRPr="008223FD">
        <w:rPr>
          <w:rStyle w:val="StyleUnderline"/>
          <w:sz w:val="16"/>
          <w:u w:val="none"/>
        </w:rPr>
        <w:t>See also shall.</w:t>
      </w:r>
      <w:r w:rsidRPr="008223FD">
        <w:rPr>
          <w:sz w:val="16"/>
        </w:rPr>
        <w:t xml:space="preserve">  </w:t>
      </w:r>
      <w:proofErr w:type="gramStart"/>
      <w:r w:rsidRPr="008223FD">
        <w:rPr>
          <w:sz w:val="16"/>
        </w:rPr>
        <w:t>Shall  –</w:t>
      </w:r>
      <w:proofErr w:type="gramEnd"/>
      <w:r w:rsidRPr="008223FD">
        <w:rPr>
          <w:sz w:val="16"/>
        </w:rPr>
        <w:t xml:space="preserve">auxiliary verb, present singular 1st person </w:t>
      </w:r>
      <w:proofErr w:type="gramStart"/>
      <w:r w:rsidRPr="008223FD">
        <w:rPr>
          <w:sz w:val="16"/>
        </w:rPr>
        <w:t>shall,  2</w:t>
      </w:r>
      <w:proofErr w:type="gramEnd"/>
      <w:r w:rsidRPr="008223FD">
        <w:rPr>
          <w:sz w:val="16"/>
        </w:rPr>
        <w:t xml:space="preserve">nd shall or </w:t>
      </w:r>
      <w:proofErr w:type="gramStart"/>
      <w:r w:rsidRPr="008223FD">
        <w:rPr>
          <w:sz w:val="16"/>
        </w:rPr>
        <w:t>( Archaic</w:t>
      </w:r>
      <w:proofErr w:type="gramEnd"/>
      <w:r w:rsidRPr="008223FD">
        <w:rPr>
          <w:sz w:val="16"/>
        </w:rPr>
        <w:t xml:space="preserve"> ) </w:t>
      </w:r>
      <w:proofErr w:type="gramStart"/>
      <w:r w:rsidRPr="008223FD">
        <w:rPr>
          <w:sz w:val="16"/>
        </w:rPr>
        <w:t>shalt,  3</w:t>
      </w:r>
      <w:proofErr w:type="gramEnd"/>
      <w:r w:rsidRPr="008223FD">
        <w:rPr>
          <w:sz w:val="16"/>
        </w:rPr>
        <w:t xml:space="preserve">rd </w:t>
      </w:r>
      <w:proofErr w:type="gramStart"/>
      <w:r w:rsidRPr="008223FD">
        <w:rPr>
          <w:sz w:val="16"/>
        </w:rPr>
        <w:t>shall,  present</w:t>
      </w:r>
      <w:proofErr w:type="gramEnd"/>
      <w:r w:rsidRPr="008223FD">
        <w:rPr>
          <w:sz w:val="16"/>
        </w:rPr>
        <w:t xml:space="preserve"> plural </w:t>
      </w:r>
      <w:proofErr w:type="gramStart"/>
      <w:r w:rsidRPr="008223FD">
        <w:rPr>
          <w:sz w:val="16"/>
        </w:rPr>
        <w:t>shall;  past</w:t>
      </w:r>
      <w:proofErr w:type="gramEnd"/>
      <w:r w:rsidRPr="008223FD">
        <w:rPr>
          <w:sz w:val="16"/>
        </w:rPr>
        <w:t xml:space="preserve"> singular 1st person </w:t>
      </w:r>
      <w:proofErr w:type="gramStart"/>
      <w:r w:rsidRPr="008223FD">
        <w:rPr>
          <w:sz w:val="16"/>
        </w:rPr>
        <w:t>should,  2</w:t>
      </w:r>
      <w:proofErr w:type="gramEnd"/>
      <w:r w:rsidRPr="008223FD">
        <w:rPr>
          <w:sz w:val="16"/>
        </w:rPr>
        <w:t xml:space="preserve">nd should or </w:t>
      </w:r>
      <w:proofErr w:type="gramStart"/>
      <w:r w:rsidRPr="008223FD">
        <w:rPr>
          <w:sz w:val="16"/>
        </w:rPr>
        <w:t>( Archaic</w:t>
      </w:r>
      <w:proofErr w:type="gramEnd"/>
      <w:r w:rsidRPr="008223FD">
        <w:rPr>
          <w:sz w:val="16"/>
        </w:rPr>
        <w:t xml:space="preserve"> ) shouldst or </w:t>
      </w:r>
      <w:proofErr w:type="spellStart"/>
      <w:r w:rsidRPr="008223FD">
        <w:rPr>
          <w:sz w:val="16"/>
        </w:rPr>
        <w:t>should·</w:t>
      </w:r>
      <w:proofErr w:type="gramStart"/>
      <w:r w:rsidRPr="008223FD">
        <w:rPr>
          <w:sz w:val="16"/>
        </w:rPr>
        <w:t>est</w:t>
      </w:r>
      <w:proofErr w:type="spellEnd"/>
      <w:r w:rsidRPr="008223FD">
        <w:rPr>
          <w:sz w:val="16"/>
        </w:rPr>
        <w:t>,  3</w:t>
      </w:r>
      <w:proofErr w:type="gramEnd"/>
      <w:r w:rsidRPr="008223FD">
        <w:rPr>
          <w:sz w:val="16"/>
        </w:rPr>
        <w:t xml:space="preserve">rd </w:t>
      </w:r>
      <w:proofErr w:type="gramStart"/>
      <w:r w:rsidRPr="008223FD">
        <w:rPr>
          <w:sz w:val="16"/>
        </w:rPr>
        <w:t>should,  past</w:t>
      </w:r>
      <w:proofErr w:type="gramEnd"/>
      <w:r w:rsidRPr="008223FD">
        <w:rPr>
          <w:sz w:val="16"/>
        </w:rPr>
        <w:t xml:space="preserve"> plural </w:t>
      </w:r>
      <w:proofErr w:type="gramStart"/>
      <w:r w:rsidRPr="008223FD">
        <w:rPr>
          <w:sz w:val="16"/>
        </w:rPr>
        <w:t>should;  imperative</w:t>
      </w:r>
      <w:proofErr w:type="gramEnd"/>
      <w:r w:rsidRPr="008223FD">
        <w:rPr>
          <w:sz w:val="16"/>
        </w:rPr>
        <w:t xml:space="preserve">, infinitive, and participles lacking. 1. plan </w:t>
      </w:r>
      <w:proofErr w:type="gramStart"/>
      <w:r w:rsidRPr="008223FD">
        <w:rPr>
          <w:sz w:val="16"/>
        </w:rPr>
        <w:t>to,</w:t>
      </w:r>
      <w:proofErr w:type="gramEnd"/>
      <w:r w:rsidRPr="008223FD">
        <w:rPr>
          <w:sz w:val="16"/>
        </w:rPr>
        <w:t xml:space="preserve"> </w:t>
      </w:r>
      <w:r w:rsidRPr="008223FD">
        <w:rPr>
          <w:rStyle w:val="StyleUnderline"/>
          <w:sz w:val="16"/>
          <w:u w:val="none"/>
        </w:rPr>
        <w:t>intend to,</w:t>
      </w:r>
      <w:r w:rsidRPr="008223FD">
        <w:rPr>
          <w:sz w:val="16"/>
        </w:rPr>
        <w:t xml:space="preserve"> or expect to: </w:t>
      </w:r>
      <w:r w:rsidRPr="008223FD">
        <w:rPr>
          <w:rStyle w:val="StyleUnderline"/>
          <w:sz w:val="16"/>
          <w:u w:val="none"/>
        </w:rPr>
        <w:t xml:space="preserve">I shall go </w:t>
      </w:r>
      <w:r w:rsidRPr="008223FD">
        <w:rPr>
          <w:rStyle w:val="Emphasis"/>
          <w:b w:val="0"/>
          <w:bCs/>
          <w:sz w:val="16"/>
          <w:u w:val="none"/>
        </w:rPr>
        <w:t>later</w:t>
      </w:r>
      <w:r w:rsidRPr="008223FD">
        <w:rPr>
          <w:rStyle w:val="StyleUnderline"/>
          <w:sz w:val="16"/>
          <w:u w:val="none"/>
        </w:rPr>
        <w:t>.</w:t>
      </w:r>
      <w:r w:rsidRPr="008223FD">
        <w:rPr>
          <w:sz w:val="16"/>
        </w:rPr>
        <w:t xml:space="preserve"> </w:t>
      </w:r>
    </w:p>
    <w:p w14:paraId="26A96E91" w14:textId="77777777" w:rsidR="00BA1C07" w:rsidRDefault="00BA1C07" w:rsidP="00BA1C07"/>
    <w:p w14:paraId="4D037935" w14:textId="77777777" w:rsidR="00BA1C07" w:rsidRDefault="00BA1C07" w:rsidP="00BA1C07">
      <w:pPr>
        <w:pStyle w:val="Heading4"/>
      </w:pPr>
      <w:r w:rsidRPr="00D82BCA">
        <w:t>They don’t defend the implementation of a topical plan---two impacts:   </w:t>
      </w:r>
    </w:p>
    <w:p w14:paraId="194DB980" w14:textId="77777777" w:rsidR="00BA1C07" w:rsidRPr="00D82BCA" w:rsidRDefault="00BA1C07" w:rsidP="00BA1C07">
      <w:r w:rsidRPr="00D82BCA">
        <w:t>   </w:t>
      </w:r>
    </w:p>
    <w:p w14:paraId="55D235C5" w14:textId="77777777" w:rsidR="00BA1C07" w:rsidRPr="00D82BCA" w:rsidRDefault="00BA1C07" w:rsidP="00BA1C07">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C65B156" w14:textId="77777777" w:rsidR="00BA1C07" w:rsidRPr="00D82BCA" w:rsidRDefault="00BA1C07" w:rsidP="00BA1C07">
      <w:r w:rsidRPr="00D82BCA">
        <w:t> </w:t>
      </w:r>
    </w:p>
    <w:p w14:paraId="64512A39" w14:textId="77777777" w:rsidR="00BA1C07" w:rsidRDefault="00BA1C07" w:rsidP="00BA1C07">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535D1535" w14:textId="5B380423" w:rsidR="005D388F" w:rsidRDefault="00467D0E" w:rsidP="00467D0E">
      <w:pPr>
        <w:pStyle w:val="Heading2"/>
      </w:pPr>
      <w:r>
        <w:t>OFF</w:t>
      </w:r>
    </w:p>
    <w:p w14:paraId="16CF2E47" w14:textId="1EA7816A" w:rsidR="00467D0E" w:rsidRDefault="00467D0E" w:rsidP="00467D0E">
      <w:pPr>
        <w:pStyle w:val="Heading3"/>
      </w:pPr>
      <w:r>
        <w:t>1NC---OFF</w:t>
      </w:r>
    </w:p>
    <w:p w14:paraId="2DC19BBA" w14:textId="6AE59D47" w:rsidR="00467D0E" w:rsidRDefault="00467D0E" w:rsidP="00467D0E">
      <w:r>
        <w:t xml:space="preserve">New </w:t>
      </w:r>
      <w:proofErr w:type="spellStart"/>
      <w:r>
        <w:t>Affs</w:t>
      </w:r>
      <w:proofErr w:type="spellEnd"/>
      <w:r>
        <w:t xml:space="preserve"> Bad</w:t>
      </w:r>
    </w:p>
    <w:p w14:paraId="5F699F9E" w14:textId="77777777" w:rsidR="007C0298" w:rsidRDefault="007C0298" w:rsidP="00467D0E"/>
    <w:p w14:paraId="7D581E1B" w14:textId="77777777" w:rsidR="00C7783B" w:rsidRDefault="00C7783B" w:rsidP="00C7783B">
      <w:pPr>
        <w:pStyle w:val="Heading4"/>
      </w:pPr>
      <w:r>
        <w:t xml:space="preserve">We submit a counter complaint against JMU MO. The way they have engaged in disclosure in this debate links by breaking new on the conditions that it is unfair and prevents us from being able to engage in the debates about the topic that we have spent all season preparing for. We submit our complaint as a reason to Vote Neg. </w:t>
      </w:r>
    </w:p>
    <w:p w14:paraId="07371DD7" w14:textId="77777777" w:rsidR="00C7783B" w:rsidRDefault="00C7783B" w:rsidP="00C7783B"/>
    <w:p w14:paraId="21813B43" w14:textId="79A8336D" w:rsidR="00C7783B" w:rsidRPr="00C7783B" w:rsidRDefault="00C7783B" w:rsidP="00C7783B">
      <w:pPr>
        <w:pStyle w:val="Heading4"/>
      </w:pPr>
      <w:r>
        <w:t xml:space="preserve">Sending the New Aff after the 10 minutes after the </w:t>
      </w:r>
      <w:proofErr w:type="gramStart"/>
      <w:r>
        <w:t>parings</w:t>
      </w:r>
      <w:proofErr w:type="gramEnd"/>
      <w:r>
        <w:t xml:space="preserve"> come out solves their offense. </w:t>
      </w:r>
    </w:p>
    <w:p w14:paraId="1194323E" w14:textId="77777777" w:rsidR="00C7783B" w:rsidRDefault="00C7783B" w:rsidP="00467D0E"/>
    <w:p w14:paraId="55970E39" w14:textId="06E7764B" w:rsidR="009969C3" w:rsidRDefault="009969C3" w:rsidP="009969C3">
      <w:pPr>
        <w:pStyle w:val="Heading4"/>
      </w:pPr>
      <w:r>
        <w:t>The terminal impacts are…</w:t>
      </w:r>
    </w:p>
    <w:p w14:paraId="28F7D468" w14:textId="77777777" w:rsidR="007C0298" w:rsidRPr="006621C9" w:rsidRDefault="007C0298" w:rsidP="007C0298">
      <w:pPr>
        <w:pStyle w:val="Heading4"/>
      </w:pPr>
      <w:r>
        <w:t xml:space="preserve">1. Fairness. They leave the negative </w:t>
      </w:r>
      <w:r>
        <w:rPr>
          <w:u w:val="single"/>
        </w:rPr>
        <w:t>grasping at straws</w:t>
      </w:r>
      <w:r>
        <w:t xml:space="preserve"> to formulate offense and </w:t>
      </w:r>
      <w:r w:rsidRPr="006621C9">
        <w:rPr>
          <w:u w:val="single"/>
        </w:rPr>
        <w:t>artificially inflate</w:t>
      </w:r>
      <w:r>
        <w:t xml:space="preserve"> already intrinsic </w:t>
      </w:r>
      <w:proofErr w:type="spellStart"/>
      <w:r>
        <w:t>aff</w:t>
      </w:r>
      <w:proofErr w:type="spellEnd"/>
      <w:r>
        <w:t xml:space="preserve"> advantages like speaking first, last, and getting to choose the focus of the debate. </w:t>
      </w:r>
    </w:p>
    <w:p w14:paraId="469C6130" w14:textId="556FDDF4" w:rsidR="007C0298" w:rsidRDefault="007C0298" w:rsidP="007C0298">
      <w:pPr>
        <w:pStyle w:val="Heading4"/>
      </w:pPr>
      <w:r>
        <w:t>2. Clash</w:t>
      </w:r>
      <w:r w:rsidR="001007DC">
        <w:t xml:space="preserve">. </w:t>
      </w:r>
      <w:r>
        <w:t xml:space="preserve">Debate isn’t about presenting </w:t>
      </w:r>
      <w:proofErr w:type="gramStart"/>
      <w:r>
        <w:t>advocacy,</w:t>
      </w:r>
      <w:proofErr w:type="gramEnd"/>
      <w:r>
        <w:t xml:space="preserve"> it’s about engaging with a well-</w:t>
      </w:r>
      <w:proofErr w:type="gramStart"/>
      <w:r>
        <w:t>prepare</w:t>
      </w:r>
      <w:proofErr w:type="gramEnd"/>
      <w:r>
        <w:t xml:space="preserve"> opponent. All 1ACs sacrifice FORM and CONTENT </w:t>
      </w:r>
      <w:r w:rsidRPr="006621C9">
        <w:t xml:space="preserve">to make their advocacy </w:t>
      </w:r>
      <w:r w:rsidRPr="006621C9">
        <w:rPr>
          <w:u w:val="single"/>
        </w:rPr>
        <w:t>imperfect</w:t>
      </w:r>
      <w:r>
        <w:t xml:space="preserve"> so there can’t be a benefit to monologue or advocating the 1AC on its own</w:t>
      </w:r>
      <w:r w:rsidRPr="006621C9">
        <w:t>.</w:t>
      </w:r>
      <w:r>
        <w:t xml:space="preserve"> This means the only benefit comes from </w:t>
      </w:r>
      <w:proofErr w:type="gramStart"/>
      <w:r>
        <w:t>clash</w:t>
      </w:r>
      <w:proofErr w:type="gramEnd"/>
      <w:r>
        <w:t xml:space="preserve">. That </w:t>
      </w:r>
      <w:proofErr w:type="gramStart"/>
      <w:r>
        <w:t>turns</w:t>
      </w:r>
      <w:proofErr w:type="gramEnd"/>
      <w:r>
        <w:t xml:space="preserve"> any benefit to non-disclosure since argumentative engagement is </w:t>
      </w:r>
      <w:r>
        <w:rPr>
          <w:u w:val="single"/>
        </w:rPr>
        <w:t>bidirectional</w:t>
      </w:r>
      <w:r>
        <w:t xml:space="preserve">. It requires an </w:t>
      </w:r>
      <w:proofErr w:type="spellStart"/>
      <w:r>
        <w:t>aff</w:t>
      </w:r>
      <w:proofErr w:type="spellEnd"/>
      <w:r>
        <w:t xml:space="preserve"> to present their argument and the neg to contest it. </w:t>
      </w:r>
    </w:p>
    <w:p w14:paraId="635B7E5B" w14:textId="77777777" w:rsidR="001007DC" w:rsidRDefault="001007DC" w:rsidP="007C0298">
      <w:pPr>
        <w:rPr>
          <w:sz w:val="16"/>
        </w:rPr>
      </w:pPr>
    </w:p>
    <w:p w14:paraId="2BF0253C" w14:textId="60BD7038" w:rsidR="008F269E" w:rsidRPr="00FC06BA" w:rsidRDefault="0038717A" w:rsidP="008F269E">
      <w:pPr>
        <w:pStyle w:val="Heading4"/>
      </w:pPr>
      <w:r>
        <w:t xml:space="preserve">Independently, justifies T and frames </w:t>
      </w:r>
      <w:r w:rsidR="000A79A6">
        <w:t>you should filter their offense against it.</w:t>
      </w:r>
    </w:p>
    <w:p w14:paraId="36D1372E" w14:textId="77777777" w:rsidR="008F269E" w:rsidRDefault="008F269E" w:rsidP="008F269E">
      <w:r>
        <w:rPr>
          <w:rStyle w:val="Style13ptBold"/>
        </w:rPr>
        <w:t xml:space="preserve">Smith 2020 </w:t>
      </w:r>
      <w:r w:rsidRPr="00325B39">
        <w:t>(Elijah</w:t>
      </w:r>
      <w:r>
        <w:t xml:space="preserve">, </w:t>
      </w:r>
      <w:r w:rsidRPr="00325B39">
        <w:t>was one half of Emporia SW, the first debate team to Unite the Crowns [NDT/CEDA] in 2013 with Ryan Wash. He has collected qualitative data during interviews with coaches and alumni of Cross Examination debate who have gone on to become public advocates, activists, lawyers, and policy wonks invested in the future of the activity to establish a Kritik-Focus model of debate</w:t>
      </w:r>
      <w:r>
        <w:t>,</w:t>
      </w:r>
      <w:r w:rsidRPr="00325B39">
        <w:t xml:space="preserve"> Proceedings on the Tokyo Conference on Argumentation, Vol. 6“The Kritik-Focus Model of Debate”, </w:t>
      </w:r>
      <w:r>
        <w:t xml:space="preserve">pgs. 137 – 143, </w:t>
      </w:r>
      <w:r w:rsidRPr="00E41F38">
        <w:t>https://japan-debate-association.org/proceedings-tca-vol-6</w:t>
      </w:r>
      <w:r>
        <w:t>,)</w:t>
      </w:r>
    </w:p>
    <w:p w14:paraId="133EA506" w14:textId="77777777" w:rsidR="008F269E" w:rsidRDefault="008F269E" w:rsidP="008F269E">
      <w:pPr>
        <w:rPr>
          <w:sz w:val="14"/>
        </w:rPr>
      </w:pPr>
      <w:r w:rsidRPr="00B37223">
        <w:rPr>
          <w:sz w:val="14"/>
        </w:rPr>
        <w:t xml:space="preserve">An educational model is </w:t>
      </w:r>
      <w:proofErr w:type="gramStart"/>
      <w:r w:rsidRPr="00B37223">
        <w:rPr>
          <w:sz w:val="14"/>
        </w:rPr>
        <w:t>a,</w:t>
      </w:r>
      <w:proofErr w:type="gramEnd"/>
      <w:r w:rsidRPr="00B37223">
        <w:rPr>
          <w:sz w:val="14"/>
        </w:rPr>
        <w:t xml:space="preserve"> “blueprint for the future” (Kwong, 2016). The KFM, then, </w:t>
      </w:r>
      <w:proofErr w:type="gramStart"/>
      <w:r w:rsidRPr="00B37223">
        <w:rPr>
          <w:sz w:val="14"/>
        </w:rPr>
        <w:t>has to</w:t>
      </w:r>
      <w:proofErr w:type="gramEnd"/>
      <w:r w:rsidRPr="00B37223">
        <w:rPr>
          <w:sz w:val="14"/>
        </w:rPr>
        <w:t xml:space="preserve"> detail what debate looks like when the Affirmative Method is the focus of the debate rather than the Plan. In CPD, the long-standing litmus test for change is how it might affect a year’s worth of rigorous academic debate (Wade, 1996.) The most prestigious awards, outside of championships, are based on season-long excellence. Defenses of College Policy Debate’s PFM argue that a model of debate is required to meet the following 3 criteria. First, any topic worthy of debate </w:t>
      </w:r>
      <w:proofErr w:type="gramStart"/>
      <w:r w:rsidRPr="00B37223">
        <w:rPr>
          <w:sz w:val="14"/>
        </w:rPr>
        <w:t>has to</w:t>
      </w:r>
      <w:proofErr w:type="gramEnd"/>
      <w:r w:rsidRPr="00B37223">
        <w:rPr>
          <w:sz w:val="14"/>
        </w:rPr>
        <w:t xml:space="preserve"> be able to sustain a year’s worth of argument innovation. Teams should be able to find new arguments on both sides of the topic through intense research. Second, there must be a role for the Affirmative team. The Affirmative team should be able to defend some change to the status quo that is not morally repugnant or otherwise indefensible. Finally, there must be a role for the Negative team. They </w:t>
      </w:r>
      <w:proofErr w:type="gramStart"/>
      <w:r w:rsidRPr="00B37223">
        <w:rPr>
          <w:sz w:val="14"/>
        </w:rPr>
        <w:t>have to</w:t>
      </w:r>
      <w:proofErr w:type="gramEnd"/>
      <w:r w:rsidRPr="00B37223">
        <w:rPr>
          <w:sz w:val="14"/>
        </w:rPr>
        <w:t xml:space="preserve"> predict, research, and adequately respond to an Affirmative advocacy presented at any part of the season. The Negative should not be required to respond to an uncontroversial argument that is not the Resolution. I argue that the Kritik-Focus Model meets these three criteria. 3. Method Community-Based Action Research (CBAR) is the method used in this paper (Burns, et al., 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w:t>
      </w:r>
      <w:proofErr w:type="spellStart"/>
      <w:r w:rsidRPr="00B37223">
        <w:rPr>
          <w:sz w:val="14"/>
        </w:rPr>
        <w:t>kritik</w:t>
      </w:r>
      <w:proofErr w:type="spellEnd"/>
      <w:r w:rsidRPr="00B37223">
        <w:rPr>
          <w:sz w:val="14"/>
        </w:rPr>
        <w:t xml:space="preserve">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4. To create a blueprint, the Kritik-Focus Model must have a purpose. Proponents of Kritik debate argue that it creates opportunity for epistemological growth that students do not </w:t>
      </w:r>
      <w:proofErr w:type="gramStart"/>
      <w:r w:rsidRPr="00B37223">
        <w:rPr>
          <w:sz w:val="14"/>
        </w:rPr>
        <w:t>experiences</w:t>
      </w:r>
      <w:proofErr w:type="gramEnd"/>
      <w:r w:rsidRPr="00B37223">
        <w:rPr>
          <w:sz w:val="14"/>
        </w:rPr>
        <w:t xml:space="preserve"> elsewhere because they are incentivized by ballots to research a wide variety of arguments that challenge their understanding of the world. This is consistent with Roger Solt’s (1995, p. A9-10) claim that decisions in any debates represent provisional judgements that produce, “our moral and political belief system[s]”. At the end of a season or a career, each person is fundamentally transformed by the conversations they have been a part of. Alternatively, defenders of the PFM argue that competitive equity and a fair decision is the only thing each round should represent. However, </w:t>
      </w:r>
      <w:proofErr w:type="gramStart"/>
      <w:r w:rsidRPr="00B37223">
        <w:rPr>
          <w:sz w:val="14"/>
        </w:rPr>
        <w:t>the competition</w:t>
      </w:r>
      <w:proofErr w:type="gramEnd"/>
      <w:r w:rsidRPr="00B37223">
        <w:rPr>
          <w:sz w:val="14"/>
        </w:rPr>
        <w:t xml:space="preserve"> for its own sake is unacceptable in an educational activity. Tiffany Dillard-Knox, Director of The University of Louisville Malcolm X Debate Society and former participant in “The Louisville Project” warns us against such a mode of competition: “Competition at all costs is dangerous…Our argument was that people wanted to win and would do anything to win regardless of the dehumanizing effects of particular…like the Malthus argument…it was all about winning…Competition at all costs creates harmful effects because we’re not thinking about the people we are debating against…” Prior to Kritik debaters pushing back on competition at all costs, judges would allow students to make racist, sexist, or otherwise discriminatory arguments because, as Director Dillard-Knox explains, “…literally anything went”. Today, judges are willing to penalize debaters for creating a hostile environment because competition is no longer our sole priority. To avoid this pitfall, KFM will </w:t>
      </w:r>
      <w:proofErr w:type="gramStart"/>
      <w:r w:rsidRPr="00B37223">
        <w:rPr>
          <w:sz w:val="14"/>
        </w:rPr>
        <w:t>prioritize that</w:t>
      </w:r>
      <w:proofErr w:type="gramEnd"/>
      <w:r w:rsidRPr="00B37223">
        <w:rPr>
          <w:sz w:val="14"/>
        </w:rPr>
        <w:t xml:space="preserve"> the educational environment and the growth of students over any marginal benefits of improved competition. The Kritik-Focus Model starts with the Affirmative team. It is their burden to choose a critical/cultural perspective based, at least partially, on academic research and apply it to the Resolution.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The Negative team has the burden of rejoinder – they must prove that the Affirmative Method is not desirable. To prove that the Affirmative is not desirable, the Negative must choose a critical/cultural perspective, evaluate the Affirmative, and respond. After a year of </w:t>
      </w:r>
      <w:proofErr w:type="spellStart"/>
      <w:r w:rsidRPr="00B37223">
        <w:rPr>
          <w:sz w:val="14"/>
        </w:rPr>
        <w:t>Kritikal</w:t>
      </w:r>
      <w:proofErr w:type="spellEnd"/>
      <w:r w:rsidRPr="00B37223">
        <w:rPr>
          <w:sz w:val="14"/>
        </w:rPr>
        <w:t xml:space="preserve"> debates on the Resolution, a single student would have been exposed to dozens of </w:t>
      </w:r>
      <w:proofErr w:type="spellStart"/>
      <w:r w:rsidRPr="00B37223">
        <w:rPr>
          <w:sz w:val="14"/>
        </w:rPr>
        <w:t>of</w:t>
      </w:r>
      <w:proofErr w:type="spellEnd"/>
      <w:r w:rsidRPr="00B37223">
        <w:rPr>
          <w:sz w:val="14"/>
        </w:rPr>
        <w:t xml:space="preserve">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about what it means to debate the Resolution. Those who compete under the KFM understand debatable arguments to be limited by something I call the Travel test. When teams are traveling to competition and someone </w:t>
      </w:r>
      <w:proofErr w:type="spellStart"/>
      <w:r w:rsidRPr="00B37223">
        <w:rPr>
          <w:sz w:val="14"/>
        </w:rPr>
        <w:t>inquires</w:t>
      </w:r>
      <w:proofErr w:type="spellEnd"/>
      <w:r w:rsidRPr="00B37223">
        <w:rPr>
          <w:sz w:val="14"/>
        </w:rPr>
        <w:t xml:space="preserve">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w:t>
      </w:r>
      <w:proofErr w:type="spellStart"/>
      <w:r w:rsidRPr="00B37223">
        <w:rPr>
          <w:sz w:val="14"/>
        </w:rPr>
        <w:t>Kritikal</w:t>
      </w:r>
      <w:proofErr w:type="spellEnd"/>
      <w:r w:rsidRPr="00B37223">
        <w:rPr>
          <w:sz w:val="14"/>
        </w:rPr>
        <w:t xml:space="preserve"> argument linked to the core of the topic. PFM advocates object to shifting from “The” Resolution controversy to “A” topic controversy even though they may acknowledge that many </w:t>
      </w:r>
      <w:proofErr w:type="spellStart"/>
      <w:r w:rsidRPr="00B37223">
        <w:rPr>
          <w:sz w:val="14"/>
        </w:rPr>
        <w:t>Kritikal</w:t>
      </w:r>
      <w:proofErr w:type="spellEnd"/>
      <w:r w:rsidRPr="00B37223">
        <w:rPr>
          <w:sz w:val="14"/>
        </w:rPr>
        <w:t xml:space="preserve"> Methods are controversial. William Repko, Director of Debate at Michigan State University explained his take on the issue: “There are debates in critical/cultural theory that don’t center on the state but have a lot of </w:t>
      </w:r>
      <w:proofErr w:type="gramStart"/>
      <w:r w:rsidRPr="00B37223">
        <w:rPr>
          <w:sz w:val="14"/>
        </w:rPr>
        <w:t>clash</w:t>
      </w:r>
      <w:proofErr w:type="gramEnd"/>
      <w:r w:rsidRPr="00B37223">
        <w:rPr>
          <w:sz w:val="14"/>
        </w:rPr>
        <w:t>.</w:t>
      </w:r>
      <w:r w:rsidRPr="00B37223">
        <w:rPr>
          <w:rStyle w:val="StyleUnderline"/>
          <w:sz w:val="10"/>
        </w:rPr>
        <w:t xml:space="preserve"> </w:t>
      </w:r>
      <w:r w:rsidRPr="00B37223">
        <w:rPr>
          <w:sz w:val="14"/>
        </w:rPr>
        <w:t xml:space="preserve">At times I do see non-traditional teams run an Aff that is dipped right from the heart of a fight that’s academically occurring in critical/cultural theory. To me, there is </w:t>
      </w:r>
      <w:proofErr w:type="spellStart"/>
      <w:r w:rsidRPr="00B37223">
        <w:rPr>
          <w:sz w:val="14"/>
        </w:rPr>
        <w:t>not</w:t>
      </w:r>
      <w:proofErr w:type="spellEnd"/>
      <w:r w:rsidRPr="00B37223">
        <w:rPr>
          <w:sz w:val="14"/>
        </w:rPr>
        <w:t xml:space="preserve">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debater community, the conditional embrace of the benefits of the KFM was not one of them. One of the very reasons Kritik Affirmatives are valuable is because they speak truth to power to resist those inequitable arrangements. The voting blocs among powerful traditional schools, which run along the racial lines of the Clash of Civilizations, means that the controversies that appeal to KFM teams will not be chosen. This imbalance in institutional power is what inspired the broad readings of the topic like Louisville, Towson, and Emporia. Much like number runners, the informal consensus among KFM teams about what controversies matter is a means for those without power to claim it by “hacking” the game. The fact that championship winning Kritik teams and coaches </w:t>
      </w:r>
      <w:proofErr w:type="gramStart"/>
      <w:r w:rsidRPr="00B37223">
        <w:rPr>
          <w:sz w:val="14"/>
        </w:rPr>
        <w:t>are able to</w:t>
      </w:r>
      <w:proofErr w:type="gramEnd"/>
      <w:r w:rsidRPr="00B37223">
        <w:rPr>
          <w:sz w:val="14"/>
        </w:rPr>
        <w:t xml:space="preserve"> identify, predict, and prepare for </w:t>
      </w:r>
      <w:proofErr w:type="gramStart"/>
      <w:r w:rsidRPr="00B37223">
        <w:rPr>
          <w:sz w:val="14"/>
        </w:rPr>
        <w:t>all of</w:t>
      </w:r>
      <w:proofErr w:type="gramEnd"/>
      <w:r w:rsidRPr="00B37223">
        <w:rPr>
          <w:sz w:val="14"/>
        </w:rPr>
        <w:t xml:space="preserve"> the “unpredictable” and “undebatable” </w:t>
      </w:r>
      <w:proofErr w:type="spellStart"/>
      <w:r w:rsidRPr="00B37223">
        <w:rPr>
          <w:sz w:val="14"/>
        </w:rPr>
        <w:t>Kritikal</w:t>
      </w:r>
      <w:proofErr w:type="spellEnd"/>
      <w:r w:rsidRPr="00B37223">
        <w:rPr>
          <w:sz w:val="14"/>
        </w:rPr>
        <w:t xml:space="preserve"> Affirmatives means that there is some stable point of departure. 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out that engaging </w:t>
      </w:r>
      <w:proofErr w:type="gramStart"/>
      <w:r w:rsidRPr="00B37223">
        <w:rPr>
          <w:sz w:val="14"/>
        </w:rPr>
        <w:t>the Kritik</w:t>
      </w:r>
      <w:proofErr w:type="gramEnd"/>
      <w:r w:rsidRPr="00B37223">
        <w:rPr>
          <w:sz w:val="14"/>
        </w:rPr>
        <w:t xml:space="preserve"> does require more than coaches and students. We talked briefly about his team’s shift in preparation after Georgetown AM won the 2012 NDT on the Complexity Kritik. He notes that, “A lot of my time I spent pouring my familiarity into the heads of our students. There’s a learning curve…” As someone who </w:t>
      </w:r>
      <w:proofErr w:type="gramStart"/>
      <w:r w:rsidRPr="00B37223">
        <w:rPr>
          <w:sz w:val="14"/>
        </w:rPr>
        <w:t>has been consistently been</w:t>
      </w:r>
      <w:proofErr w:type="gramEnd"/>
      <w:r w:rsidRPr="00B37223">
        <w:rPr>
          <w:sz w:val="14"/>
        </w:rPr>
        <w:t xml:space="preserve"> direct about his hesitance to fully embrace the KFM, I do take his concerns about time and competition shaping incentives seriously.</w:t>
      </w:r>
      <w:r w:rsidRPr="006E570F">
        <w:rPr>
          <w:rStyle w:val="StyleUnderline"/>
        </w:rPr>
        <w:t xml:space="preserve"> </w:t>
      </w:r>
      <w:r w:rsidRPr="00B37223">
        <w:rPr>
          <w:sz w:val="14"/>
        </w:rPr>
        <w:t xml:space="preserve">There are some Affirmatives where one of the “gears”, as he calls it, is to not defend </w:t>
      </w:r>
      <w:proofErr w:type="gramStart"/>
      <w:r w:rsidRPr="00B37223">
        <w:rPr>
          <w:sz w:val="14"/>
        </w:rPr>
        <w:t>a,</w:t>
      </w:r>
      <w:proofErr w:type="gramEnd"/>
      <w:r w:rsidRPr="00B37223">
        <w:rPr>
          <w:sz w:val="14"/>
        </w:rPr>
        <w:t xml:space="preserve"> “perspective from the literature but to defend an opinion of the affirmative”.</w:t>
      </w:r>
      <w:r w:rsidRPr="006E570F">
        <w:rPr>
          <w:rStyle w:val="StyleUnderline"/>
        </w:rPr>
        <w:t xml:space="preserve"> </w:t>
      </w:r>
      <w:r w:rsidRPr="006C7DD0">
        <w:rPr>
          <w:rStyle w:val="StyleUnderline"/>
        </w:rPr>
        <w:t xml:space="preserve">There is a risk that </w:t>
      </w:r>
      <w:r w:rsidRPr="00E41F38">
        <w:rPr>
          <w:rStyle w:val="StyleUnderline"/>
          <w:highlight w:val="green"/>
        </w:rPr>
        <w:t>some Affirmative teams would escape to the margins of the topic to avoid a debate. These teams</w:t>
      </w:r>
      <w:r w:rsidRPr="006E570F">
        <w:rPr>
          <w:rStyle w:val="StyleUnderline"/>
        </w:rPr>
        <w:t xml:space="preserve">, however, </w:t>
      </w:r>
      <w:r w:rsidRPr="00E41F38">
        <w:rPr>
          <w:rStyle w:val="StyleUnderline"/>
          <w:highlight w:val="green"/>
        </w:rPr>
        <w:t xml:space="preserve">are engaging the Negative </w:t>
      </w:r>
      <w:r w:rsidRPr="00E41F38">
        <w:rPr>
          <w:rStyle w:val="StyleUnderline"/>
          <w:rFonts w:eastAsiaTheme="majorEastAsia" w:cstheme="majorBidi"/>
          <w:b/>
          <w:sz w:val="32"/>
          <w:szCs w:val="24"/>
          <w:highlight w:val="green"/>
          <w:bdr w:val="single" w:sz="8" w:space="0" w:color="auto"/>
        </w:rPr>
        <w:t>in bad faith</w:t>
      </w:r>
      <w:r w:rsidRPr="006C7DD0">
        <w:rPr>
          <w:rStyle w:val="StyleUnderline"/>
        </w:rPr>
        <w:t xml:space="preserve"> and would not be utilizing the KFM since </w:t>
      </w:r>
      <w:r w:rsidRPr="00E41F38">
        <w:rPr>
          <w:rStyle w:val="StyleUnderline"/>
          <w:highlight w:val="green"/>
        </w:rPr>
        <w:t xml:space="preserve">they are </w:t>
      </w:r>
      <w:r w:rsidRPr="00E41F38">
        <w:rPr>
          <w:rStyle w:val="StyleUnderline"/>
          <w:rFonts w:eastAsiaTheme="majorEastAsia" w:cstheme="majorBidi"/>
          <w:b/>
          <w:sz w:val="32"/>
          <w:szCs w:val="24"/>
          <w:highlight w:val="green"/>
          <w:bdr w:val="single" w:sz="8" w:space="0" w:color="auto"/>
        </w:rPr>
        <w:t>not defending a Resolution-based change to the status quo</w:t>
      </w:r>
      <w:r w:rsidRPr="006C7DD0">
        <w:rPr>
          <w:rStyle w:val="StyleUnderline"/>
        </w:rPr>
        <w:t xml:space="preserve"> that resolves </w:t>
      </w:r>
      <w:proofErr w:type="gramStart"/>
      <w:r w:rsidRPr="006C7DD0">
        <w:rPr>
          <w:rStyle w:val="StyleUnderline"/>
        </w:rPr>
        <w:t>a significant</w:t>
      </w:r>
      <w:proofErr w:type="gramEnd"/>
      <w:r w:rsidRPr="006C7DD0">
        <w:rPr>
          <w:rStyle w:val="StyleUnderline"/>
        </w:rPr>
        <w:t xml:space="preserve"> harm</w:t>
      </w:r>
      <w:r w:rsidRPr="006E570F">
        <w:rPr>
          <w:rStyle w:val="StyleUnderline"/>
        </w:rPr>
        <w:t>. The KFM does not attempt to duplicate the same level of policy precision that advocates of the PFM claim to</w:t>
      </w:r>
      <w:proofErr w:type="gramStart"/>
      <w:r w:rsidRPr="006E570F">
        <w:rPr>
          <w:rStyle w:val="StyleUnderline"/>
        </w:rPr>
        <w:t>.</w:t>
      </w:r>
      <w:proofErr w:type="gramEnd"/>
      <w:r w:rsidRPr="006E570F">
        <w:rPr>
          <w:rStyle w:val="StyleUnderline"/>
        </w:rPr>
        <w:t xml:space="preserve"> However, </w:t>
      </w:r>
      <w:r w:rsidRPr="00E41F38">
        <w:rPr>
          <w:rStyle w:val="StyleUnderline"/>
        </w:rPr>
        <w:t xml:space="preserve">KFM does not dismiss the need for </w:t>
      </w:r>
      <w:r w:rsidRPr="00E41F38">
        <w:rPr>
          <w:rStyle w:val="StyleUnderline"/>
          <w:rFonts w:eastAsiaTheme="majorEastAsia" w:cstheme="majorBidi"/>
          <w:b/>
          <w:sz w:val="32"/>
          <w:szCs w:val="24"/>
          <w:bdr w:val="single" w:sz="8" w:space="0" w:color="auto"/>
        </w:rPr>
        <w:t xml:space="preserve">policy details to be </w:t>
      </w:r>
      <w:proofErr w:type="gramStart"/>
      <w:r w:rsidRPr="00E41F38">
        <w:rPr>
          <w:rStyle w:val="StyleUnderline"/>
          <w:rFonts w:eastAsiaTheme="majorEastAsia" w:cstheme="majorBidi"/>
          <w:b/>
          <w:sz w:val="32"/>
          <w:szCs w:val="24"/>
          <w:bdr w:val="single" w:sz="8" w:space="0" w:color="auto"/>
        </w:rPr>
        <w:t>germane</w:t>
      </w:r>
      <w:proofErr w:type="gramEnd"/>
      <w:r w:rsidRPr="00E41F38">
        <w:rPr>
          <w:rStyle w:val="StyleUnderline"/>
          <w:rFonts w:eastAsiaTheme="majorEastAsia" w:cstheme="majorBidi"/>
          <w:b/>
          <w:sz w:val="32"/>
          <w:szCs w:val="24"/>
          <w:bdr w:val="single" w:sz="8" w:space="0" w:color="auto"/>
        </w:rPr>
        <w:t xml:space="preserve"> to the Method of the Affirmative</w:t>
      </w:r>
      <w:r w:rsidRPr="00E41F38">
        <w:rPr>
          <w:rStyle w:val="StyleUnderline"/>
        </w:rPr>
        <w:t xml:space="preserve">. </w:t>
      </w:r>
      <w:r w:rsidRPr="00E41F38">
        <w:rPr>
          <w:sz w:val="14"/>
        </w:rPr>
        <w:t xml:space="preserve">I spoke to Robel Worku, a labor organizer in Denver, Colorado, about the role that details play in social justice. As a former qualifier to the Tournament of Champions and the NDT, he spent his time in debate </w:t>
      </w:r>
      <w:proofErr w:type="gramStart"/>
      <w:r w:rsidRPr="00E41F38">
        <w:rPr>
          <w:sz w:val="14"/>
        </w:rPr>
        <w:t>engaging</w:t>
      </w:r>
      <w:proofErr w:type="gramEnd"/>
      <w:r w:rsidRPr="00E41F38">
        <w:rPr>
          <w:sz w:val="14"/>
        </w:rPr>
        <w:t xml:space="preserve"> the PFM. He shared with me that “…</w:t>
      </w:r>
      <w:r w:rsidRPr="00E41F38">
        <w:rPr>
          <w:rStyle w:val="Emphasis"/>
        </w:rPr>
        <w:t>policy details are important” specifically when speaking with legislators</w:t>
      </w:r>
      <w:r w:rsidRPr="00E41F38">
        <w:rPr>
          <w:sz w:val="14"/>
        </w:rPr>
        <w:t>. Moreover,</w:t>
      </w:r>
      <w:r w:rsidRPr="00B37223">
        <w:rPr>
          <w:sz w:val="14"/>
        </w:rPr>
        <w:t xml:space="preserve"> </w:t>
      </w:r>
      <w:r w:rsidRPr="00E41F38">
        <w:rPr>
          <w:rFonts w:eastAsiaTheme="majorEastAsia" w:cstheme="majorBidi"/>
          <w:b/>
          <w:sz w:val="32"/>
          <w:szCs w:val="24"/>
          <w:highlight w:val="green"/>
          <w:u w:val="single"/>
          <w:bdr w:val="single" w:sz="8" w:space="0" w:color="auto"/>
        </w:rPr>
        <w:t>dismissing details</w:t>
      </w:r>
      <w:r w:rsidRPr="00B37223">
        <w:rPr>
          <w:sz w:val="14"/>
        </w:rPr>
        <w:t>,” in the project of organizing and building power “</w:t>
      </w:r>
      <w:r w:rsidRPr="00E41F38">
        <w:rPr>
          <w:rStyle w:val="Emphasis"/>
          <w:rFonts w:eastAsiaTheme="majorEastAsia" w:cstheme="majorBidi"/>
          <w:iCs w:val="0"/>
          <w:sz w:val="32"/>
          <w:szCs w:val="24"/>
          <w:highlight w:val="green"/>
        </w:rPr>
        <w:t>lets people with power set the terms of discussion which,” leaves power at the table.”</w:t>
      </w:r>
      <w:r w:rsidRPr="00B37223">
        <w:rPr>
          <w:sz w:val="14"/>
        </w:rPr>
        <w:t xml:space="preserve"> However, Robel does remember debating and watching Kritik teams such as West Georgia DF that would always articulate their argument (</w:t>
      </w:r>
      <w:proofErr w:type="spellStart"/>
      <w:r w:rsidRPr="00B37223">
        <w:rPr>
          <w:sz w:val="14"/>
        </w:rPr>
        <w:t>Afropesimism</w:t>
      </w:r>
      <w:proofErr w:type="spellEnd"/>
      <w:r w:rsidRPr="00B37223">
        <w:rPr>
          <w:sz w:val="14"/>
        </w:rPr>
        <w:t xml:space="preserve">, Critical Race Theory, Red Pedagogy) in the context of policy. Understanding the role that mechanisms play in ensuring enforcement or amending agreements is important and can be a valuable part of Kritik debates. However, he does not think that the focus on semantics in </w:t>
      </w:r>
      <w:r w:rsidRPr="00E41F38">
        <w:rPr>
          <w:rFonts w:eastAsiaTheme="majorEastAsia" w:cstheme="majorBidi"/>
          <w:b/>
          <w:sz w:val="32"/>
          <w:szCs w:val="24"/>
          <w:highlight w:val="green"/>
          <w:u w:val="single"/>
        </w:rPr>
        <w:t>Topicality/Framework</w:t>
      </w:r>
      <w:r w:rsidRPr="00B37223">
        <w:rPr>
          <w:rFonts w:eastAsiaTheme="majorEastAsia" w:cstheme="majorBidi"/>
          <w:b/>
          <w:sz w:val="32"/>
          <w:szCs w:val="24"/>
          <w:u w:val="single"/>
        </w:rPr>
        <w:t xml:space="preserve"> (TFW) debates</w:t>
      </w:r>
      <w:r w:rsidRPr="00B37223">
        <w:rPr>
          <w:sz w:val="14"/>
        </w:rPr>
        <w:t xml:space="preserve"> is helpful in increasing understanding of those details. </w:t>
      </w:r>
      <w:proofErr w:type="spellStart"/>
      <w:r w:rsidRPr="00B37223">
        <w:rPr>
          <w:sz w:val="14"/>
        </w:rPr>
        <w:t>Srindhi</w:t>
      </w:r>
      <w:proofErr w:type="spellEnd"/>
      <w:r w:rsidRPr="00B37223">
        <w:rPr>
          <w:sz w:val="14"/>
        </w:rPr>
        <w:t xml:space="preserve"> Mupala,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w:t>
      </w:r>
      <w:proofErr w:type="gramStart"/>
      <w:r w:rsidRPr="00B37223">
        <w:rPr>
          <w:sz w:val="14"/>
        </w:rPr>
        <w:t>debate</w:t>
      </w:r>
      <w:proofErr w:type="gramEnd"/>
      <w:r w:rsidRPr="00B37223">
        <w:rPr>
          <w:sz w:val="14"/>
        </w:rPr>
        <w:t xml:space="preserve"> you learn all the different perspectives…I don’t really remember the details of [Ballistic Missile Defense] anymore…That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She argued that it allowed them to learn about legalization policy from the perspective of activists, policymakers, and special interest groups while understanding how discourse around policy shapes implementation. 5. Being Negative This paper has already established that there are often debatable controversies in the literature that give the Negative ground. By re-thinking what it means to evaluate the Resolution from a Radical Stasis Point and by reading across the academy, Negative teams can win within the KFM. There are countless </w:t>
      </w:r>
      <w:proofErr w:type="spellStart"/>
      <w:r w:rsidRPr="00B37223">
        <w:rPr>
          <w:sz w:val="14"/>
        </w:rPr>
        <w:t>Kritikal</w:t>
      </w:r>
      <w:proofErr w:type="spellEnd"/>
      <w:r w:rsidRPr="00B37223">
        <w:rPr>
          <w:sz w:val="14"/>
        </w:rPr>
        <w:t xml:space="preserve"> First-Round teams that prove that this is possible</w:t>
      </w:r>
      <w:r w:rsidRPr="008B3E27">
        <w:rPr>
          <w:rStyle w:val="StyleUnderline"/>
        </w:rPr>
        <w:t>.</w:t>
      </w:r>
      <w:r w:rsidRPr="00B37223">
        <w:rPr>
          <w:sz w:val="14"/>
        </w:rPr>
        <w:t xml:space="preserve"> TFW</w:t>
      </w:r>
      <w:r w:rsidRPr="00E41F38">
        <w:rPr>
          <w:rStyle w:val="StyleUnderline"/>
          <w:rFonts w:eastAsiaTheme="majorEastAsia" w:cstheme="majorBidi"/>
          <w:b/>
          <w:sz w:val="14"/>
          <w:szCs w:val="24"/>
          <w:highlight w:val="green"/>
        </w:rPr>
        <w:t xml:space="preserve"> </w:t>
      </w:r>
      <w:r w:rsidRPr="00E41F38">
        <w:rPr>
          <w:rStyle w:val="StyleUnderline"/>
          <w:rFonts w:eastAsiaTheme="majorEastAsia" w:cstheme="majorBidi"/>
          <w:b/>
          <w:sz w:val="32"/>
          <w:szCs w:val="24"/>
          <w:highlight w:val="green"/>
        </w:rPr>
        <w:t>should be an option of last resort</w:t>
      </w:r>
      <w:r w:rsidRPr="00B37223">
        <w:rPr>
          <w:rStyle w:val="StyleUnderline"/>
          <w:rFonts w:eastAsiaTheme="majorEastAsia" w:cstheme="majorBidi"/>
          <w:b/>
          <w:sz w:val="32"/>
          <w:szCs w:val="24"/>
        </w:rPr>
        <w:t xml:space="preserve"> under the KFM </w:t>
      </w:r>
      <w:r w:rsidRPr="00E41F38">
        <w:rPr>
          <w:rStyle w:val="StyleUnderline"/>
          <w:rFonts w:eastAsiaTheme="majorEastAsia" w:cstheme="majorBidi"/>
          <w:b/>
          <w:sz w:val="32"/>
          <w:szCs w:val="24"/>
        </w:rPr>
        <w:t>(</w:t>
      </w:r>
      <w:r w:rsidRPr="00E41F38">
        <w:rPr>
          <w:rStyle w:val="StyleUnderline"/>
          <w:rFonts w:eastAsiaTheme="majorEastAsia" w:cstheme="majorBidi"/>
          <w:b/>
          <w:sz w:val="32"/>
          <w:szCs w:val="24"/>
          <w:highlight w:val="green"/>
        </w:rPr>
        <w:t xml:space="preserve">unless you are debating an undisclosed Affirmative) because it is overwhelmingly used to disengage from the content of the </w:t>
      </w:r>
      <w:r w:rsidRPr="00E41F38">
        <w:rPr>
          <w:rFonts w:eastAsiaTheme="majorEastAsia" w:cstheme="majorBidi"/>
          <w:b/>
          <w:sz w:val="32"/>
          <w:szCs w:val="24"/>
          <w:highlight w:val="green"/>
          <w:u w:val="single"/>
        </w:rPr>
        <w:t>Affirmative</w:t>
      </w:r>
      <w:r w:rsidRPr="008B3E27">
        <w:rPr>
          <w:rStyle w:val="StyleUnderline"/>
        </w:rPr>
        <w:t xml:space="preserve"> </w:t>
      </w:r>
      <w:r w:rsidRPr="00B37223">
        <w:rPr>
          <w:rStyle w:val="StyleUnderline"/>
        </w:rPr>
        <w:t>(</w:t>
      </w:r>
      <w:r w:rsidRPr="00B37223">
        <w:rPr>
          <w:rStyle w:val="StyleUnderline"/>
          <w:rFonts w:eastAsiaTheme="majorEastAsia" w:cstheme="majorBidi"/>
          <w:b/>
          <w:sz w:val="32"/>
          <w:szCs w:val="24"/>
        </w:rPr>
        <w:t>Odekirk and Reid-</w:t>
      </w:r>
      <w:proofErr w:type="spellStart"/>
      <w:r w:rsidRPr="00B37223">
        <w:rPr>
          <w:rStyle w:val="StyleUnderline"/>
          <w:rFonts w:eastAsiaTheme="majorEastAsia" w:cstheme="majorBidi"/>
          <w:b/>
          <w:sz w:val="32"/>
          <w:szCs w:val="24"/>
        </w:rPr>
        <w:t>Brinkely</w:t>
      </w:r>
      <w:proofErr w:type="spellEnd"/>
      <w:r w:rsidRPr="00B37223">
        <w:rPr>
          <w:rStyle w:val="StyleUnderline"/>
          <w:rFonts w:eastAsiaTheme="majorEastAsia" w:cstheme="majorBidi"/>
          <w:b/>
          <w:sz w:val="32"/>
          <w:szCs w:val="24"/>
        </w:rPr>
        <w:t>, 2012</w:t>
      </w:r>
      <w:r w:rsidRPr="00B37223">
        <w:rPr>
          <w:rStyle w:val="StyleUnderline"/>
        </w:rPr>
        <w:t>)</w:t>
      </w:r>
      <w:r w:rsidRPr="00B37223">
        <w:rPr>
          <w:sz w:val="14"/>
        </w:rPr>
        <w:t xml:space="preserve">. There are three types of Kritik arguments that always engage the Affirmative – Case turns, Counter-Methods, and Ethics Argument. Each of these operate similarly to PFM Disadvantages, counterplans, and Structural </w:t>
      </w:r>
      <w:proofErr w:type="spellStart"/>
      <w:r w:rsidRPr="00B37223">
        <w:rPr>
          <w:sz w:val="14"/>
        </w:rPr>
        <w:t>Kritiks</w:t>
      </w:r>
      <w:proofErr w:type="spellEnd"/>
      <w:r w:rsidRPr="00B37223">
        <w:rPr>
          <w:sz w:val="14"/>
        </w:rPr>
        <w:t xml:space="preserve">, respectively. Where teams generally falter is thinking through </w:t>
      </w:r>
      <w:proofErr w:type="gramStart"/>
      <w:r w:rsidRPr="00B37223">
        <w:rPr>
          <w:sz w:val="14"/>
        </w:rPr>
        <w:t>link</w:t>
      </w:r>
      <w:proofErr w:type="gramEnd"/>
      <w:r w:rsidRPr="00B37223">
        <w:rPr>
          <w:sz w:val="14"/>
        </w:rPr>
        <w:t xml:space="preserve">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w:t>
      </w:r>
      <w:proofErr w:type="gramStart"/>
      <w:r w:rsidRPr="00B37223">
        <w:rPr>
          <w:sz w:val="14"/>
        </w:rPr>
        <w:t>suggest</w:t>
      </w:r>
      <w:proofErr w:type="gramEnd"/>
      <w:r w:rsidRPr="00B37223">
        <w:rPr>
          <w:sz w:val="14"/>
        </w:rPr>
        <w:t xml:space="preserve"> that teams, “Thinking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w:t>
      </w:r>
      <w:proofErr w:type="spellStart"/>
      <w:r w:rsidRPr="00B37223">
        <w:rPr>
          <w:sz w:val="14"/>
        </w:rPr>
        <w:t>Kritikal</w:t>
      </w:r>
      <w:proofErr w:type="spellEnd"/>
      <w:r w:rsidRPr="00B37223">
        <w:rPr>
          <w:sz w:val="14"/>
        </w:rPr>
        <w:t xml:space="preserve"> Affirmative is to respond to the 2AR, not the 1AC. By scouting other teams, </w:t>
      </w:r>
      <w:proofErr w:type="gramStart"/>
      <w:r w:rsidRPr="00B37223">
        <w:rPr>
          <w:sz w:val="14"/>
        </w:rPr>
        <w:t>historicizing</w:t>
      </w:r>
      <w:proofErr w:type="gramEnd"/>
      <w:r w:rsidRPr="00B37223">
        <w:rPr>
          <w:sz w:val="14"/>
        </w:rPr>
        <w:t xml:space="preserve"> the concepts and terms they use, and finding academic support for your links arguments she says you can find a specific strategy for every Affirmative. Alternatively, there is nothing wrong with a generic strategy in either a PFM or KFM. PFM teams generally argue that the Negative ground in Kritik debates is bland and unappealing. This claim would be more persuasive if there were not as many versions of the Antiblackness Kritik to learn, outside of any other argument, as there were viable Politics </w:t>
      </w:r>
      <w:proofErr w:type="gramStart"/>
      <w:r w:rsidRPr="00B37223">
        <w:rPr>
          <w:sz w:val="14"/>
        </w:rPr>
        <w:t>scenarios ]during</w:t>
      </w:r>
      <w:proofErr w:type="gramEnd"/>
      <w:r w:rsidRPr="00B37223">
        <w:rPr>
          <w:sz w:val="14"/>
        </w:rPr>
        <w:t xml:space="preserve"> the 2019-2020 debate season. The challenge of the Kritik is finding literature that interests you and establishing conversations between that scholarship and the other </w:t>
      </w:r>
      <w:proofErr w:type="gramStart"/>
      <w:r w:rsidRPr="00B37223">
        <w:rPr>
          <w:sz w:val="14"/>
        </w:rPr>
        <w:t>team’s</w:t>
      </w:r>
      <w:proofErr w:type="gramEnd"/>
      <w:r w:rsidRPr="00B37223">
        <w:rPr>
          <w:sz w:val="14"/>
        </w:rPr>
        <w:t xml:space="preserve">.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w:t>
      </w:r>
      <w:proofErr w:type="spellStart"/>
      <w:r w:rsidRPr="00B37223">
        <w:rPr>
          <w:sz w:val="14"/>
        </w:rPr>
        <w:t>Kritikal</w:t>
      </w:r>
      <w:proofErr w:type="spellEnd"/>
      <w:r w:rsidRPr="00B37223">
        <w:rPr>
          <w:sz w:val="14"/>
        </w:rPr>
        <w:t xml:space="preserve"> Affirmative that was completely outside of his sphere of training, he was Negative against the 3-Tier Process Method. Before the round his coach, a Kansas </w:t>
      </w:r>
      <w:proofErr w:type="gramStart"/>
      <w:r w:rsidRPr="00B37223">
        <w:rPr>
          <w:sz w:val="14"/>
        </w:rPr>
        <w:t>debater,</w:t>
      </w:r>
      <w:proofErr w:type="gramEnd"/>
      <w:r w:rsidRPr="00B37223">
        <w:rPr>
          <w:sz w:val="14"/>
        </w:rPr>
        <w:t xml:space="preserve"> told him to try his best to engage, to be open-minded, and to move on the fly. When the Affirmative asked him to use certain types of evidence or styles of </w:t>
      </w:r>
      <w:proofErr w:type="gramStart"/>
      <w:r w:rsidRPr="00B37223">
        <w:rPr>
          <w:sz w:val="14"/>
        </w:rPr>
        <w:t>argument</w:t>
      </w:r>
      <w:proofErr w:type="gramEnd"/>
      <w:r w:rsidRPr="00B37223">
        <w:rPr>
          <w:sz w:val="14"/>
        </w:rPr>
        <w:t xml:space="preserve">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w:t>
      </w:r>
      <w:proofErr w:type="spellStart"/>
      <w:r w:rsidRPr="00B37223">
        <w:rPr>
          <w:sz w:val="14"/>
        </w:rPr>
        <w:t>jduges</w:t>
      </w:r>
      <w:proofErr w:type="spellEnd"/>
      <w:r w:rsidRPr="00B37223">
        <w:rPr>
          <w:sz w:val="14"/>
        </w:rPr>
        <w:t xml:space="preserve"> were trying to suppress the spread of the Kritik. Moreover, Dr. Kennedy could not recall a time when a coach or lab leader at summer workshop told him he could not engage </w:t>
      </w:r>
      <w:proofErr w:type="spellStart"/>
      <w:r w:rsidRPr="00B37223">
        <w:rPr>
          <w:sz w:val="14"/>
        </w:rPr>
        <w:t>Kritikal</w:t>
      </w:r>
      <w:proofErr w:type="spellEnd"/>
      <w:r w:rsidRPr="00B37223">
        <w:rPr>
          <w:sz w:val="14"/>
        </w:rPr>
        <w:t xml:space="preserve"> Affirmatives. By the time he was in college he thought of himself as just a debater, not wed to either side of the culture wars, engaging other people on the merits of their arguments. As a coach he taught his </w:t>
      </w:r>
      <w:proofErr w:type="spellStart"/>
      <w:r w:rsidRPr="00B37223">
        <w:rPr>
          <w:sz w:val="14"/>
        </w:rPr>
        <w:t>Kritikal</w:t>
      </w:r>
      <w:proofErr w:type="spellEnd"/>
      <w:r w:rsidRPr="00B37223">
        <w:rPr>
          <w:sz w:val="14"/>
        </w:rPr>
        <w:t xml:space="preserve"> students to manage the workload of Kritik debate by breaking possible affirmative cases up into “genres”, preparing for those areas broadly, and continuing to get more specific as you progress. Debating “genres” of arguments under the </w:t>
      </w:r>
      <w:proofErr w:type="spellStart"/>
      <w:r w:rsidRPr="00B37223">
        <w:rPr>
          <w:sz w:val="14"/>
        </w:rPr>
        <w:t>kFM</w:t>
      </w:r>
      <w:proofErr w:type="spellEnd"/>
      <w:r w:rsidRPr="00B37223">
        <w:rPr>
          <w:sz w:val="14"/>
        </w:rPr>
        <w:t xml:space="preserve"> is hard because it is uncomfortable to rethink cultural assumptions. Srinidhi, with distance from his years as a competitor, realized </w:t>
      </w:r>
      <w:proofErr w:type="gramStart"/>
      <w:r w:rsidRPr="00B37223">
        <w:rPr>
          <w:sz w:val="14"/>
        </w:rPr>
        <w:t>that,</w:t>
      </w:r>
      <w:proofErr w:type="gramEnd"/>
      <w:r w:rsidRPr="00B37223">
        <w:rPr>
          <w:sz w:val="14"/>
        </w:rPr>
        <w:t xml:space="preserve"> “Kritik debate requires one more element of critical thinking. You </w:t>
      </w:r>
      <w:proofErr w:type="gramStart"/>
      <w:r w:rsidRPr="00B37223">
        <w:rPr>
          <w:sz w:val="14"/>
        </w:rPr>
        <w:t>have to</w:t>
      </w:r>
      <w:proofErr w:type="gramEnd"/>
      <w:r w:rsidRPr="00B37223">
        <w:rPr>
          <w:sz w:val="14"/>
        </w:rPr>
        <w:t xml:space="preserve"> think about the thing you’re reading, yourself in relation to it, and yourself in relation to other people that you’re debating … It asks more in evaluating something previously unknown…” </w:t>
      </w:r>
      <w:proofErr w:type="gramStart"/>
      <w:r w:rsidRPr="00B37223">
        <w:rPr>
          <w:sz w:val="14"/>
        </w:rPr>
        <w:t>However</w:t>
      </w:r>
      <w:proofErr w:type="gramEnd"/>
      <w:r w:rsidRPr="00B37223">
        <w:rPr>
          <w:sz w:val="14"/>
        </w:rPr>
        <w:t xml:space="preserve"> this is a feature of KFM, not a bug. To achieve the goal of epistemological growth, students must struggle with tough </w:t>
      </w:r>
    </w:p>
    <w:p w14:paraId="26A81756" w14:textId="10499EA3" w:rsidR="00D91FE5" w:rsidRDefault="00D91FE5" w:rsidP="00D91FE5">
      <w:pPr>
        <w:pStyle w:val="Heading2"/>
      </w:pPr>
      <w:r>
        <w:t>OFF</w:t>
      </w:r>
    </w:p>
    <w:p w14:paraId="3D9BDF44" w14:textId="73A43E4D" w:rsidR="00D91FE5" w:rsidRDefault="00D91FE5" w:rsidP="00D91FE5">
      <w:pPr>
        <w:pStyle w:val="Heading3"/>
      </w:pPr>
      <w:r>
        <w:t>1NC---OFF</w:t>
      </w:r>
    </w:p>
    <w:p w14:paraId="6365EBDC" w14:textId="78B1E100" w:rsidR="00D91FE5" w:rsidRDefault="00B612B5" w:rsidP="00D91FE5">
      <w:r>
        <w:t xml:space="preserve">Palestine </w:t>
      </w:r>
      <w:r w:rsidR="009969C3">
        <w:t>K</w:t>
      </w:r>
    </w:p>
    <w:p w14:paraId="7785162C" w14:textId="77777777" w:rsidR="00B612B5" w:rsidRDefault="00B612B5" w:rsidP="00D91FE5"/>
    <w:p w14:paraId="71F5F49C" w14:textId="7DF0DD19" w:rsidR="00B612B5" w:rsidRPr="000A0602" w:rsidRDefault="00B612B5" w:rsidP="00B612B5">
      <w:pPr>
        <w:pStyle w:val="Heading4"/>
      </w:pPr>
      <w:r>
        <w:t>Disability</w:t>
      </w:r>
      <w:r>
        <w:t xml:space="preserve"> theory ends in Palestine. The </w:t>
      </w:r>
      <w:proofErr w:type="spellStart"/>
      <w:r>
        <w:t>aff’s</w:t>
      </w:r>
      <w:proofErr w:type="spellEnd"/>
      <w:r>
        <w:t xml:space="preserve"> uncritical celebration of the possibility of </w:t>
      </w:r>
      <w:r>
        <w:t>d</w:t>
      </w:r>
      <w:r>
        <w:t xml:space="preserve">isability </w:t>
      </w:r>
      <w:proofErr w:type="gramStart"/>
      <w:r>
        <w:t>utopias</w:t>
      </w:r>
      <w:proofErr w:type="gramEnd"/>
      <w:r>
        <w:t xml:space="preserve"> is reliant on a generative model of disability that is unable to explain or cohere resistance to empire. Prefer an analytic of </w:t>
      </w:r>
      <w:r w:rsidRPr="002F7FC0">
        <w:rPr>
          <w:u w:val="single"/>
        </w:rPr>
        <w:t>debility</w:t>
      </w:r>
      <w:r>
        <w:t xml:space="preserve"> – one which theorizes disability as </w:t>
      </w:r>
      <w:r>
        <w:rPr>
          <w:u w:val="single"/>
        </w:rPr>
        <w:t>spatial</w:t>
      </w:r>
      <w:r>
        <w:t xml:space="preserve">, not </w:t>
      </w:r>
      <w:r>
        <w:rPr>
          <w:u w:val="single"/>
        </w:rPr>
        <w:t>social</w:t>
      </w:r>
    </w:p>
    <w:p w14:paraId="03B60793" w14:textId="77777777" w:rsidR="00B612B5" w:rsidRPr="00100334" w:rsidRDefault="00B612B5" w:rsidP="00B612B5">
      <w:r w:rsidRPr="00100334">
        <w:rPr>
          <w:rStyle w:val="Style13ptBold"/>
        </w:rPr>
        <w:t>Puar 23</w:t>
      </w:r>
      <w:r>
        <w:t>, Professor and Graduate Director of Women's and Gender Studies at Rutgers University (Jasbir K, “</w:t>
      </w:r>
      <w:r w:rsidRPr="00100334">
        <w:t>4. CRITICAL DISABILITY STUDIES AND THE QUESTION OF PALESTINE</w:t>
      </w:r>
      <w:r>
        <w:t>:</w:t>
      </w:r>
      <w:r w:rsidRPr="00100334">
        <w:t xml:space="preserve"> Toward Decolonizing Disability</w:t>
      </w:r>
      <w:r>
        <w:t xml:space="preserve">,” in </w:t>
      </w:r>
      <w:r w:rsidRPr="000A7F54">
        <w:rPr>
          <w:i/>
          <w:iCs/>
        </w:rPr>
        <w:t>Critical Disability Studies and Palestine</w:t>
      </w:r>
      <w:r>
        <w:t>, Duke University Press, pp. 117-124)</w:t>
      </w:r>
    </w:p>
    <w:p w14:paraId="794D5276" w14:textId="77777777" w:rsidR="00B612B5" w:rsidRPr="004307EF" w:rsidRDefault="00B612B5" w:rsidP="00B612B5">
      <w:pPr>
        <w:rPr>
          <w:sz w:val="16"/>
        </w:rPr>
      </w:pPr>
      <w:r w:rsidRPr="004307EF">
        <w:rPr>
          <w:sz w:val="16"/>
        </w:rPr>
        <w:t>The Question of Palestine</w:t>
      </w:r>
    </w:p>
    <w:p w14:paraId="266184AF" w14:textId="77777777" w:rsidR="00B612B5" w:rsidRPr="004307EF" w:rsidRDefault="00B612B5" w:rsidP="00B612B5">
      <w:pPr>
        <w:rPr>
          <w:sz w:val="16"/>
        </w:rPr>
      </w:pPr>
      <w:r w:rsidRPr="004307EF">
        <w:rPr>
          <w:sz w:val="16"/>
        </w:rPr>
        <w:t xml:space="preserve">In April 2021, during a Society for Disability Studies plenary session on crip temporalities, Alison Kafer astutely noted that those who are afforded the indexing of a “before” the pandemic and an “after” the pandemic are already displaying a mark of bodies deemed worthy of care in contrast to those who persist through braided strands of debilitation.1 </w:t>
      </w:r>
      <w:r w:rsidRPr="00030A9D">
        <w:rPr>
          <w:rStyle w:val="StyleUnderline"/>
        </w:rPr>
        <w:t>What has been widely fetishized as “pandemic time” is actually what “crip time” has always been—never on time, waiting out time, needing more time, unable to keep up with time, forced time at home, too long a waiting time</w:t>
      </w:r>
      <w:r w:rsidRPr="004307EF">
        <w:rPr>
          <w:sz w:val="16"/>
        </w:rPr>
        <w:t xml:space="preserve">. </w:t>
      </w:r>
      <w:r w:rsidRPr="00030A9D">
        <w:rPr>
          <w:rStyle w:val="StyleUnderline"/>
        </w:rPr>
        <w:t xml:space="preserve">While there is a </w:t>
      </w:r>
      <w:r w:rsidRPr="00030A9D">
        <w:rPr>
          <w:rStyle w:val="Emphasis"/>
        </w:rPr>
        <w:t>renewed discovery</w:t>
      </w:r>
      <w:r w:rsidRPr="00030A9D">
        <w:rPr>
          <w:rStyle w:val="StyleUnderline"/>
        </w:rPr>
        <w:t xml:space="preserve"> of “</w:t>
      </w:r>
      <w:r w:rsidRPr="00030A9D">
        <w:rPr>
          <w:rStyle w:val="Emphasis"/>
        </w:rPr>
        <w:t>care</w:t>
      </w:r>
      <w:r w:rsidRPr="00030A9D">
        <w:rPr>
          <w:rStyle w:val="StyleUnderline"/>
        </w:rPr>
        <w:t xml:space="preserve">” as an </w:t>
      </w:r>
      <w:r w:rsidRPr="00A32EEA">
        <w:rPr>
          <w:rStyle w:val="Emphasis"/>
        </w:rPr>
        <w:t>ethics</w:t>
      </w:r>
      <w:r w:rsidRPr="00030A9D">
        <w:rPr>
          <w:rStyle w:val="Emphasis"/>
        </w:rPr>
        <w:t xml:space="preserve"> of conviviality and interdependency</w:t>
      </w:r>
      <w:r w:rsidRPr="00030A9D">
        <w:rPr>
          <w:rStyle w:val="StyleUnderline"/>
        </w:rPr>
        <w:t xml:space="preserve">, North American </w:t>
      </w:r>
      <w:r w:rsidRPr="00030A9D">
        <w:rPr>
          <w:rStyle w:val="Emphasis"/>
        </w:rPr>
        <w:t>disability justice</w:t>
      </w:r>
      <w:r w:rsidRPr="00030A9D">
        <w:rPr>
          <w:rStyle w:val="StyleUnderline"/>
        </w:rPr>
        <w:t xml:space="preserve"> organizing has long experimented with the praxis and pedagogy of sharing socially reproductive labor </w:t>
      </w:r>
      <w:proofErr w:type="gramStart"/>
      <w:r w:rsidRPr="00030A9D">
        <w:rPr>
          <w:rStyle w:val="StyleUnderline"/>
        </w:rPr>
        <w:t>in order to</w:t>
      </w:r>
      <w:proofErr w:type="gramEnd"/>
      <w:r w:rsidRPr="00030A9D">
        <w:rPr>
          <w:rStyle w:val="StyleUnderline"/>
        </w:rPr>
        <w:t xml:space="preserve"> counter the stratifying forces of biopolitics</w:t>
      </w:r>
      <w:r w:rsidRPr="004307EF">
        <w:rPr>
          <w:sz w:val="16"/>
        </w:rPr>
        <w:t xml:space="preserve">, akin to what Tithi Bhattacharya calls the communalization of forms of “life making.”2 </w:t>
      </w:r>
    </w:p>
    <w:p w14:paraId="062C0552" w14:textId="77777777" w:rsidR="00B612B5" w:rsidRPr="004307EF" w:rsidRDefault="00B612B5" w:rsidP="00B612B5">
      <w:pPr>
        <w:rPr>
          <w:sz w:val="16"/>
        </w:rPr>
      </w:pPr>
      <w:r w:rsidRPr="004307EF">
        <w:rPr>
          <w:sz w:val="16"/>
        </w:rPr>
        <w:t xml:space="preserve">Crip theorizing illuminates the biopolitical consolidation of the “make live” vector not only in terms of populations but also in terms of praxis, in the quotidian of social reproduction, most pointedly of the social reproduction of the pandemic </w:t>
      </w:r>
      <w:proofErr w:type="spellStart"/>
      <w:r w:rsidRPr="004307EF">
        <w:rPr>
          <w:sz w:val="16"/>
        </w:rPr>
        <w:t>wfh</w:t>
      </w:r>
      <w:proofErr w:type="spellEnd"/>
      <w:r w:rsidRPr="004307EF">
        <w:rPr>
          <w:sz w:val="16"/>
        </w:rPr>
        <w:t xml:space="preserve"> white nuclear capital F family. </w:t>
      </w:r>
      <w:proofErr w:type="gramStart"/>
      <w:r w:rsidRPr="004307EF">
        <w:rPr>
          <w:sz w:val="16"/>
        </w:rPr>
        <w:t>That is to say, while</w:t>
      </w:r>
      <w:proofErr w:type="gramEnd"/>
      <w:r w:rsidRPr="004307EF">
        <w:rPr>
          <w:sz w:val="16"/>
        </w:rPr>
        <w:t xml:space="preserve"> we can easily demarcate the populations that inhabit and protect the make live vector—ruling elite classes, the 1 percent—the amplification of practices of self-preservation during the pandemic gives us a dif</w:t>
      </w:r>
      <w:r w:rsidRPr="004307EF">
        <w:rPr>
          <w:sz w:val="16"/>
        </w:rPr>
        <w:softHyphen/>
        <w:t xml:space="preserve">ferent mapping of the make live vector. Locating a Black feminist tradition of communal care in the work of Audre Lorde, crip theorists Jina Kim and Sami Schalk argue that </w:t>
      </w:r>
      <w:r w:rsidRPr="00030A9D">
        <w:rPr>
          <w:rStyle w:val="StyleUnderline"/>
        </w:rPr>
        <w:t>disabled people do not have the luxury of atomizing social reproduction from reproduction; further, the labor of reproducing oneself is exponentially greater, and often reliant on the work of “femmes of color.”</w:t>
      </w:r>
      <w:r w:rsidRPr="004307EF">
        <w:rPr>
          <w:sz w:val="16"/>
        </w:rPr>
        <w:t xml:space="preserve">3 Sins Invalid, a leading disability justice movement organization for </w:t>
      </w:r>
      <w:proofErr w:type="spellStart"/>
      <w:r w:rsidRPr="004307EF">
        <w:rPr>
          <w:sz w:val="16"/>
        </w:rPr>
        <w:t>bipoc</w:t>
      </w:r>
      <w:proofErr w:type="spellEnd"/>
      <w:r w:rsidRPr="004307EF">
        <w:rPr>
          <w:sz w:val="16"/>
        </w:rPr>
        <w:t xml:space="preserve"> queer, trans, and nonbinary disabled people, has developed an entire lexicon on para- and sub-state community “care webs,” “pods,” “spoons,” centralizing the collectivization of slow time, the </w:t>
      </w:r>
      <w:proofErr w:type="spellStart"/>
      <w:r w:rsidRPr="004307EF">
        <w:rPr>
          <w:sz w:val="16"/>
        </w:rPr>
        <w:t>antinuclearization</w:t>
      </w:r>
      <w:proofErr w:type="spellEnd"/>
      <w:r w:rsidRPr="004307EF">
        <w:rPr>
          <w:sz w:val="16"/>
        </w:rPr>
        <w:t xml:space="preserve"> of care, and, as Heike </w:t>
      </w:r>
      <w:proofErr w:type="spellStart"/>
      <w:r w:rsidRPr="004307EF">
        <w:rPr>
          <w:sz w:val="16"/>
        </w:rPr>
        <w:t>Peckruhn</w:t>
      </w:r>
      <w:proofErr w:type="spellEnd"/>
      <w:r w:rsidRPr="004307EF">
        <w:rPr>
          <w:sz w:val="16"/>
        </w:rPr>
        <w:t xml:space="preserve"> argues, a philosophy of “access” that goes beyond accommodations by demanding “access to life.”4</w:t>
      </w:r>
    </w:p>
    <w:p w14:paraId="61D4C2CD" w14:textId="77777777" w:rsidR="00B612B5" w:rsidRPr="004307EF" w:rsidRDefault="00B612B5" w:rsidP="00B612B5">
      <w:pPr>
        <w:rPr>
          <w:sz w:val="16"/>
        </w:rPr>
      </w:pPr>
      <w:r w:rsidRPr="004307EF">
        <w:rPr>
          <w:sz w:val="16"/>
        </w:rPr>
        <w:t xml:space="preserve">Even as we affirm the capacious and frankly life-saving thinking of North American disability justice movement work and crip theorizing about care webs, resisting productivity, and embracing the collectivization of slow life, </w:t>
      </w:r>
      <w:r w:rsidRPr="00030A9D">
        <w:rPr>
          <w:rStyle w:val="StyleUnderline"/>
        </w:rPr>
        <w:t xml:space="preserve">we can also note the </w:t>
      </w:r>
      <w:r w:rsidRPr="00813BEB">
        <w:rPr>
          <w:rStyle w:val="Emphasis"/>
          <w:highlight w:val="green"/>
        </w:rPr>
        <w:t>epistemological foreclosures</w:t>
      </w:r>
      <w:r w:rsidRPr="00030A9D">
        <w:rPr>
          <w:rStyle w:val="StyleUnderline"/>
        </w:rPr>
        <w:t xml:space="preserve"> of this </w:t>
      </w:r>
      <w:r w:rsidRPr="00030A9D">
        <w:rPr>
          <w:rStyle w:val="Emphasis"/>
        </w:rPr>
        <w:t>lexicon</w:t>
      </w:r>
      <w:r w:rsidRPr="00030A9D">
        <w:rPr>
          <w:rStyle w:val="StyleUnderline"/>
        </w:rPr>
        <w:t xml:space="preserve"> </w:t>
      </w:r>
      <w:r w:rsidRPr="00813BEB">
        <w:rPr>
          <w:rStyle w:val="StyleUnderline"/>
          <w:highlight w:val="green"/>
        </w:rPr>
        <w:t xml:space="preserve">in </w:t>
      </w:r>
      <w:r w:rsidRPr="00813BEB">
        <w:rPr>
          <w:rStyle w:val="Emphasis"/>
          <w:highlight w:val="green"/>
        </w:rPr>
        <w:t>settler colonial contexts</w:t>
      </w:r>
      <w:r w:rsidRPr="00030A9D">
        <w:rPr>
          <w:rStyle w:val="StyleUnderline"/>
        </w:rPr>
        <w:t xml:space="preserve"> such </w:t>
      </w:r>
      <w:r w:rsidRPr="00813BEB">
        <w:rPr>
          <w:rStyle w:val="StyleUnderline"/>
          <w:highlight w:val="green"/>
        </w:rPr>
        <w:t xml:space="preserve">as </w:t>
      </w:r>
      <w:r w:rsidRPr="00813BEB">
        <w:rPr>
          <w:rStyle w:val="Emphasis"/>
          <w:highlight w:val="green"/>
        </w:rPr>
        <w:t>Palestine</w:t>
      </w:r>
      <w:r w:rsidRPr="00030A9D">
        <w:rPr>
          <w:rStyle w:val="StyleUnderline"/>
        </w:rPr>
        <w:t xml:space="preserve">, </w:t>
      </w:r>
      <w:r w:rsidRPr="00813BEB">
        <w:rPr>
          <w:rStyle w:val="StyleUnderline"/>
          <w:highlight w:val="green"/>
        </w:rPr>
        <w:t xml:space="preserve">where </w:t>
      </w:r>
      <w:r w:rsidRPr="00813BEB">
        <w:rPr>
          <w:rStyle w:val="Emphasis"/>
          <w:highlight w:val="green"/>
        </w:rPr>
        <w:t>mass impairment</w:t>
      </w:r>
      <w:r w:rsidRPr="00030A9D">
        <w:rPr>
          <w:rStyle w:val="StyleUnderline"/>
        </w:rPr>
        <w:t xml:space="preserve"> </w:t>
      </w:r>
      <w:r w:rsidRPr="00813BEB">
        <w:rPr>
          <w:rStyle w:val="StyleUnderline"/>
          <w:highlight w:val="green"/>
        </w:rPr>
        <w:t>is</w:t>
      </w:r>
      <w:r w:rsidRPr="00030A9D">
        <w:rPr>
          <w:rStyle w:val="StyleUnderline"/>
        </w:rPr>
        <w:t xml:space="preserve"> a </w:t>
      </w:r>
      <w:r w:rsidRPr="00030A9D">
        <w:rPr>
          <w:rStyle w:val="Emphasis"/>
        </w:rPr>
        <w:t xml:space="preserve">predominating </w:t>
      </w:r>
      <w:r w:rsidRPr="00813BEB">
        <w:rPr>
          <w:rStyle w:val="Emphasis"/>
          <w:highlight w:val="green"/>
        </w:rPr>
        <w:t>source of disability</w:t>
      </w:r>
      <w:r w:rsidRPr="00030A9D">
        <w:rPr>
          <w:rStyle w:val="StyleUnderline"/>
        </w:rPr>
        <w:t xml:space="preserve"> and there has been over the years the use of a “shoot to cripple” approach to disciplining and controlling the colonized</w:t>
      </w:r>
      <w:r w:rsidRPr="004307EF">
        <w:rPr>
          <w:sz w:val="16"/>
        </w:rPr>
        <w:t xml:space="preserve">. </w:t>
      </w:r>
      <w:r w:rsidRPr="00813BEB">
        <w:rPr>
          <w:rStyle w:val="StyleUnderline"/>
          <w:highlight w:val="green"/>
        </w:rPr>
        <w:t>It is unclear</w:t>
      </w:r>
      <w:r w:rsidRPr="00030A9D">
        <w:rPr>
          <w:rStyle w:val="StyleUnderline"/>
        </w:rPr>
        <w:t xml:space="preserve"> that the terminology of </w:t>
      </w:r>
      <w:r w:rsidRPr="00813BEB">
        <w:rPr>
          <w:rStyle w:val="Emphasis"/>
          <w:highlight w:val="green"/>
        </w:rPr>
        <w:t>crip</w:t>
      </w:r>
      <w:r w:rsidRPr="00030A9D">
        <w:rPr>
          <w:rStyle w:val="Emphasis"/>
        </w:rPr>
        <w:t xml:space="preserve"> disability </w:t>
      </w:r>
      <w:r w:rsidRPr="00813BEB">
        <w:rPr>
          <w:rStyle w:val="Emphasis"/>
          <w:highlight w:val="green"/>
        </w:rPr>
        <w:t>studies</w:t>
      </w:r>
      <w:r w:rsidRPr="00813BEB">
        <w:rPr>
          <w:rStyle w:val="StyleUnderline"/>
          <w:highlight w:val="green"/>
        </w:rPr>
        <w:t xml:space="preserve"> is even </w:t>
      </w:r>
      <w:r w:rsidRPr="00813BEB">
        <w:rPr>
          <w:rStyle w:val="Emphasis"/>
          <w:highlight w:val="green"/>
        </w:rPr>
        <w:t>resonant</w:t>
      </w:r>
      <w:r w:rsidRPr="00030A9D">
        <w:rPr>
          <w:rStyle w:val="StyleUnderline"/>
        </w:rPr>
        <w:t xml:space="preserve"> in a context where “</w:t>
      </w:r>
      <w:r w:rsidRPr="00030A9D">
        <w:rPr>
          <w:rStyle w:val="Emphasis"/>
        </w:rPr>
        <w:t>shoot to cripple</w:t>
      </w:r>
      <w:r w:rsidRPr="00030A9D">
        <w:rPr>
          <w:rStyle w:val="StyleUnderline"/>
        </w:rPr>
        <w:t xml:space="preserve">” is a </w:t>
      </w:r>
      <w:r w:rsidRPr="00030A9D">
        <w:rPr>
          <w:rStyle w:val="Emphasis"/>
        </w:rPr>
        <w:t>settler colonial tactic</w:t>
      </w:r>
      <w:r w:rsidRPr="004307EF">
        <w:rPr>
          <w:sz w:val="16"/>
        </w:rPr>
        <w:t xml:space="preserve">. Additionally, </w:t>
      </w:r>
      <w:r w:rsidRPr="00030A9D">
        <w:rPr>
          <w:rStyle w:val="StyleUnderline"/>
        </w:rPr>
        <w:t>concepts such as “</w:t>
      </w:r>
      <w:r w:rsidRPr="00A32EEA">
        <w:rPr>
          <w:rStyle w:val="Emphasis"/>
        </w:rPr>
        <w:t>ableism</w:t>
      </w:r>
      <w:r w:rsidRPr="00030A9D">
        <w:rPr>
          <w:rStyle w:val="StyleUnderline"/>
        </w:rPr>
        <w:t>,” “access,” and “</w:t>
      </w:r>
      <w:r w:rsidRPr="00030A9D">
        <w:rPr>
          <w:rStyle w:val="Emphasis"/>
        </w:rPr>
        <w:t>accommodation</w:t>
      </w:r>
      <w:r w:rsidRPr="00030A9D">
        <w:rPr>
          <w:rStyle w:val="StyleUnderline"/>
        </w:rPr>
        <w:t xml:space="preserve">” are necessarily </w:t>
      </w:r>
      <w:r w:rsidRPr="00030A9D">
        <w:rPr>
          <w:rStyle w:val="Emphasis"/>
        </w:rPr>
        <w:t>revaluated</w:t>
      </w:r>
      <w:r w:rsidRPr="004307EF">
        <w:rPr>
          <w:sz w:val="16"/>
        </w:rPr>
        <w:t xml:space="preserve">. </w:t>
      </w:r>
      <w:r w:rsidRPr="00030A9D">
        <w:rPr>
          <w:rStyle w:val="StyleUnderline"/>
        </w:rPr>
        <w:t>Access and what is accessible in Palestine center relationships of occupied space and colonized mobility</w:t>
      </w:r>
      <w:r w:rsidRPr="004307EF">
        <w:rPr>
          <w:sz w:val="16"/>
        </w:rPr>
        <w:t>. For example, bus and taxis drivers are conjuring constantly shifting “access maps” through monitoring and assessing impromptu checkpoints, divided highways, the violence of the Israeli occupation forces (</w:t>
      </w:r>
      <w:proofErr w:type="spellStart"/>
      <w:r w:rsidRPr="004307EF">
        <w:rPr>
          <w:sz w:val="16"/>
        </w:rPr>
        <w:t>iof</w:t>
      </w:r>
      <w:proofErr w:type="spellEnd"/>
      <w:r w:rsidRPr="004307EF">
        <w:rPr>
          <w:sz w:val="16"/>
        </w:rPr>
        <w:t>), the presence of settlers, increasing drone surveillance, unexplained road closures, protest and mass demonstrations, spontaneous parades that welcome released prisoners, and house demolitions.</w:t>
      </w:r>
    </w:p>
    <w:p w14:paraId="3A420C2A" w14:textId="77777777" w:rsidR="00B612B5" w:rsidRPr="004307EF" w:rsidRDefault="00B612B5" w:rsidP="00B612B5">
      <w:pPr>
        <w:rPr>
          <w:sz w:val="16"/>
        </w:rPr>
      </w:pPr>
      <w:r w:rsidRPr="00030A9D">
        <w:rPr>
          <w:rStyle w:val="StyleUnderline"/>
        </w:rPr>
        <w:t>But this is not only a problem of terminology and its travels</w:t>
      </w:r>
      <w:r w:rsidRPr="004307EF">
        <w:rPr>
          <w:sz w:val="16"/>
        </w:rPr>
        <w:t xml:space="preserve">. </w:t>
      </w:r>
      <w:r w:rsidRPr="00030A9D">
        <w:rPr>
          <w:rStyle w:val="StyleUnderline"/>
        </w:rPr>
        <w:t xml:space="preserve">Thinking through the limits of such frames provides an opportunity to theorize </w:t>
      </w:r>
      <w:proofErr w:type="gramStart"/>
      <w:r w:rsidRPr="00030A9D">
        <w:rPr>
          <w:rStyle w:val="StyleUnderline"/>
        </w:rPr>
        <w:t xml:space="preserve">a </w:t>
      </w:r>
      <w:r w:rsidRPr="00813BEB">
        <w:rPr>
          <w:rStyle w:val="Emphasis"/>
          <w:highlight w:val="green"/>
        </w:rPr>
        <w:t>geopolitics</w:t>
      </w:r>
      <w:proofErr w:type="gramEnd"/>
      <w:r w:rsidRPr="00813BEB">
        <w:rPr>
          <w:rStyle w:val="Emphasis"/>
          <w:highlight w:val="green"/>
        </w:rPr>
        <w:t xml:space="preserve"> of disability</w:t>
      </w:r>
      <w:r w:rsidRPr="00030A9D">
        <w:rPr>
          <w:rStyle w:val="Emphasis"/>
        </w:rPr>
        <w:t xml:space="preserve"> knowledge production</w:t>
      </w:r>
      <w:r w:rsidRPr="00030A9D">
        <w:rPr>
          <w:rStyle w:val="StyleUnderline"/>
        </w:rPr>
        <w:t xml:space="preserve"> that does not reify Global North/ South divides but instead </w:t>
      </w:r>
      <w:r w:rsidRPr="00813BEB">
        <w:rPr>
          <w:rStyle w:val="StyleUnderline"/>
          <w:highlight w:val="green"/>
        </w:rPr>
        <w:t>foregrounds</w:t>
      </w:r>
      <w:r w:rsidRPr="00030A9D">
        <w:rPr>
          <w:rStyle w:val="StyleUnderline"/>
        </w:rPr>
        <w:t xml:space="preserve"> the </w:t>
      </w:r>
      <w:r w:rsidRPr="00813BEB">
        <w:rPr>
          <w:rStyle w:val="Emphasis"/>
          <w:highlight w:val="green"/>
        </w:rPr>
        <w:t>intermeshed matrices</w:t>
      </w:r>
      <w:r w:rsidRPr="00813BEB">
        <w:rPr>
          <w:rStyle w:val="StyleUnderline"/>
          <w:highlight w:val="green"/>
        </w:rPr>
        <w:t xml:space="preserve"> of</w:t>
      </w:r>
      <w:r w:rsidRPr="00030A9D">
        <w:rPr>
          <w:rStyle w:val="StyleUnderline"/>
        </w:rPr>
        <w:t xml:space="preserve"> </w:t>
      </w:r>
      <w:r w:rsidRPr="00030A9D">
        <w:rPr>
          <w:rStyle w:val="Emphasis"/>
        </w:rPr>
        <w:t>settler colonialism</w:t>
      </w:r>
      <w:r w:rsidRPr="00030A9D">
        <w:rPr>
          <w:rStyle w:val="StyleUnderline"/>
        </w:rPr>
        <w:t xml:space="preserve">, </w:t>
      </w:r>
      <w:r w:rsidRPr="00030A9D">
        <w:rPr>
          <w:rStyle w:val="Emphasis"/>
        </w:rPr>
        <w:t>empire</w:t>
      </w:r>
      <w:r w:rsidRPr="00030A9D">
        <w:rPr>
          <w:rStyle w:val="StyleUnderline"/>
        </w:rPr>
        <w:t xml:space="preserve">, and </w:t>
      </w:r>
      <w:r w:rsidRPr="00813BEB">
        <w:rPr>
          <w:rStyle w:val="Emphasis"/>
          <w:highlight w:val="green"/>
        </w:rPr>
        <w:t>infrastructures of disablement</w:t>
      </w:r>
      <w:r w:rsidRPr="00030A9D">
        <w:rPr>
          <w:rStyle w:val="StyleUnderline"/>
        </w:rPr>
        <w:t xml:space="preserve"> that cut across otherwise self-apparent geographies</w:t>
      </w:r>
      <w:r w:rsidRPr="004307EF">
        <w:rPr>
          <w:sz w:val="16"/>
        </w:rPr>
        <w:t xml:space="preserve">. I use the Global North/Global South framing provisionally to mark rather than resolve the messiness of geopolitics. </w:t>
      </w:r>
      <w:r w:rsidRPr="000E2166">
        <w:rPr>
          <w:rStyle w:val="StyleUnderline"/>
        </w:rPr>
        <w:t>Palestine is often conceived of and taught as part of the Global South, but it is no less part of the Global North given the Israeli settler colonial occupation and the financial and ideological global support that Israel enjoys</w:t>
      </w:r>
      <w:r w:rsidRPr="004307EF">
        <w:rPr>
          <w:sz w:val="16"/>
        </w:rPr>
        <w:t xml:space="preserve">. Further, </w:t>
      </w:r>
      <w:r w:rsidRPr="000E2166">
        <w:rPr>
          <w:rStyle w:val="StyleUnderline"/>
        </w:rPr>
        <w:t>the United States and Israel are co-entwined in the normalization of settler colonialism, a structure that requires “</w:t>
      </w:r>
      <w:r w:rsidRPr="000E2166">
        <w:rPr>
          <w:rStyle w:val="Emphasis"/>
        </w:rPr>
        <w:t>perpetual injury as genocide</w:t>
      </w:r>
      <w:r w:rsidRPr="000E2166">
        <w:rPr>
          <w:rStyle w:val="StyleUnderline"/>
        </w:rPr>
        <w:t>.”</w:t>
      </w:r>
      <w:r w:rsidRPr="004307EF">
        <w:rPr>
          <w:sz w:val="16"/>
        </w:rPr>
        <w:t>5 This entwinement can be thought of in several dif</w:t>
      </w:r>
      <w:r w:rsidRPr="004307EF">
        <w:rPr>
          <w:sz w:val="16"/>
        </w:rPr>
        <w:softHyphen/>
        <w:t xml:space="preserve">ferent ways, both conceptually and materially. Palestinian </w:t>
      </w:r>
      <w:proofErr w:type="spellStart"/>
      <w:r w:rsidRPr="004307EF">
        <w:rPr>
          <w:sz w:val="16"/>
        </w:rPr>
        <w:t>cds</w:t>
      </w:r>
      <w:proofErr w:type="spellEnd"/>
      <w:r w:rsidRPr="004307EF">
        <w:rPr>
          <w:sz w:val="16"/>
        </w:rPr>
        <w:t xml:space="preserve"> scholar Yasmin Snounu argues that “contextualizing disability in Palestine within the U.S. frame of reference is important because disability is strongly intertwined with the political involvement of the U.S. in Palestine.”6 In an article (coauthored with Phil Smith and Joe Bishop), </w:t>
      </w:r>
      <w:proofErr w:type="spellStart"/>
      <w:r w:rsidRPr="004307EF">
        <w:rPr>
          <w:sz w:val="16"/>
        </w:rPr>
        <w:t>Snounu</w:t>
      </w:r>
      <w:proofErr w:type="spellEnd"/>
      <w:r w:rsidRPr="004307EF">
        <w:rPr>
          <w:sz w:val="16"/>
        </w:rPr>
        <w:t xml:space="preserve"> notes that “</w:t>
      </w:r>
      <w:r w:rsidRPr="000E2166">
        <w:rPr>
          <w:rStyle w:val="StyleUnderline"/>
        </w:rPr>
        <w:t xml:space="preserve">the U.S. in particular, contributes to the </w:t>
      </w:r>
      <w:r w:rsidRPr="00813BEB">
        <w:rPr>
          <w:rStyle w:val="Emphasis"/>
          <w:highlight w:val="green"/>
        </w:rPr>
        <w:t>disablement of Palestinian people</w:t>
      </w:r>
      <w:r w:rsidRPr="000E2166">
        <w:rPr>
          <w:rStyle w:val="StyleUnderline"/>
        </w:rPr>
        <w:t xml:space="preserve"> by supporting colonial projects of the Israeli state</w:t>
      </w:r>
      <w:r w:rsidRPr="004307EF">
        <w:rPr>
          <w:sz w:val="16"/>
        </w:rPr>
        <w:t xml:space="preserve">. </w:t>
      </w:r>
      <w:r w:rsidRPr="00813BEB">
        <w:rPr>
          <w:rStyle w:val="StyleUnderline"/>
          <w:highlight w:val="green"/>
        </w:rPr>
        <w:t>Then</w:t>
      </w:r>
      <w:r w:rsidRPr="000E2166">
        <w:rPr>
          <w:rStyle w:val="StyleUnderline"/>
        </w:rPr>
        <w:t xml:space="preserve">, the United States sends developing countries </w:t>
      </w:r>
      <w:r w:rsidRPr="00813BEB">
        <w:rPr>
          <w:rStyle w:val="Emphasis"/>
          <w:highlight w:val="green"/>
        </w:rPr>
        <w:t>funding</w:t>
      </w:r>
      <w:r w:rsidRPr="00813BEB">
        <w:rPr>
          <w:rStyle w:val="StyleUnderline"/>
          <w:highlight w:val="green"/>
        </w:rPr>
        <w:t xml:space="preserve"> for </w:t>
      </w:r>
      <w:r w:rsidRPr="00813BEB">
        <w:rPr>
          <w:rStyle w:val="Emphasis"/>
          <w:highlight w:val="green"/>
        </w:rPr>
        <w:t>disability projects</w:t>
      </w:r>
      <w:r w:rsidRPr="004307EF">
        <w:rPr>
          <w:sz w:val="16"/>
        </w:rPr>
        <w:t>.”7</w:t>
      </w:r>
    </w:p>
    <w:p w14:paraId="12D96AFF" w14:textId="77777777" w:rsidR="00B612B5" w:rsidRPr="004307EF" w:rsidRDefault="00B612B5" w:rsidP="00B612B5">
      <w:pPr>
        <w:rPr>
          <w:sz w:val="16"/>
        </w:rPr>
      </w:pPr>
      <w:r w:rsidRPr="004307EF">
        <w:rPr>
          <w:sz w:val="16"/>
        </w:rPr>
        <w:t xml:space="preserve">Highlighting the perverse circuits of injury and care, </w:t>
      </w:r>
      <w:proofErr w:type="spellStart"/>
      <w:r w:rsidRPr="004307EF">
        <w:rPr>
          <w:sz w:val="16"/>
        </w:rPr>
        <w:t>Snounu</w:t>
      </w:r>
      <w:proofErr w:type="spellEnd"/>
      <w:r w:rsidRPr="004307EF">
        <w:rPr>
          <w:sz w:val="16"/>
        </w:rPr>
        <w:t xml:space="preserve"> et al. situate the specific relevance of disability in Palestine for a critical disability studies that addresses US and Israeli settler colonialisms and American empire.8 </w:t>
      </w:r>
      <w:r w:rsidRPr="000E2166">
        <w:rPr>
          <w:rStyle w:val="StyleUnderline"/>
        </w:rPr>
        <w:t>Edward Said’s classic formulation of the “question of Palestine” has challenged the intellectual left in the United States since the 1970s and is just as salient today as when he first posed it</w:t>
      </w:r>
      <w:r w:rsidRPr="004307EF">
        <w:rPr>
          <w:sz w:val="16"/>
        </w:rPr>
        <w:t xml:space="preserve">.9 Although Palestine is not quite the “third rail” of academia that it was even ten years ago, the broadening discussion on Palestine has been accompanied by greater repression of free speech through myriad tactics: smear campaigns, anti-bds laws in numerous states, and a definition of </w:t>
      </w:r>
      <w:proofErr w:type="spellStart"/>
      <w:r w:rsidRPr="004307EF">
        <w:rPr>
          <w:sz w:val="16"/>
        </w:rPr>
        <w:t>antiSemitism</w:t>
      </w:r>
      <w:proofErr w:type="spellEnd"/>
      <w:r w:rsidRPr="004307EF">
        <w:rPr>
          <w:sz w:val="16"/>
        </w:rPr>
        <w:t xml:space="preserve"> that includes any criticism of the state of Israel. </w:t>
      </w:r>
      <w:r w:rsidRPr="000E2166">
        <w:rPr>
          <w:rStyle w:val="StyleUnderline"/>
        </w:rPr>
        <w:t xml:space="preserve">These details about the status of Palestine in US academia are relevant because </w:t>
      </w:r>
      <w:proofErr w:type="spellStart"/>
      <w:r w:rsidRPr="000E2166">
        <w:rPr>
          <w:rStyle w:val="StyleUnderline"/>
        </w:rPr>
        <w:t>cds</w:t>
      </w:r>
      <w:proofErr w:type="spellEnd"/>
      <w:r w:rsidRPr="000E2166">
        <w:rPr>
          <w:rStyle w:val="StyleUnderline"/>
        </w:rPr>
        <w:t xml:space="preserve"> has historically been hailed as an </w:t>
      </w:r>
      <w:r w:rsidRPr="000E2166">
        <w:rPr>
          <w:rStyle w:val="Emphasis"/>
        </w:rPr>
        <w:t>activist field</w:t>
      </w:r>
      <w:r w:rsidRPr="000E2166">
        <w:rPr>
          <w:rStyle w:val="StyleUnderline"/>
        </w:rPr>
        <w:t xml:space="preserve"> and therefore aspires to be aligned with </w:t>
      </w:r>
      <w:r w:rsidRPr="000E2166">
        <w:rPr>
          <w:rStyle w:val="Emphasis"/>
        </w:rPr>
        <w:t>disability justice</w:t>
      </w:r>
      <w:r w:rsidRPr="000E2166">
        <w:rPr>
          <w:rStyle w:val="StyleUnderline"/>
        </w:rPr>
        <w:t xml:space="preserve"> movement organizing</w:t>
      </w:r>
      <w:r w:rsidRPr="004307EF">
        <w:rPr>
          <w:sz w:val="16"/>
        </w:rPr>
        <w:t>. Numerous disability justice organizations have supported this anticolonial cause: as one example, Sins Invalid released a statement of solidarity with Palestine as well as a video titled “Disability Justice for Palestine” when the maiming of Gazan protestors began in 2018.10</w:t>
      </w:r>
    </w:p>
    <w:p w14:paraId="39EA73E8" w14:textId="77777777" w:rsidR="00B612B5" w:rsidRPr="004307EF" w:rsidRDefault="00B612B5" w:rsidP="00B612B5">
      <w:pPr>
        <w:rPr>
          <w:sz w:val="16"/>
        </w:rPr>
      </w:pPr>
      <w:r w:rsidRPr="004307EF">
        <w:rPr>
          <w:sz w:val="16"/>
        </w:rPr>
        <w:t xml:space="preserve">Helen Meekosha’s 2011 provocation that </w:t>
      </w:r>
      <w:r w:rsidRPr="00813BEB">
        <w:rPr>
          <w:rStyle w:val="Emphasis"/>
          <w:highlight w:val="green"/>
        </w:rPr>
        <w:t>disability studies</w:t>
      </w:r>
      <w:r w:rsidRPr="000E2166">
        <w:rPr>
          <w:rStyle w:val="StyleUnderline"/>
        </w:rPr>
        <w:t xml:space="preserve"> can </w:t>
      </w:r>
      <w:r w:rsidRPr="00813BEB">
        <w:rPr>
          <w:rStyle w:val="StyleUnderline"/>
          <w:highlight w:val="green"/>
        </w:rPr>
        <w:t>act as</w:t>
      </w:r>
      <w:r w:rsidRPr="000E2166">
        <w:rPr>
          <w:rStyle w:val="StyleUnderline"/>
        </w:rPr>
        <w:t xml:space="preserve"> a “form of </w:t>
      </w:r>
      <w:r w:rsidRPr="00813BEB">
        <w:rPr>
          <w:rStyle w:val="Emphasis"/>
          <w:highlight w:val="green"/>
        </w:rPr>
        <w:t>scholarly colonialism</w:t>
      </w:r>
      <w:r w:rsidRPr="000E2166">
        <w:rPr>
          <w:rStyle w:val="StyleUnderline"/>
        </w:rPr>
        <w:t xml:space="preserve">” is a caution about the ways that disability studies may unwittingly function </w:t>
      </w:r>
      <w:r w:rsidRPr="00813BEB">
        <w:rPr>
          <w:rStyle w:val="StyleUnderline"/>
          <w:highlight w:val="green"/>
        </w:rPr>
        <w:t>as</w:t>
      </w:r>
      <w:r w:rsidRPr="000E2166">
        <w:rPr>
          <w:rStyle w:val="StyleUnderline"/>
        </w:rPr>
        <w:t xml:space="preserve"> a </w:t>
      </w:r>
      <w:r w:rsidRPr="00813BEB">
        <w:rPr>
          <w:rStyle w:val="Emphasis"/>
          <w:highlight w:val="green"/>
        </w:rPr>
        <w:t>handmaiden to</w:t>
      </w:r>
      <w:r w:rsidRPr="000E2166">
        <w:rPr>
          <w:rStyle w:val="Emphasis"/>
        </w:rPr>
        <w:t xml:space="preserve"> US </w:t>
      </w:r>
      <w:r w:rsidRPr="00813BEB">
        <w:rPr>
          <w:rStyle w:val="Emphasis"/>
          <w:highlight w:val="green"/>
        </w:rPr>
        <w:t>empire</w:t>
      </w:r>
      <w:r w:rsidRPr="000E2166">
        <w:rPr>
          <w:rStyle w:val="StyleUnderline"/>
        </w:rPr>
        <w:t xml:space="preserve"> if we do not </w:t>
      </w:r>
      <w:r w:rsidRPr="000E2166">
        <w:rPr>
          <w:rStyle w:val="Emphasis"/>
        </w:rPr>
        <w:t>interrogate</w:t>
      </w:r>
      <w:r w:rsidRPr="000E2166">
        <w:rPr>
          <w:rStyle w:val="StyleUnderline"/>
        </w:rPr>
        <w:t xml:space="preserve"> the </w:t>
      </w:r>
      <w:r w:rsidRPr="000E2166">
        <w:rPr>
          <w:rStyle w:val="Emphasis"/>
        </w:rPr>
        <w:t>genealogies of the field</w:t>
      </w:r>
      <w:r w:rsidRPr="000E2166">
        <w:rPr>
          <w:rStyle w:val="StyleUnderline"/>
        </w:rPr>
        <w:t xml:space="preserve"> that exist not despite the </w:t>
      </w:r>
      <w:r w:rsidRPr="000E2166">
        <w:rPr>
          <w:rStyle w:val="Emphasis"/>
        </w:rPr>
        <w:t>occluding of race and empire</w:t>
      </w:r>
      <w:r w:rsidRPr="000E2166">
        <w:rPr>
          <w:rStyle w:val="StyleUnderline"/>
        </w:rPr>
        <w:t>, but because of such elisions</w:t>
      </w:r>
      <w:r w:rsidRPr="004307EF">
        <w:rPr>
          <w:sz w:val="16"/>
        </w:rPr>
        <w:t xml:space="preserve">. Meekosha further argues that </w:t>
      </w:r>
      <w:r w:rsidRPr="000E2166">
        <w:rPr>
          <w:rStyle w:val="StyleUnderline"/>
        </w:rPr>
        <w:t xml:space="preserve">despite </w:t>
      </w:r>
      <w:r w:rsidRPr="00813BEB">
        <w:rPr>
          <w:rStyle w:val="Emphasis"/>
          <w:highlight w:val="green"/>
        </w:rPr>
        <w:t>fears</w:t>
      </w:r>
      <w:r w:rsidRPr="00813BEB">
        <w:rPr>
          <w:rStyle w:val="StyleUnderline"/>
          <w:highlight w:val="green"/>
        </w:rPr>
        <w:t xml:space="preserve"> of</w:t>
      </w:r>
      <w:r w:rsidRPr="000E2166">
        <w:rPr>
          <w:rStyle w:val="StyleUnderline"/>
        </w:rPr>
        <w:t xml:space="preserve"> pathologization and a return to </w:t>
      </w:r>
      <w:r w:rsidRPr="00813BEB">
        <w:rPr>
          <w:rStyle w:val="StyleUnderline"/>
          <w:highlight w:val="green"/>
        </w:rPr>
        <w:t xml:space="preserve">the </w:t>
      </w:r>
      <w:r w:rsidRPr="00813BEB">
        <w:rPr>
          <w:rStyle w:val="Emphasis"/>
          <w:highlight w:val="green"/>
        </w:rPr>
        <w:t>medical model</w:t>
      </w:r>
      <w:r w:rsidRPr="000E2166">
        <w:rPr>
          <w:rStyle w:val="StyleUnderline"/>
        </w:rPr>
        <w:t>, “</w:t>
      </w:r>
      <w:r w:rsidRPr="00813BEB">
        <w:rPr>
          <w:rStyle w:val="StyleUnderline"/>
          <w:highlight w:val="green"/>
        </w:rPr>
        <w:t>scholars</w:t>
      </w:r>
      <w:r w:rsidRPr="000E2166">
        <w:rPr>
          <w:rStyle w:val="StyleUnderline"/>
        </w:rPr>
        <w:t xml:space="preserve"> and activists need to </w:t>
      </w:r>
      <w:r w:rsidRPr="00813BEB">
        <w:rPr>
          <w:rStyle w:val="StyleUnderline"/>
          <w:highlight w:val="green"/>
        </w:rPr>
        <w:t>confront</w:t>
      </w:r>
      <w:r w:rsidRPr="000E2166">
        <w:rPr>
          <w:rStyle w:val="StyleUnderline"/>
        </w:rPr>
        <w:t xml:space="preserve"> as a </w:t>
      </w:r>
      <w:r w:rsidRPr="00A32EEA">
        <w:rPr>
          <w:rStyle w:val="Emphasis"/>
        </w:rPr>
        <w:t>central issue</w:t>
      </w:r>
      <w:r w:rsidRPr="000E2166">
        <w:rPr>
          <w:rStyle w:val="StyleUnderline"/>
        </w:rPr>
        <w:t xml:space="preserve"> the </w:t>
      </w:r>
      <w:r w:rsidRPr="00813BEB">
        <w:rPr>
          <w:rStyle w:val="Emphasis"/>
          <w:highlight w:val="green"/>
        </w:rPr>
        <w:t>production of impairment</w:t>
      </w:r>
      <w:r w:rsidRPr="000E2166">
        <w:rPr>
          <w:rStyle w:val="StyleUnderline"/>
        </w:rPr>
        <w:t xml:space="preserve"> in the global South.”</w:t>
      </w:r>
      <w:r w:rsidRPr="004307EF">
        <w:rPr>
          <w:sz w:val="16"/>
        </w:rPr>
        <w:t>11 Sarah Orsak eloquently redirects the import of these fears by noting that “</w:t>
      </w:r>
      <w:r w:rsidRPr="00813BEB">
        <w:rPr>
          <w:rStyle w:val="Emphasis"/>
          <w:highlight w:val="green"/>
        </w:rPr>
        <w:t>impairment</w:t>
      </w:r>
      <w:r w:rsidRPr="000E2166">
        <w:rPr>
          <w:rStyle w:val="StyleUnderline"/>
        </w:rPr>
        <w:t xml:space="preserve"> here </w:t>
      </w:r>
      <w:r w:rsidRPr="00813BEB">
        <w:rPr>
          <w:rStyle w:val="StyleUnderline"/>
          <w:highlight w:val="green"/>
        </w:rPr>
        <w:t xml:space="preserve">is </w:t>
      </w:r>
      <w:r w:rsidRPr="00813BEB">
        <w:rPr>
          <w:rStyle w:val="Emphasis"/>
          <w:highlight w:val="green"/>
        </w:rPr>
        <w:t>not marginalized</w:t>
      </w:r>
      <w:r w:rsidRPr="000E2166">
        <w:rPr>
          <w:rStyle w:val="StyleUnderline"/>
        </w:rPr>
        <w:t xml:space="preserve"> as </w:t>
      </w:r>
      <w:r w:rsidRPr="000E2166">
        <w:rPr>
          <w:rStyle w:val="Emphasis"/>
        </w:rPr>
        <w:t>incapable</w:t>
      </w:r>
      <w:r w:rsidRPr="000E2166">
        <w:rPr>
          <w:rStyle w:val="StyleUnderline"/>
        </w:rPr>
        <w:t xml:space="preserve"> or lacking, </w:t>
      </w:r>
      <w:r w:rsidRPr="00813BEB">
        <w:rPr>
          <w:rStyle w:val="StyleUnderline"/>
          <w:highlight w:val="green"/>
        </w:rPr>
        <w:t>but</w:t>
      </w:r>
      <w:r w:rsidRPr="000E2166">
        <w:rPr>
          <w:rStyle w:val="StyleUnderline"/>
        </w:rPr>
        <w:t xml:space="preserve"> rather becomes a </w:t>
      </w:r>
      <w:r w:rsidRPr="00813BEB">
        <w:rPr>
          <w:rStyle w:val="Emphasis"/>
          <w:highlight w:val="green"/>
        </w:rPr>
        <w:t>valuable resource</w:t>
      </w:r>
      <w:r w:rsidRPr="000E2166">
        <w:rPr>
          <w:rStyle w:val="StyleUnderline"/>
        </w:rPr>
        <w:t xml:space="preserve"> that is </w:t>
      </w:r>
      <w:r w:rsidRPr="000E2166">
        <w:rPr>
          <w:rStyle w:val="Emphasis"/>
        </w:rPr>
        <w:t>productive for capital and empire</w:t>
      </w:r>
      <w:r w:rsidRPr="004307EF">
        <w:rPr>
          <w:sz w:val="16"/>
        </w:rPr>
        <w:t xml:space="preserve">.”12 While the production of impairment in the Global South has, over the years, been increasingly acknowledged, such </w:t>
      </w:r>
      <w:r w:rsidRPr="000E2166">
        <w:rPr>
          <w:rStyle w:val="StyleUnderline"/>
        </w:rPr>
        <w:t xml:space="preserve">acknowledgment is often accompanied by a </w:t>
      </w:r>
      <w:r w:rsidRPr="00813BEB">
        <w:rPr>
          <w:rStyle w:val="Emphasis"/>
          <w:highlight w:val="green"/>
        </w:rPr>
        <w:t>liberal declaration</w:t>
      </w:r>
      <w:r w:rsidRPr="00813BEB">
        <w:rPr>
          <w:rStyle w:val="StyleUnderline"/>
          <w:highlight w:val="green"/>
        </w:rPr>
        <w:t xml:space="preserve"> of</w:t>
      </w:r>
      <w:r w:rsidRPr="000E2166">
        <w:rPr>
          <w:rStyle w:val="StyleUnderline"/>
        </w:rPr>
        <w:t xml:space="preserve"> the </w:t>
      </w:r>
      <w:r w:rsidRPr="00813BEB">
        <w:rPr>
          <w:rStyle w:val="Emphasis"/>
          <w:highlight w:val="green"/>
        </w:rPr>
        <w:t>value of disabled lives</w:t>
      </w:r>
      <w:r w:rsidRPr="000E2166">
        <w:rPr>
          <w:rStyle w:val="StyleUnderline"/>
        </w:rPr>
        <w:t xml:space="preserve">, as if </w:t>
      </w:r>
      <w:r w:rsidRPr="000E2166">
        <w:rPr>
          <w:rStyle w:val="Emphasis"/>
        </w:rPr>
        <w:t>critiques of colonial violence</w:t>
      </w:r>
      <w:r w:rsidRPr="000E2166">
        <w:rPr>
          <w:rStyle w:val="StyleUnderline"/>
        </w:rPr>
        <w:t xml:space="preserve"> on their own terms are somehow </w:t>
      </w:r>
      <w:r w:rsidRPr="000E2166">
        <w:rPr>
          <w:rStyle w:val="Emphasis"/>
        </w:rPr>
        <w:t>implicitly ableist</w:t>
      </w:r>
      <w:r w:rsidRPr="004307EF">
        <w:rPr>
          <w:sz w:val="16"/>
        </w:rPr>
        <w:t xml:space="preserve">. Such a rhetorical turn misses the force of Meekosha’s point, at worst </w:t>
      </w:r>
      <w:r w:rsidRPr="00813BEB">
        <w:rPr>
          <w:rStyle w:val="StyleUnderline"/>
          <w:highlight w:val="green"/>
        </w:rPr>
        <w:t>acting as</w:t>
      </w:r>
      <w:r w:rsidRPr="000E2166">
        <w:rPr>
          <w:rStyle w:val="StyleUnderline"/>
        </w:rPr>
        <w:t xml:space="preserve"> an </w:t>
      </w:r>
      <w:r w:rsidRPr="00813BEB">
        <w:rPr>
          <w:rStyle w:val="Emphasis"/>
          <w:highlight w:val="green"/>
        </w:rPr>
        <w:t>apologia for imperial violence</w:t>
      </w:r>
      <w:r w:rsidRPr="000E2166">
        <w:rPr>
          <w:rStyle w:val="StyleUnderline"/>
        </w:rPr>
        <w:t xml:space="preserve">, and at best </w:t>
      </w:r>
      <w:r w:rsidRPr="000E2166">
        <w:rPr>
          <w:rStyle w:val="Emphasis"/>
        </w:rPr>
        <w:t>reenacting</w:t>
      </w:r>
      <w:r w:rsidRPr="000E2166">
        <w:rPr>
          <w:rStyle w:val="StyleUnderline"/>
        </w:rPr>
        <w:t xml:space="preserve"> this </w:t>
      </w:r>
      <w:r w:rsidRPr="000E2166">
        <w:rPr>
          <w:rStyle w:val="Emphasis"/>
        </w:rPr>
        <w:t>scholarly colonialism</w:t>
      </w:r>
      <w:r w:rsidRPr="000E2166">
        <w:rPr>
          <w:rStyle w:val="StyleUnderline"/>
        </w:rPr>
        <w:t xml:space="preserve"> by refusing to grapple with the possibility that for many in the Global South, the </w:t>
      </w:r>
      <w:r w:rsidRPr="00813BEB">
        <w:rPr>
          <w:rStyle w:val="Emphasis"/>
          <w:highlight w:val="green"/>
        </w:rPr>
        <w:t>main concern</w:t>
      </w:r>
      <w:r w:rsidRPr="000E2166">
        <w:rPr>
          <w:rStyle w:val="StyleUnderline"/>
        </w:rPr>
        <w:t xml:space="preserve"> may </w:t>
      </w:r>
      <w:r w:rsidRPr="00813BEB">
        <w:rPr>
          <w:rStyle w:val="StyleUnderline"/>
          <w:highlight w:val="green"/>
        </w:rPr>
        <w:t>not</w:t>
      </w:r>
      <w:r w:rsidRPr="000E2166">
        <w:rPr>
          <w:rStyle w:val="StyleUnderline"/>
        </w:rPr>
        <w:t xml:space="preserve"> be the return or pervasiveness of the </w:t>
      </w:r>
      <w:r w:rsidRPr="00813BEB">
        <w:rPr>
          <w:rStyle w:val="Emphasis"/>
          <w:highlight w:val="green"/>
        </w:rPr>
        <w:t>medical model</w:t>
      </w:r>
      <w:r w:rsidRPr="000E2166">
        <w:rPr>
          <w:rStyle w:val="StyleUnderline"/>
        </w:rPr>
        <w:t xml:space="preserve"> but </w:t>
      </w:r>
      <w:r w:rsidRPr="00813BEB">
        <w:rPr>
          <w:rStyle w:val="StyleUnderline"/>
          <w:highlight w:val="green"/>
        </w:rPr>
        <w:t>rather</w:t>
      </w:r>
      <w:r w:rsidRPr="000E2166">
        <w:rPr>
          <w:rStyle w:val="StyleUnderline"/>
        </w:rPr>
        <w:t xml:space="preserve"> the </w:t>
      </w:r>
      <w:r w:rsidRPr="00813BEB">
        <w:rPr>
          <w:rStyle w:val="Emphasis"/>
          <w:highlight w:val="green"/>
        </w:rPr>
        <w:t>struggle</w:t>
      </w:r>
      <w:r w:rsidRPr="000E2166">
        <w:rPr>
          <w:rStyle w:val="StyleUnderline"/>
        </w:rPr>
        <w:t xml:space="preserve"> </w:t>
      </w:r>
      <w:r w:rsidRPr="00A32EEA">
        <w:rPr>
          <w:rStyle w:val="StyleUnderline"/>
        </w:rPr>
        <w:t>to</w:t>
      </w:r>
      <w:r w:rsidRPr="000E2166">
        <w:rPr>
          <w:rStyle w:val="StyleUnderline"/>
        </w:rPr>
        <w:t xml:space="preserve"> “</w:t>
      </w:r>
      <w:r w:rsidRPr="000E2166">
        <w:rPr>
          <w:rStyle w:val="Emphasis"/>
        </w:rPr>
        <w:t>end global violence in all its forms</w:t>
      </w:r>
      <w:r w:rsidRPr="000E2166">
        <w:rPr>
          <w:rStyle w:val="StyleUnderline"/>
        </w:rPr>
        <w:t>.”</w:t>
      </w:r>
      <w:r w:rsidRPr="004307EF">
        <w:rPr>
          <w:sz w:val="16"/>
        </w:rPr>
        <w:t>13 As Meekosha succinctly summarizes, “</w:t>
      </w:r>
      <w:r w:rsidRPr="000E2166">
        <w:rPr>
          <w:rStyle w:val="StyleUnderline"/>
        </w:rPr>
        <w:t xml:space="preserve">the </w:t>
      </w:r>
      <w:r w:rsidRPr="000E2166">
        <w:rPr>
          <w:rStyle w:val="Emphasis"/>
        </w:rPr>
        <w:t>key debates</w:t>
      </w:r>
      <w:r w:rsidRPr="000E2166">
        <w:rPr>
          <w:rStyle w:val="StyleUnderline"/>
        </w:rPr>
        <w:t xml:space="preserve"> around </w:t>
      </w:r>
      <w:r w:rsidRPr="000E2166">
        <w:rPr>
          <w:rStyle w:val="Emphasis"/>
        </w:rPr>
        <w:t>disability and impairment</w:t>
      </w:r>
      <w:r w:rsidRPr="000E2166">
        <w:rPr>
          <w:rStyle w:val="StyleUnderline"/>
        </w:rPr>
        <w:t xml:space="preserve">, independent living, </w:t>
      </w:r>
      <w:r w:rsidRPr="000E2166">
        <w:rPr>
          <w:rStyle w:val="Emphasis"/>
        </w:rPr>
        <w:t>care and human rights</w:t>
      </w:r>
      <w:r w:rsidRPr="000E2166">
        <w:rPr>
          <w:rStyle w:val="StyleUnderline"/>
        </w:rPr>
        <w:t xml:space="preserve"> are often </w:t>
      </w:r>
      <w:r w:rsidRPr="000E2166">
        <w:rPr>
          <w:rStyle w:val="Emphasis"/>
        </w:rPr>
        <w:t>irrelevant</w:t>
      </w:r>
      <w:r w:rsidRPr="000E2166">
        <w:rPr>
          <w:rStyle w:val="StyleUnderline"/>
        </w:rPr>
        <w:t xml:space="preserve"> to those whose major goal is survival</w:t>
      </w:r>
      <w:r w:rsidRPr="004307EF">
        <w:rPr>
          <w:sz w:val="16"/>
        </w:rPr>
        <w:t>” (670). Disability justice organizing that recognizes that all colonized bodies are deemed unworthy and unfit actively works through these tensions by valuing and prioritizing the knowledges and experiences that disabled people bring to the struggles to end ableist state and imperial violence rather than reiterating this false binary.</w:t>
      </w:r>
    </w:p>
    <w:p w14:paraId="726D58C1" w14:textId="77777777" w:rsidR="00B612B5" w:rsidRPr="004307EF" w:rsidRDefault="00B612B5" w:rsidP="00B612B5">
      <w:pPr>
        <w:rPr>
          <w:sz w:val="16"/>
        </w:rPr>
      </w:pPr>
      <w:r w:rsidRPr="004307EF">
        <w:rPr>
          <w:sz w:val="16"/>
        </w:rPr>
        <w:t xml:space="preserve">It is of course crucial not to reify Global North and Global South as discrete entities, nor to minimize the violence of “war-prone dictators . . . ruling elites . . . and popular nationalisms” (675). Yet Meekosha’s concerns about citational practices that ignore “non-metropolitan” literature, social theory, and medical anthropology scholarship remain deeply relevant. </w:t>
      </w:r>
      <w:r w:rsidRPr="0085692A">
        <w:rPr>
          <w:rStyle w:val="Emphasis"/>
        </w:rPr>
        <w:t>Decolonizing disability</w:t>
      </w:r>
      <w:r w:rsidRPr="0085692A">
        <w:rPr>
          <w:rStyle w:val="StyleUnderline"/>
        </w:rPr>
        <w:t xml:space="preserve"> and </w:t>
      </w:r>
      <w:r w:rsidRPr="0085692A">
        <w:rPr>
          <w:rStyle w:val="Emphasis"/>
        </w:rPr>
        <w:t>decolonizing disability studies</w:t>
      </w:r>
      <w:r w:rsidRPr="0085692A">
        <w:rPr>
          <w:rStyle w:val="StyleUnderline"/>
        </w:rPr>
        <w:t xml:space="preserve"> are </w:t>
      </w:r>
      <w:r w:rsidRPr="0085692A">
        <w:rPr>
          <w:rStyle w:val="Emphasis"/>
        </w:rPr>
        <w:t>inseparable</w:t>
      </w:r>
      <w:r w:rsidRPr="0085692A">
        <w:rPr>
          <w:rStyle w:val="StyleUnderline"/>
        </w:rPr>
        <w:t xml:space="preserve"> from each other</w:t>
      </w:r>
      <w:r w:rsidRPr="004307EF">
        <w:rPr>
          <w:sz w:val="16"/>
        </w:rPr>
        <w:t xml:space="preserve">. </w:t>
      </w:r>
      <w:r w:rsidRPr="0085692A">
        <w:rPr>
          <w:rStyle w:val="StyleUnderline"/>
        </w:rPr>
        <w:t xml:space="preserve">A </w:t>
      </w:r>
      <w:r w:rsidRPr="00813BEB">
        <w:rPr>
          <w:rStyle w:val="Emphasis"/>
          <w:highlight w:val="green"/>
        </w:rPr>
        <w:t>radical orientation</w:t>
      </w:r>
      <w:r w:rsidRPr="0085692A">
        <w:rPr>
          <w:rStyle w:val="StyleUnderline"/>
        </w:rPr>
        <w:t xml:space="preserve"> toward </w:t>
      </w:r>
      <w:r w:rsidRPr="0085692A">
        <w:rPr>
          <w:rStyle w:val="Emphasis"/>
        </w:rPr>
        <w:t>Global South locations</w:t>
      </w:r>
      <w:r w:rsidRPr="0085692A">
        <w:rPr>
          <w:rStyle w:val="StyleUnderline"/>
        </w:rPr>
        <w:t xml:space="preserve"> does not bracket the Global South and southern disability studies but </w:t>
      </w:r>
      <w:r w:rsidRPr="00813BEB">
        <w:rPr>
          <w:rStyle w:val="StyleUnderline"/>
          <w:highlight w:val="green"/>
        </w:rPr>
        <w:t>takes seriously</w:t>
      </w:r>
      <w:r w:rsidRPr="0085692A">
        <w:rPr>
          <w:rStyle w:val="StyleUnderline"/>
        </w:rPr>
        <w:t xml:space="preserve"> that </w:t>
      </w:r>
      <w:r w:rsidRPr="00813BEB">
        <w:rPr>
          <w:rStyle w:val="Emphasis"/>
          <w:highlight w:val="green"/>
        </w:rPr>
        <w:t>no singular</w:t>
      </w:r>
      <w:r w:rsidRPr="0085692A">
        <w:rPr>
          <w:rStyle w:val="StyleUnderline"/>
        </w:rPr>
        <w:t xml:space="preserve"> “</w:t>
      </w:r>
      <w:r w:rsidRPr="00A32EEA">
        <w:rPr>
          <w:rStyle w:val="Emphasis"/>
        </w:rPr>
        <w:t>disability</w:t>
      </w:r>
      <w:r w:rsidRPr="0085692A">
        <w:rPr>
          <w:rStyle w:val="Emphasis"/>
        </w:rPr>
        <w:t xml:space="preserve"> </w:t>
      </w:r>
      <w:r w:rsidRPr="00813BEB">
        <w:rPr>
          <w:rStyle w:val="Emphasis"/>
          <w:highlight w:val="green"/>
        </w:rPr>
        <w:t>analytic</w:t>
      </w:r>
      <w:r w:rsidRPr="0085692A">
        <w:rPr>
          <w:rStyle w:val="StyleUnderline"/>
        </w:rPr>
        <w:t xml:space="preserve">” </w:t>
      </w:r>
      <w:r w:rsidRPr="00813BEB">
        <w:rPr>
          <w:rStyle w:val="Emphasis"/>
          <w:highlight w:val="green"/>
        </w:rPr>
        <w:t>exists</w:t>
      </w:r>
      <w:r w:rsidRPr="004307EF">
        <w:rPr>
          <w:sz w:val="16"/>
        </w:rPr>
        <w:t xml:space="preserve">. </w:t>
      </w:r>
      <w:r w:rsidRPr="0085692A">
        <w:rPr>
          <w:rStyle w:val="StyleUnderline"/>
        </w:rPr>
        <w:t xml:space="preserve">This </w:t>
      </w:r>
      <w:proofErr w:type="gramStart"/>
      <w:r w:rsidRPr="0085692A">
        <w:rPr>
          <w:rStyle w:val="StyleUnderline"/>
        </w:rPr>
        <w:t>acknowledgment begins</w:t>
      </w:r>
      <w:proofErr w:type="gramEnd"/>
      <w:r w:rsidRPr="0085692A">
        <w:rPr>
          <w:rStyle w:val="StyleUnderline"/>
        </w:rPr>
        <w:t xml:space="preserve"> with the </w:t>
      </w:r>
      <w:r w:rsidRPr="00813BEB">
        <w:rPr>
          <w:rStyle w:val="Emphasis"/>
          <w:highlight w:val="green"/>
        </w:rPr>
        <w:t>impossibility</w:t>
      </w:r>
      <w:r w:rsidRPr="00813BEB">
        <w:rPr>
          <w:rStyle w:val="StyleUnderline"/>
          <w:highlight w:val="green"/>
        </w:rPr>
        <w:t xml:space="preserve"> of </w:t>
      </w:r>
      <w:r w:rsidRPr="00813BEB">
        <w:rPr>
          <w:rStyle w:val="Emphasis"/>
          <w:highlight w:val="green"/>
        </w:rPr>
        <w:t>disaggregating disability</w:t>
      </w:r>
      <w:r w:rsidRPr="0085692A">
        <w:rPr>
          <w:rStyle w:val="StyleUnderline"/>
        </w:rPr>
        <w:t xml:space="preserve"> as an </w:t>
      </w:r>
      <w:r w:rsidRPr="0085692A">
        <w:rPr>
          <w:rStyle w:val="Emphasis"/>
        </w:rPr>
        <w:t>epistemological project</w:t>
      </w:r>
      <w:r w:rsidRPr="0085692A">
        <w:rPr>
          <w:rStyle w:val="StyleUnderline"/>
        </w:rPr>
        <w:t xml:space="preserve"> </w:t>
      </w:r>
      <w:r w:rsidRPr="00813BEB">
        <w:rPr>
          <w:rStyle w:val="StyleUnderline"/>
          <w:highlight w:val="green"/>
        </w:rPr>
        <w:t>from</w:t>
      </w:r>
      <w:r w:rsidRPr="0085692A">
        <w:rPr>
          <w:rStyle w:val="StyleUnderline"/>
        </w:rPr>
        <w:t xml:space="preserve"> the </w:t>
      </w:r>
      <w:r w:rsidRPr="0085692A">
        <w:rPr>
          <w:rStyle w:val="Emphasis"/>
        </w:rPr>
        <w:t xml:space="preserve">biopolitical </w:t>
      </w:r>
      <w:r w:rsidRPr="00A32EEA">
        <w:rPr>
          <w:rStyle w:val="Emphasis"/>
        </w:rPr>
        <w:t xml:space="preserve">ascendancy of </w:t>
      </w:r>
      <w:r w:rsidRPr="00813BEB">
        <w:rPr>
          <w:rStyle w:val="Emphasis"/>
          <w:highlight w:val="green"/>
        </w:rPr>
        <w:t>whiteness</w:t>
      </w:r>
      <w:proofErr w:type="gramStart"/>
      <w:r w:rsidRPr="004307EF">
        <w:rPr>
          <w:sz w:val="16"/>
        </w:rPr>
        <w:t>.14</w:t>
      </w:r>
      <w:proofErr w:type="gramEnd"/>
      <w:r w:rsidRPr="004307EF">
        <w:rPr>
          <w:sz w:val="16"/>
        </w:rPr>
        <w:t xml:space="preserve"> </w:t>
      </w:r>
      <w:r w:rsidRPr="00813BEB">
        <w:rPr>
          <w:rStyle w:val="Emphasis"/>
          <w:highlight w:val="green"/>
        </w:rPr>
        <w:t>Fields of study</w:t>
      </w:r>
      <w:r w:rsidRPr="0085692A">
        <w:rPr>
          <w:rStyle w:val="Emphasis"/>
        </w:rPr>
        <w:t xml:space="preserve"> and disciplines</w:t>
      </w:r>
      <w:r w:rsidRPr="0085692A">
        <w:rPr>
          <w:rStyle w:val="StyleUnderline"/>
        </w:rPr>
        <w:t xml:space="preserve"> are not </w:t>
      </w:r>
      <w:r w:rsidRPr="0085692A">
        <w:rPr>
          <w:rStyle w:val="Emphasis"/>
        </w:rPr>
        <w:t>benign formations</w:t>
      </w:r>
      <w:r w:rsidRPr="0085692A">
        <w:rPr>
          <w:rStyle w:val="StyleUnderline"/>
        </w:rPr>
        <w:t xml:space="preserve">; they are bred from and </w:t>
      </w:r>
      <w:r w:rsidRPr="00813BEB">
        <w:rPr>
          <w:rStyle w:val="Emphasis"/>
          <w:highlight w:val="green"/>
        </w:rPr>
        <w:t>breed</w:t>
      </w:r>
      <w:r w:rsidRPr="00813BEB">
        <w:rPr>
          <w:rStyle w:val="StyleUnderline"/>
          <w:highlight w:val="green"/>
        </w:rPr>
        <w:t xml:space="preserve"> interpretations of</w:t>
      </w:r>
      <w:r w:rsidRPr="0085692A">
        <w:rPr>
          <w:rStyle w:val="Emphasis"/>
        </w:rPr>
        <w:t xml:space="preserve"> global orders</w:t>
      </w:r>
      <w:r w:rsidRPr="0085692A">
        <w:rPr>
          <w:rStyle w:val="StyleUnderline"/>
        </w:rPr>
        <w:t xml:space="preserve">, </w:t>
      </w:r>
      <w:r w:rsidRPr="00813BEB">
        <w:rPr>
          <w:rStyle w:val="Emphasis"/>
          <w:highlight w:val="green"/>
        </w:rPr>
        <w:t>social formations</w:t>
      </w:r>
      <w:r w:rsidRPr="0085692A">
        <w:rPr>
          <w:rStyle w:val="StyleUnderline"/>
        </w:rPr>
        <w:t xml:space="preserve">, </w:t>
      </w:r>
      <w:r w:rsidRPr="00813BEB">
        <w:rPr>
          <w:rStyle w:val="StyleUnderline"/>
          <w:highlight w:val="green"/>
        </w:rPr>
        <w:t>and</w:t>
      </w:r>
      <w:r w:rsidRPr="0085692A">
        <w:rPr>
          <w:rStyle w:val="StyleUnderline"/>
        </w:rPr>
        <w:t xml:space="preserve"> </w:t>
      </w:r>
      <w:r w:rsidRPr="0085692A">
        <w:rPr>
          <w:rStyle w:val="Emphasis"/>
        </w:rPr>
        <w:t xml:space="preserve">arrangements of </w:t>
      </w:r>
      <w:r w:rsidRPr="00813BEB">
        <w:rPr>
          <w:rStyle w:val="Emphasis"/>
          <w:highlight w:val="green"/>
        </w:rPr>
        <w:t>power</w:t>
      </w:r>
      <w:r w:rsidRPr="004307EF">
        <w:rPr>
          <w:sz w:val="16"/>
        </w:rPr>
        <w:t xml:space="preserve">. </w:t>
      </w:r>
      <w:r w:rsidRPr="0085692A">
        <w:rPr>
          <w:rStyle w:val="StyleUnderline"/>
        </w:rPr>
        <w:t xml:space="preserve">One of the field’s founding mandates is the study of how </w:t>
      </w:r>
      <w:r w:rsidRPr="00813BEB">
        <w:rPr>
          <w:rStyle w:val="StyleUnderline"/>
          <w:highlight w:val="green"/>
        </w:rPr>
        <w:t xml:space="preserve">knowledge about </w:t>
      </w:r>
      <w:r w:rsidRPr="00813BEB">
        <w:rPr>
          <w:rStyle w:val="Emphasis"/>
          <w:highlight w:val="green"/>
        </w:rPr>
        <w:t>disability</w:t>
      </w:r>
      <w:r w:rsidRPr="0085692A">
        <w:rPr>
          <w:rStyle w:val="Emphasis"/>
        </w:rPr>
        <w:t xml:space="preserve"> is </w:t>
      </w:r>
      <w:r w:rsidRPr="00813BEB">
        <w:rPr>
          <w:rStyle w:val="Emphasis"/>
          <w:highlight w:val="green"/>
        </w:rPr>
        <w:t>created and circulated</w:t>
      </w:r>
      <w:r w:rsidRPr="0085692A">
        <w:rPr>
          <w:rStyle w:val="StyleUnderline"/>
        </w:rPr>
        <w:t xml:space="preserve">, and this mandate necessarily </w:t>
      </w:r>
      <w:proofErr w:type="gramStart"/>
      <w:r w:rsidRPr="0085692A">
        <w:rPr>
          <w:rStyle w:val="StyleUnderline"/>
        </w:rPr>
        <w:t>implicates</w:t>
      </w:r>
      <w:proofErr w:type="gramEnd"/>
      <w:r w:rsidRPr="0085692A">
        <w:rPr>
          <w:rStyle w:val="StyleUnderline"/>
        </w:rPr>
        <w:t xml:space="preserve"> its own practices of doing so</w:t>
      </w:r>
      <w:r w:rsidRPr="004307EF">
        <w:rPr>
          <w:sz w:val="16"/>
        </w:rPr>
        <w:t xml:space="preserve">. </w:t>
      </w:r>
      <w:r w:rsidRPr="0085692A">
        <w:rPr>
          <w:rStyle w:val="StyleUnderline"/>
        </w:rPr>
        <w:t xml:space="preserve">The field of </w:t>
      </w:r>
      <w:r w:rsidRPr="00813BEB">
        <w:rPr>
          <w:rStyle w:val="Emphasis"/>
          <w:highlight w:val="green"/>
        </w:rPr>
        <w:t>critical disability studies</w:t>
      </w:r>
      <w:r w:rsidRPr="0085692A">
        <w:rPr>
          <w:rStyle w:val="StyleUnderline"/>
        </w:rPr>
        <w:t xml:space="preserve"> therefore must </w:t>
      </w:r>
      <w:r w:rsidRPr="00813BEB">
        <w:rPr>
          <w:rStyle w:val="StyleUnderline"/>
          <w:highlight w:val="green"/>
        </w:rPr>
        <w:t>account for</w:t>
      </w:r>
      <w:r w:rsidRPr="0085692A">
        <w:rPr>
          <w:rStyle w:val="StyleUnderline"/>
        </w:rPr>
        <w:t xml:space="preserve"> its </w:t>
      </w:r>
      <w:r w:rsidRPr="00813BEB">
        <w:rPr>
          <w:rStyle w:val="Emphasis"/>
          <w:highlight w:val="green"/>
        </w:rPr>
        <w:t>relationship</w:t>
      </w:r>
      <w:r w:rsidRPr="00813BEB">
        <w:rPr>
          <w:rStyle w:val="StyleUnderline"/>
          <w:highlight w:val="green"/>
        </w:rPr>
        <w:t xml:space="preserve"> to</w:t>
      </w:r>
      <w:r w:rsidRPr="0085692A">
        <w:rPr>
          <w:rStyle w:val="StyleUnderline"/>
        </w:rPr>
        <w:t xml:space="preserve"> perhaps one of the </w:t>
      </w:r>
      <w:r w:rsidRPr="00A32EEA">
        <w:rPr>
          <w:rStyle w:val="Emphasis"/>
        </w:rPr>
        <w:t>largest producers of</w:t>
      </w:r>
      <w:r w:rsidRPr="0085692A">
        <w:rPr>
          <w:rStyle w:val="Emphasis"/>
        </w:rPr>
        <w:t xml:space="preserve"> mass </w:t>
      </w:r>
      <w:r w:rsidRPr="00A32EEA">
        <w:rPr>
          <w:rStyle w:val="Emphasis"/>
        </w:rPr>
        <w:t>disablement</w:t>
      </w:r>
      <w:r w:rsidRPr="0085692A">
        <w:rPr>
          <w:rStyle w:val="StyleUnderline"/>
        </w:rPr>
        <w:t xml:space="preserve"> in the world: </w:t>
      </w:r>
      <w:r w:rsidRPr="0085692A">
        <w:rPr>
          <w:rStyle w:val="Emphasis"/>
        </w:rPr>
        <w:t xml:space="preserve">US </w:t>
      </w:r>
      <w:r w:rsidRPr="00813BEB">
        <w:rPr>
          <w:rStyle w:val="Emphasis"/>
          <w:highlight w:val="green"/>
        </w:rPr>
        <w:t>empire</w:t>
      </w:r>
      <w:r w:rsidRPr="004307EF">
        <w:rPr>
          <w:sz w:val="16"/>
        </w:rPr>
        <w:t xml:space="preserve">. Meekosha’s call to “decolonize disability” is an opportunity to interrogate the knowledge-production projects on disability that benefit from the very circuits of empire that enable the massification of disability.15 Mass scale is one such circuit, according to </w:t>
      </w:r>
      <w:proofErr w:type="spellStart"/>
      <w:r w:rsidRPr="004307EF">
        <w:rPr>
          <w:sz w:val="16"/>
        </w:rPr>
        <w:t>Snounu</w:t>
      </w:r>
      <w:proofErr w:type="spellEnd"/>
      <w:r w:rsidRPr="004307EF">
        <w:rPr>
          <w:sz w:val="16"/>
        </w:rPr>
        <w:t xml:space="preserve"> et al.: “The crimes committed by the Israeli occupation increase the number of disabled people, resulting in Palestine having the highest percentage of disabled people of any country in the world. . . . The total number of persons with disabilities in Palestine is between 114,000 to 300,000, depending on which definition of disability is used.”16 Indeed, </w:t>
      </w:r>
      <w:r w:rsidRPr="0085692A">
        <w:rPr>
          <w:rStyle w:val="StyleUnderline"/>
        </w:rPr>
        <w:t xml:space="preserve">the question of Palestine has resounding relevance for </w:t>
      </w:r>
      <w:proofErr w:type="spellStart"/>
      <w:r w:rsidRPr="0085692A">
        <w:rPr>
          <w:rStyle w:val="StyleUnderline"/>
        </w:rPr>
        <w:t>cds</w:t>
      </w:r>
      <w:proofErr w:type="spellEnd"/>
      <w:r w:rsidRPr="0085692A">
        <w:rPr>
          <w:rStyle w:val="StyleUnderline"/>
        </w:rPr>
        <w:t xml:space="preserve"> today, both as a disability justice issue and as a </w:t>
      </w:r>
      <w:r w:rsidRPr="0085692A">
        <w:rPr>
          <w:rStyle w:val="Emphasis"/>
        </w:rPr>
        <w:t>geopolitical nexus</w:t>
      </w:r>
      <w:r w:rsidRPr="0085692A">
        <w:rPr>
          <w:rStyle w:val="StyleUnderline"/>
        </w:rPr>
        <w:t xml:space="preserve"> that propels a </w:t>
      </w:r>
      <w:r w:rsidRPr="0085692A">
        <w:rPr>
          <w:rStyle w:val="Emphasis"/>
        </w:rPr>
        <w:t>rethinking of the field</w:t>
      </w:r>
      <w:r w:rsidRPr="0085692A">
        <w:rPr>
          <w:rStyle w:val="StyleUnderline"/>
        </w:rPr>
        <w:t xml:space="preserve"> and its assumption</w:t>
      </w:r>
      <w:r w:rsidRPr="004307EF">
        <w:rPr>
          <w:sz w:val="16"/>
        </w:rPr>
        <w:t>.</w:t>
      </w:r>
    </w:p>
    <w:p w14:paraId="67F2DD45" w14:textId="77777777" w:rsidR="00B612B5" w:rsidRPr="004307EF" w:rsidRDefault="00B612B5" w:rsidP="00B612B5">
      <w:pPr>
        <w:rPr>
          <w:sz w:val="16"/>
        </w:rPr>
      </w:pPr>
      <w:r w:rsidRPr="004307EF">
        <w:rPr>
          <w:sz w:val="16"/>
        </w:rPr>
        <w:t xml:space="preserve">In the discussion that follows, I offer thoughts on preliminary research on disability in Palestine. A thorough discussion, however, of the local terms and parameters of disability activism in Palestine is beyond the scope of this chapter.17 Meekosha reminds us that the “anti-colonialist politics of disabled people in the majority world have yet to be documented.”18 </w:t>
      </w:r>
      <w:r w:rsidRPr="0085692A">
        <w:rPr>
          <w:rStyle w:val="StyleUnderline"/>
        </w:rPr>
        <w:t xml:space="preserve">And it may also be the case that these </w:t>
      </w:r>
      <w:r w:rsidRPr="00813BEB">
        <w:rPr>
          <w:rStyle w:val="StyleUnderline"/>
          <w:highlight w:val="green"/>
        </w:rPr>
        <w:t>politics</w:t>
      </w:r>
      <w:r w:rsidRPr="0085692A">
        <w:rPr>
          <w:rStyle w:val="StyleUnderline"/>
        </w:rPr>
        <w:t xml:space="preserve"> surface less under the signs of disability rights, activism, and justice organizing; rather they </w:t>
      </w:r>
      <w:r w:rsidRPr="00813BEB">
        <w:rPr>
          <w:rStyle w:val="StyleUnderline"/>
          <w:highlight w:val="green"/>
        </w:rPr>
        <w:t xml:space="preserve">transit through </w:t>
      </w:r>
      <w:r w:rsidRPr="00813BEB">
        <w:rPr>
          <w:rStyle w:val="Emphasis"/>
          <w:highlight w:val="green"/>
        </w:rPr>
        <w:t>anticolonial resistance</w:t>
      </w:r>
      <w:r w:rsidRPr="0085692A">
        <w:rPr>
          <w:rStyle w:val="Emphasis"/>
        </w:rPr>
        <w:t xml:space="preserve"> movements</w:t>
      </w:r>
      <w:r w:rsidRPr="0085692A">
        <w:rPr>
          <w:rStyle w:val="StyleUnderline"/>
        </w:rPr>
        <w:t xml:space="preserve"> more generally</w:t>
      </w:r>
      <w:r w:rsidRPr="004307EF">
        <w:rPr>
          <w:sz w:val="16"/>
        </w:rPr>
        <w:t xml:space="preserve"> (the formulation of “spatial justice” is one such possibility).19 My main goal in this brief piece is to </w:t>
      </w:r>
      <w:r w:rsidRPr="00A32EEA">
        <w:rPr>
          <w:rStyle w:val="StyleUnderline"/>
        </w:rPr>
        <w:t>foreground</w:t>
      </w:r>
      <w:r w:rsidRPr="0085692A">
        <w:rPr>
          <w:rStyle w:val="StyleUnderline"/>
        </w:rPr>
        <w:t xml:space="preserve"> the </w:t>
      </w:r>
      <w:r w:rsidRPr="0085692A">
        <w:rPr>
          <w:rStyle w:val="Emphasis"/>
        </w:rPr>
        <w:t>circuits of US empire</w:t>
      </w:r>
      <w:r w:rsidRPr="0085692A">
        <w:rPr>
          <w:rStyle w:val="StyleUnderline"/>
        </w:rPr>
        <w:t xml:space="preserve"> and </w:t>
      </w:r>
      <w:r w:rsidRPr="0085692A">
        <w:rPr>
          <w:rStyle w:val="Emphasis"/>
        </w:rPr>
        <w:t>settler colonialism</w:t>
      </w:r>
      <w:r w:rsidRPr="0085692A">
        <w:rPr>
          <w:rStyle w:val="StyleUnderline"/>
        </w:rPr>
        <w:t xml:space="preserve"> in order to vex a binary between critical disability studies and southern disability studies and a north/south binarization that </w:t>
      </w:r>
      <w:r w:rsidRPr="0085692A">
        <w:rPr>
          <w:rStyle w:val="Emphasis"/>
        </w:rPr>
        <w:t>obfuscates</w:t>
      </w:r>
      <w:r w:rsidRPr="0085692A">
        <w:rPr>
          <w:rStyle w:val="StyleUnderline"/>
        </w:rPr>
        <w:t xml:space="preserve"> the </w:t>
      </w:r>
      <w:r w:rsidRPr="0085692A">
        <w:rPr>
          <w:rStyle w:val="Emphasis"/>
        </w:rPr>
        <w:t>interconnected relations</w:t>
      </w:r>
      <w:r w:rsidRPr="0085692A">
        <w:rPr>
          <w:rStyle w:val="StyleUnderline"/>
        </w:rPr>
        <w:t xml:space="preserve"> of </w:t>
      </w:r>
      <w:r w:rsidRPr="0085692A">
        <w:rPr>
          <w:rStyle w:val="Emphasis"/>
        </w:rPr>
        <w:t>infrastructures of colonial rule</w:t>
      </w:r>
      <w:r w:rsidRPr="004307EF">
        <w:rPr>
          <w:sz w:val="16"/>
        </w:rPr>
        <w:t>.</w:t>
      </w:r>
    </w:p>
    <w:p w14:paraId="6B1F9554" w14:textId="77777777" w:rsidR="00B612B5" w:rsidRPr="00F776BF" w:rsidRDefault="00B612B5" w:rsidP="00B612B5">
      <w:pPr>
        <w:rPr>
          <w:rStyle w:val="Emphasis"/>
        </w:rPr>
      </w:pPr>
      <w:r w:rsidRPr="00F776BF">
        <w:rPr>
          <w:rStyle w:val="Emphasis"/>
        </w:rPr>
        <w:t>Spatial Debilities in the West Bank</w:t>
      </w:r>
    </w:p>
    <w:p w14:paraId="35B09B9F" w14:textId="77777777" w:rsidR="00B612B5" w:rsidRPr="004307EF" w:rsidRDefault="00B612B5" w:rsidP="00B612B5">
      <w:pPr>
        <w:rPr>
          <w:sz w:val="16"/>
        </w:rPr>
      </w:pPr>
      <w:r w:rsidRPr="004307EF">
        <w:rPr>
          <w:sz w:val="16"/>
        </w:rPr>
        <w:t xml:space="preserve">In 2018, with a fellowship from the Palestinian American Research Center, I was part of a team that met with people working at and attending disability and rehabilitation centers20 in refugee camps in the Occupied Palestinian Territories.21 While there is almost no literature focused specifically on disability in the camps, there is some work that addresses “health disparities” to draw upon, including advocacy research dispersed across various </w:t>
      </w:r>
      <w:proofErr w:type="spellStart"/>
      <w:r w:rsidRPr="004307EF">
        <w:rPr>
          <w:sz w:val="16"/>
        </w:rPr>
        <w:t>ngos</w:t>
      </w:r>
      <w:proofErr w:type="spellEnd"/>
      <w:r w:rsidRPr="004307EF">
        <w:rPr>
          <w:sz w:val="16"/>
        </w:rPr>
        <w:t xml:space="preserve">, governmental agencies, and public health institutes.22 Due in part to the Bantustan fragmentation of the West Bank and the temporal schisms that result from mobility restrictions, there are multiple and often contradictory genealogies of disability in Palestine: for example, </w:t>
      </w:r>
      <w:r w:rsidRPr="004307EF">
        <w:rPr>
          <w:rStyle w:val="Emphasis"/>
        </w:rPr>
        <w:t>spatial concentrations</w:t>
      </w:r>
      <w:r w:rsidRPr="004307EF">
        <w:rPr>
          <w:rStyle w:val="StyleUnderline"/>
        </w:rPr>
        <w:t xml:space="preserve"> of </w:t>
      </w:r>
      <w:r w:rsidRPr="004307EF">
        <w:rPr>
          <w:rStyle w:val="Emphasis"/>
        </w:rPr>
        <w:t>disability</w:t>
      </w:r>
      <w:r w:rsidRPr="004307EF">
        <w:rPr>
          <w:rStyle w:val="StyleUnderline"/>
        </w:rPr>
        <w:t xml:space="preserve"> in the refugee camps do not necessarily resonate with </w:t>
      </w:r>
      <w:proofErr w:type="spellStart"/>
      <w:r w:rsidRPr="004307EF">
        <w:rPr>
          <w:rStyle w:val="StyleUnderline"/>
        </w:rPr>
        <w:t>ngo</w:t>
      </w:r>
      <w:proofErr w:type="spellEnd"/>
      <w:r w:rsidRPr="004307EF">
        <w:rPr>
          <w:rStyle w:val="StyleUnderline"/>
        </w:rPr>
        <w:t xml:space="preserve"> work foregrounding identity, disability rights, and the neoliberal politics of recognition and empowerment</w:t>
      </w:r>
      <w:r w:rsidRPr="004307EF">
        <w:rPr>
          <w:sz w:val="16"/>
        </w:rPr>
        <w:t>.23 This project therefore brings together the spatial distribution of disability with the vast literature on mobility restrictions so as to contribute to the understanding of the workings of the occupation.</w:t>
      </w:r>
    </w:p>
    <w:p w14:paraId="534EF003" w14:textId="77777777" w:rsidR="00B612B5" w:rsidRPr="004307EF" w:rsidRDefault="00B612B5" w:rsidP="00B612B5">
      <w:pPr>
        <w:rPr>
          <w:sz w:val="16"/>
        </w:rPr>
      </w:pPr>
      <w:proofErr w:type="spellStart"/>
      <w:r w:rsidRPr="004307EF">
        <w:rPr>
          <w:sz w:val="16"/>
        </w:rPr>
        <w:t>Snounu</w:t>
      </w:r>
      <w:proofErr w:type="spellEnd"/>
      <w:r w:rsidRPr="004307EF">
        <w:rPr>
          <w:sz w:val="16"/>
        </w:rPr>
        <w:t xml:space="preserve"> et al. point to the </w:t>
      </w:r>
      <w:r w:rsidRPr="004307EF">
        <w:rPr>
          <w:rStyle w:val="StyleUnderline"/>
        </w:rPr>
        <w:t>complexities of disability in Palestine, due, in part, to the “number of Palestinians who are maimed by Israel on a daily basis.”</w:t>
      </w:r>
      <w:r w:rsidRPr="004307EF">
        <w:rPr>
          <w:sz w:val="16"/>
        </w:rPr>
        <w:t xml:space="preserve">24 </w:t>
      </w:r>
      <w:r w:rsidRPr="004307EF">
        <w:rPr>
          <w:rStyle w:val="StyleUnderline"/>
        </w:rPr>
        <w:t xml:space="preserve">I would add that spatial segregation delimits access and also means that what disability is, and what its relationship is to the </w:t>
      </w:r>
      <w:r w:rsidRPr="004307EF">
        <w:rPr>
          <w:rStyle w:val="Emphasis"/>
        </w:rPr>
        <w:t xml:space="preserve">general </w:t>
      </w:r>
      <w:r w:rsidRPr="00813BEB">
        <w:rPr>
          <w:rStyle w:val="Emphasis"/>
          <w:highlight w:val="green"/>
        </w:rPr>
        <w:t>debilitation</w:t>
      </w:r>
      <w:r w:rsidRPr="004307EF">
        <w:rPr>
          <w:rStyle w:val="Emphasis"/>
        </w:rPr>
        <w:t xml:space="preserve"> </w:t>
      </w:r>
      <w:r w:rsidRPr="004307EF">
        <w:rPr>
          <w:rStyle w:val="StyleUnderline"/>
        </w:rPr>
        <w:t xml:space="preserve">endemic to life in the West Bank, </w:t>
      </w:r>
      <w:r w:rsidRPr="00813BEB">
        <w:rPr>
          <w:rStyle w:val="StyleUnderline"/>
          <w:highlight w:val="green"/>
        </w:rPr>
        <w:t xml:space="preserve">is </w:t>
      </w:r>
      <w:r w:rsidRPr="00813BEB">
        <w:rPr>
          <w:rStyle w:val="Emphasis"/>
          <w:highlight w:val="green"/>
        </w:rPr>
        <w:t>spatially overdetermined</w:t>
      </w:r>
      <w:r w:rsidRPr="004307EF">
        <w:rPr>
          <w:sz w:val="16"/>
        </w:rPr>
        <w:t xml:space="preserve">. </w:t>
      </w:r>
      <w:r w:rsidRPr="004307EF">
        <w:rPr>
          <w:rStyle w:val="StyleUnderline"/>
        </w:rPr>
        <w:t xml:space="preserve">The occupation imposes extreme spatial regulation through the </w:t>
      </w:r>
      <w:r w:rsidRPr="004307EF">
        <w:rPr>
          <w:rStyle w:val="Emphasis"/>
        </w:rPr>
        <w:t>restriction of movement</w:t>
      </w:r>
      <w:r w:rsidRPr="004307EF">
        <w:rPr>
          <w:rStyle w:val="StyleUnderline"/>
        </w:rPr>
        <w:t xml:space="preserve"> as one of its </w:t>
      </w:r>
      <w:r w:rsidRPr="004307EF">
        <w:rPr>
          <w:rStyle w:val="Emphasis"/>
        </w:rPr>
        <w:t>prime technologies</w:t>
      </w:r>
      <w:r w:rsidRPr="004307EF">
        <w:rPr>
          <w:rStyle w:val="StyleUnderline"/>
        </w:rPr>
        <w:t xml:space="preserve"> of </w:t>
      </w:r>
      <w:r w:rsidRPr="004307EF">
        <w:rPr>
          <w:rStyle w:val="Emphasis"/>
        </w:rPr>
        <w:t>settler colonial rule</w:t>
      </w:r>
      <w:r w:rsidRPr="004307EF">
        <w:rPr>
          <w:rStyle w:val="StyleUnderline"/>
        </w:rPr>
        <w:t>, which then reproduces segregation of Palestinian populations from each other</w:t>
      </w:r>
      <w:r w:rsidRPr="004307EF">
        <w:rPr>
          <w:sz w:val="16"/>
        </w:rPr>
        <w:t xml:space="preserve">.25 It is important to acknowledge that some camps are spatially isolated or consolidated, but this may be unexceptional given the broader matrix of partitioning in the West Bank. Some camps are within or extensions of cities; others, while not gated off from urban centers, are produced as peripheral to local cities and villages. Divisions between inside the camp and outside the camp are tenuous at best, hazily demarcated by urban and nonurban geographies, density of population, and the vertical sprawl that characterizes camps (they grow upward since they cannot spread out). </w:t>
      </w:r>
      <w:r w:rsidRPr="004307EF">
        <w:rPr>
          <w:rStyle w:val="StyleUnderline"/>
        </w:rPr>
        <w:t>While keeping in mind the indeterminacy of the spatial and temporal boundedness of camps, in our interactions we came to understand that debility and disability are perceived as spatially concentrated in ways that may contribute to a sense of enclosure</w:t>
      </w:r>
      <w:r w:rsidRPr="004307EF">
        <w:rPr>
          <w:sz w:val="16"/>
        </w:rPr>
        <w:t xml:space="preserve">.26 </w:t>
      </w:r>
      <w:r w:rsidRPr="004307EF">
        <w:rPr>
          <w:rStyle w:val="StyleUnderline"/>
        </w:rPr>
        <w:t>The concomitant rise of neoliberal development in the West Bank</w:t>
      </w:r>
      <w:r w:rsidRPr="004307EF">
        <w:rPr>
          <w:sz w:val="16"/>
        </w:rPr>
        <w:t xml:space="preserve"> (Ramallah as a bubble, Rawabi as luxury housing and shopping complex) </w:t>
      </w:r>
      <w:r w:rsidRPr="004307EF">
        <w:rPr>
          <w:rStyle w:val="StyleUnderline"/>
        </w:rPr>
        <w:t>is also central to the spatial splintering of the occupation</w:t>
      </w:r>
      <w:r w:rsidRPr="004307EF">
        <w:rPr>
          <w:sz w:val="16"/>
        </w:rPr>
        <w:t xml:space="preserve">.27 </w:t>
      </w:r>
      <w:proofErr w:type="spellStart"/>
      <w:r w:rsidRPr="004307EF">
        <w:rPr>
          <w:sz w:val="16"/>
        </w:rPr>
        <w:t>Snounu</w:t>
      </w:r>
      <w:proofErr w:type="spellEnd"/>
      <w:r w:rsidRPr="004307EF">
        <w:rPr>
          <w:sz w:val="16"/>
        </w:rPr>
        <w:t xml:space="preserve"> et al. write that “Palestine, for instance, mostly deals with issues of physical disabilities because of Israeli practices of violence, and also because of the lack of diagnostic tools, which makes it difficult to identify those with learning disabilities.”28 While this accords with my own observations, I would add that </w:t>
      </w:r>
      <w:r w:rsidRPr="004307EF">
        <w:rPr>
          <w:rStyle w:val="StyleUnderline"/>
        </w:rPr>
        <w:t xml:space="preserve">ratio and distribution of “physical [war] disabilities” and “other” disabilities is, again, spatially overdetermined, insofar as the camps are often subjected to violent daily raids by the </w:t>
      </w:r>
      <w:proofErr w:type="spellStart"/>
      <w:r w:rsidRPr="004307EF">
        <w:rPr>
          <w:rStyle w:val="StyleUnderline"/>
        </w:rPr>
        <w:t>i</w:t>
      </w:r>
      <w:r>
        <w:rPr>
          <w:rStyle w:val="StyleUnderline"/>
        </w:rPr>
        <w:t>o</w:t>
      </w:r>
      <w:r w:rsidRPr="004307EF">
        <w:rPr>
          <w:rStyle w:val="StyleUnderline"/>
        </w:rPr>
        <w:t>f</w:t>
      </w:r>
      <w:proofErr w:type="spellEnd"/>
      <w:r w:rsidRPr="004307EF">
        <w:rPr>
          <w:sz w:val="16"/>
        </w:rPr>
        <w:t>.</w:t>
      </w:r>
    </w:p>
    <w:p w14:paraId="165A8759" w14:textId="77777777" w:rsidR="00B612B5" w:rsidRPr="00C16690" w:rsidRDefault="00B612B5" w:rsidP="00B612B5">
      <w:pPr>
        <w:rPr>
          <w:sz w:val="16"/>
        </w:rPr>
      </w:pPr>
      <w:r w:rsidRPr="004307EF">
        <w:rPr>
          <w:sz w:val="16"/>
        </w:rPr>
        <w:t xml:space="preserve">During this initial research phase I grasped two things: </w:t>
      </w:r>
      <w:r w:rsidRPr="00C16690">
        <w:rPr>
          <w:sz w:val="16"/>
        </w:rPr>
        <w:t xml:space="preserve">first, that </w:t>
      </w:r>
      <w:r w:rsidRPr="00C16690">
        <w:rPr>
          <w:rStyle w:val="StyleUnderline"/>
        </w:rPr>
        <w:t>the creation of “</w:t>
      </w:r>
      <w:r w:rsidRPr="00C16690">
        <w:rPr>
          <w:rStyle w:val="Emphasis"/>
        </w:rPr>
        <w:t>mobility disabilities</w:t>
      </w:r>
      <w:r w:rsidRPr="00C16690">
        <w:rPr>
          <w:rStyle w:val="StyleUnderline"/>
        </w:rPr>
        <w:t xml:space="preserve">” through </w:t>
      </w:r>
      <w:r w:rsidRPr="00C16690">
        <w:rPr>
          <w:rStyle w:val="Emphasis"/>
        </w:rPr>
        <w:t>corporeal assault</w:t>
      </w:r>
      <w:r w:rsidRPr="00C16690">
        <w:rPr>
          <w:rStyle w:val="StyleUnderline"/>
        </w:rPr>
        <w:t xml:space="preserve"> but also through </w:t>
      </w:r>
      <w:r w:rsidRPr="00C16690">
        <w:rPr>
          <w:rStyle w:val="Emphasis"/>
        </w:rPr>
        <w:t>infrastructures</w:t>
      </w:r>
      <w:r w:rsidRPr="00C16690">
        <w:rPr>
          <w:rStyle w:val="StyleUnderline"/>
        </w:rPr>
        <w:t xml:space="preserve"> are not only central to the calculus of the occupation; they are also </w:t>
      </w:r>
      <w:r w:rsidRPr="00C16690">
        <w:rPr>
          <w:rStyle w:val="Emphasis"/>
        </w:rPr>
        <w:t>linked logics of debilitation</w:t>
      </w:r>
      <w:r w:rsidRPr="00C16690">
        <w:rPr>
          <w:rStyle w:val="StyleUnderline"/>
        </w:rPr>
        <w:t xml:space="preserve"> that </w:t>
      </w:r>
      <w:r w:rsidRPr="00C16690">
        <w:rPr>
          <w:rStyle w:val="Emphasis"/>
        </w:rPr>
        <w:t>complicate</w:t>
      </w:r>
      <w:r w:rsidRPr="00C16690">
        <w:rPr>
          <w:rStyle w:val="StyleUnderline"/>
        </w:rPr>
        <w:t xml:space="preserve"> a </w:t>
      </w:r>
      <w:r w:rsidRPr="00C16690">
        <w:rPr>
          <w:rStyle w:val="Emphasis"/>
        </w:rPr>
        <w:t>binary distinction</w:t>
      </w:r>
      <w:r w:rsidRPr="00C16690">
        <w:rPr>
          <w:rStyle w:val="StyleUnderline"/>
        </w:rPr>
        <w:t xml:space="preserve"> between </w:t>
      </w:r>
      <w:r w:rsidRPr="00C16690">
        <w:rPr>
          <w:rStyle w:val="Emphasis"/>
        </w:rPr>
        <w:t>disabled and nondisabled</w:t>
      </w:r>
      <w:r w:rsidRPr="00C16690">
        <w:rPr>
          <w:rStyle w:val="StyleUnderline"/>
        </w:rPr>
        <w:t xml:space="preserve"> bodies</w:t>
      </w:r>
      <w:r w:rsidRPr="00C16690">
        <w:rPr>
          <w:sz w:val="16"/>
        </w:rPr>
        <w:t xml:space="preserve">. “Mobility disability,” argues Celeste Langan, is the “diminished difference” between people who are mobility disabled and those able-bodied who need to move but cannot.29 </w:t>
      </w:r>
      <w:r w:rsidRPr="00C16690">
        <w:rPr>
          <w:rStyle w:val="StyleUnderline"/>
        </w:rPr>
        <w:t>Interviews and conversations with disabled Palestinians in refugee camps in the West Bank explain that this “diminished difference” is a lived reality in a context where Palestinians live in close proximity to each other, where there is less nuclear-family domestic atomization</w:t>
      </w:r>
      <w:r w:rsidRPr="00C16690">
        <w:rPr>
          <w:sz w:val="16"/>
        </w:rPr>
        <w:t xml:space="preserve">. </w:t>
      </w:r>
      <w:r w:rsidRPr="00C16690">
        <w:rPr>
          <w:rStyle w:val="StyleUnderline"/>
        </w:rPr>
        <w:t>In addition, all Palestinians are subject to the “</w:t>
      </w:r>
      <w:r w:rsidRPr="00C16690">
        <w:rPr>
          <w:rStyle w:val="Emphasis"/>
        </w:rPr>
        <w:t>collective punishment</w:t>
      </w:r>
      <w:r w:rsidRPr="00C16690">
        <w:rPr>
          <w:rStyle w:val="StyleUnderline"/>
        </w:rPr>
        <w:t>” of movement restrictions—checkpoints, permit regimes, the apartheid wall, divided highways</w:t>
      </w:r>
      <w:r w:rsidRPr="00C16690">
        <w:rPr>
          <w:sz w:val="16"/>
        </w:rPr>
        <w:t xml:space="preserve">. I continue to wonder whether these </w:t>
      </w:r>
      <w:r w:rsidRPr="00C16690">
        <w:rPr>
          <w:rStyle w:val="StyleUnderline"/>
        </w:rPr>
        <w:t xml:space="preserve">diminished differences, especially as experienced by those living in spatially segregated camps that endure higher rates of war injuries, foster </w:t>
      </w:r>
      <w:r w:rsidRPr="00C16690">
        <w:rPr>
          <w:rStyle w:val="Emphasis"/>
        </w:rPr>
        <w:t>solidaristic relations</w:t>
      </w:r>
      <w:r w:rsidRPr="00C16690">
        <w:rPr>
          <w:rStyle w:val="StyleUnderline"/>
        </w:rPr>
        <w:t xml:space="preserve"> through </w:t>
      </w:r>
      <w:r w:rsidRPr="00C16690">
        <w:rPr>
          <w:rStyle w:val="Emphasis"/>
        </w:rPr>
        <w:t>differentials of mobility</w:t>
      </w:r>
      <w:r w:rsidRPr="00C16690">
        <w:rPr>
          <w:rStyle w:val="StyleUnderline"/>
        </w:rPr>
        <w:t xml:space="preserve"> rather than </w:t>
      </w:r>
      <w:r w:rsidRPr="00C16690">
        <w:rPr>
          <w:rStyle w:val="Emphasis"/>
        </w:rPr>
        <w:t>reiterate</w:t>
      </w:r>
      <w:r w:rsidRPr="00C16690">
        <w:rPr>
          <w:rStyle w:val="StyleUnderline"/>
        </w:rPr>
        <w:t xml:space="preserve"> the parsing of a </w:t>
      </w:r>
      <w:r w:rsidRPr="00C16690">
        <w:rPr>
          <w:rStyle w:val="Emphasis"/>
        </w:rPr>
        <w:t>disabled/nondisabled binary</w:t>
      </w:r>
      <w:r w:rsidRPr="00C16690">
        <w:rPr>
          <w:sz w:val="16"/>
        </w:rPr>
        <w:t>. In effect I am arguing that seriously thinking through this “diminished difference” is an important entry point into the process of decolonizing disability.</w:t>
      </w:r>
    </w:p>
    <w:p w14:paraId="2A071628" w14:textId="77777777" w:rsidR="00B612B5" w:rsidRPr="00C16690" w:rsidRDefault="00B612B5" w:rsidP="00B612B5">
      <w:pPr>
        <w:rPr>
          <w:sz w:val="16"/>
        </w:rPr>
      </w:pPr>
      <w:r w:rsidRPr="00C16690">
        <w:rPr>
          <w:rStyle w:val="StyleUnderline"/>
        </w:rPr>
        <w:t>The spectrum of mobility disabilities illuminates what Alison Kafer calls the “</w:t>
      </w:r>
      <w:r w:rsidRPr="00C16690">
        <w:rPr>
          <w:rStyle w:val="Emphasis"/>
        </w:rPr>
        <w:t>political-relational</w:t>
      </w:r>
      <w:r w:rsidRPr="00C16690">
        <w:rPr>
          <w:rStyle w:val="StyleUnderline"/>
        </w:rPr>
        <w:t xml:space="preserve">” </w:t>
      </w:r>
      <w:r w:rsidRPr="00C16690">
        <w:rPr>
          <w:rStyle w:val="Emphasis"/>
        </w:rPr>
        <w:t>life</w:t>
      </w:r>
      <w:r w:rsidRPr="00C16690">
        <w:rPr>
          <w:rStyle w:val="StyleUnderline"/>
        </w:rPr>
        <w:t xml:space="preserve"> of the camps—the </w:t>
      </w:r>
      <w:r w:rsidRPr="00C16690">
        <w:rPr>
          <w:rStyle w:val="Emphasis"/>
        </w:rPr>
        <w:t>care webs and mutual aid networks</w:t>
      </w:r>
      <w:r w:rsidRPr="00C16690">
        <w:rPr>
          <w:rStyle w:val="StyleUnderline"/>
        </w:rPr>
        <w:t xml:space="preserve"> that have developed over decades in response to the conditions of the occupation</w:t>
      </w:r>
      <w:r w:rsidRPr="00C16690">
        <w:rPr>
          <w:sz w:val="16"/>
        </w:rPr>
        <w:t xml:space="preserve">.30 </w:t>
      </w:r>
      <w:r w:rsidRPr="00C16690">
        <w:rPr>
          <w:rStyle w:val="StyleUnderline"/>
        </w:rPr>
        <w:t xml:space="preserve">It also reflects how </w:t>
      </w:r>
      <w:r w:rsidRPr="00C16690">
        <w:rPr>
          <w:rStyle w:val="Emphasis"/>
        </w:rPr>
        <w:t>disability</w:t>
      </w:r>
      <w:r w:rsidRPr="00C16690">
        <w:rPr>
          <w:rStyle w:val="StyleUnderline"/>
        </w:rPr>
        <w:t xml:space="preserve"> is often a </w:t>
      </w:r>
      <w:r w:rsidRPr="00C16690">
        <w:rPr>
          <w:rStyle w:val="Emphasis"/>
        </w:rPr>
        <w:t>transactional category</w:t>
      </w:r>
      <w:r w:rsidRPr="00C16690">
        <w:rPr>
          <w:rStyle w:val="StyleUnderline"/>
        </w:rPr>
        <w:t xml:space="preserve"> embedded in </w:t>
      </w:r>
      <w:r w:rsidRPr="00C16690">
        <w:rPr>
          <w:rStyle w:val="Emphasis"/>
        </w:rPr>
        <w:t>humanitarian aid economies</w:t>
      </w:r>
      <w:r w:rsidRPr="00C16690">
        <w:rPr>
          <w:rStyle w:val="StyleUnderline"/>
        </w:rPr>
        <w:t xml:space="preserve"> that may or may not resonate as an identity per se; it is an </w:t>
      </w:r>
      <w:r w:rsidRPr="00C16690">
        <w:rPr>
          <w:rStyle w:val="Emphasis"/>
        </w:rPr>
        <w:t>analytic</w:t>
      </w:r>
      <w:r w:rsidRPr="00C16690">
        <w:rPr>
          <w:rStyle w:val="StyleUnderline"/>
        </w:rPr>
        <w:t xml:space="preserve"> deployed to </w:t>
      </w:r>
      <w:r w:rsidRPr="00C16690">
        <w:rPr>
          <w:rStyle w:val="Emphasis"/>
        </w:rPr>
        <w:t>access resources</w:t>
      </w:r>
      <w:r w:rsidRPr="00C16690">
        <w:rPr>
          <w:rStyle w:val="StyleUnderline"/>
        </w:rPr>
        <w:t xml:space="preserve"> and </w:t>
      </w:r>
      <w:r w:rsidRPr="00C16690">
        <w:rPr>
          <w:rStyle w:val="Emphasis"/>
        </w:rPr>
        <w:t>participate</w:t>
      </w:r>
      <w:r w:rsidRPr="00C16690">
        <w:rPr>
          <w:rStyle w:val="StyleUnderline"/>
        </w:rPr>
        <w:t xml:space="preserve"> in the </w:t>
      </w:r>
      <w:proofErr w:type="spellStart"/>
      <w:r w:rsidRPr="00C16690">
        <w:rPr>
          <w:rStyle w:val="StyleUnderline"/>
        </w:rPr>
        <w:t>ngo</w:t>
      </w:r>
      <w:proofErr w:type="spellEnd"/>
      <w:r w:rsidRPr="00C16690">
        <w:rPr>
          <w:rStyle w:val="StyleUnderline"/>
        </w:rPr>
        <w:t xml:space="preserve"> and un </w:t>
      </w:r>
      <w:r w:rsidRPr="00C16690">
        <w:rPr>
          <w:rStyle w:val="Emphasis"/>
        </w:rPr>
        <w:t>lexicon of rights and empowerment</w:t>
      </w:r>
      <w:r w:rsidRPr="00C16690">
        <w:rPr>
          <w:rStyle w:val="StyleUnderline"/>
        </w:rPr>
        <w:t xml:space="preserve"> discourses, the latter being an extremely delicate issue in the context of such social, economic, and political oppression</w:t>
      </w:r>
      <w:r w:rsidRPr="00C16690">
        <w:rPr>
          <w:sz w:val="16"/>
        </w:rPr>
        <w:t xml:space="preserve">. Many center directors explained that </w:t>
      </w:r>
      <w:r w:rsidRPr="00C16690">
        <w:rPr>
          <w:rStyle w:val="Emphasis"/>
        </w:rPr>
        <w:t>human rights frames</w:t>
      </w:r>
      <w:r w:rsidRPr="00C16690">
        <w:rPr>
          <w:rStyle w:val="StyleUnderline"/>
        </w:rPr>
        <w:t xml:space="preserve">, </w:t>
      </w:r>
      <w:proofErr w:type="spellStart"/>
      <w:r w:rsidRPr="00C16690">
        <w:rPr>
          <w:rStyle w:val="StyleUnderline"/>
        </w:rPr>
        <w:t>ngo</w:t>
      </w:r>
      <w:proofErr w:type="spellEnd"/>
      <w:r w:rsidRPr="00C16690">
        <w:rPr>
          <w:rStyle w:val="StyleUnderline"/>
        </w:rPr>
        <w:t xml:space="preserve"> organizations, and humanitarian relief are </w:t>
      </w:r>
      <w:r w:rsidRPr="00C16690">
        <w:rPr>
          <w:rStyle w:val="Emphasis"/>
        </w:rPr>
        <w:t>producing</w:t>
      </w:r>
      <w:r w:rsidRPr="00C16690">
        <w:rPr>
          <w:rStyle w:val="StyleUnderline"/>
        </w:rPr>
        <w:t xml:space="preserve"> “</w:t>
      </w:r>
      <w:r w:rsidRPr="00C16690">
        <w:rPr>
          <w:rStyle w:val="Emphasis"/>
        </w:rPr>
        <w:t>disability</w:t>
      </w:r>
      <w:r w:rsidRPr="00C16690">
        <w:rPr>
          <w:rStyle w:val="StyleUnderline"/>
        </w:rPr>
        <w:t xml:space="preserve">” and </w:t>
      </w:r>
      <w:r w:rsidRPr="00C16690">
        <w:rPr>
          <w:rStyle w:val="Emphasis"/>
        </w:rPr>
        <w:t>related lexicon</w:t>
      </w:r>
      <w:r w:rsidRPr="00C16690">
        <w:rPr>
          <w:rStyle w:val="StyleUnderline"/>
        </w:rPr>
        <w:t xml:space="preserve"> that are </w:t>
      </w:r>
      <w:r w:rsidRPr="00C16690">
        <w:rPr>
          <w:rStyle w:val="Emphasis"/>
        </w:rPr>
        <w:t>driven externally</w:t>
      </w:r>
      <w:r w:rsidRPr="00C16690">
        <w:rPr>
          <w:rStyle w:val="StyleUnderline"/>
        </w:rPr>
        <w:t xml:space="preserve">; in turn these emergent linguistic interfaces are reshaped by center employees and camp residents to create </w:t>
      </w:r>
      <w:r w:rsidRPr="00C16690">
        <w:rPr>
          <w:rStyle w:val="Emphasis"/>
        </w:rPr>
        <w:t>narratives of disability</w:t>
      </w:r>
      <w:r w:rsidRPr="00C16690">
        <w:rPr>
          <w:rStyle w:val="StyleUnderline"/>
        </w:rPr>
        <w:t xml:space="preserve"> that feed into </w:t>
      </w:r>
      <w:r w:rsidRPr="00C16690">
        <w:rPr>
          <w:rStyle w:val="Emphasis"/>
        </w:rPr>
        <w:t>preordained frames of funding</w:t>
      </w:r>
      <w:r w:rsidRPr="00C16690">
        <w:rPr>
          <w:sz w:val="16"/>
        </w:rPr>
        <w:t>.</w:t>
      </w:r>
    </w:p>
    <w:p w14:paraId="6CE9D88A" w14:textId="77777777" w:rsidR="00B612B5" w:rsidRDefault="00B612B5" w:rsidP="00B612B5">
      <w:pPr>
        <w:rPr>
          <w:sz w:val="16"/>
        </w:rPr>
      </w:pPr>
      <w:r w:rsidRPr="00C16690">
        <w:rPr>
          <w:sz w:val="16"/>
        </w:rPr>
        <w:t xml:space="preserve">From our conversations we learned that </w:t>
      </w:r>
      <w:r w:rsidRPr="00C16690">
        <w:rPr>
          <w:rStyle w:val="Emphasis"/>
        </w:rPr>
        <w:t>war injuries</w:t>
      </w:r>
      <w:r w:rsidRPr="00C16690">
        <w:rPr>
          <w:rStyle w:val="StyleUnderline"/>
        </w:rPr>
        <w:t xml:space="preserve"> in the camps are considered a </w:t>
      </w:r>
      <w:r w:rsidRPr="00C16690">
        <w:rPr>
          <w:rStyle w:val="Emphasis"/>
        </w:rPr>
        <w:t>form of punishment</w:t>
      </w:r>
      <w:r w:rsidRPr="00C16690">
        <w:rPr>
          <w:rStyle w:val="StyleUnderline"/>
        </w:rPr>
        <w:t xml:space="preserve"> and thus </w:t>
      </w:r>
      <w:r w:rsidRPr="00C16690">
        <w:rPr>
          <w:rStyle w:val="Emphasis"/>
        </w:rPr>
        <w:t>markers of anticolonial resistance</w:t>
      </w:r>
      <w:r w:rsidRPr="00C16690">
        <w:rPr>
          <w:rStyle w:val="StyleUnderline"/>
        </w:rPr>
        <w:t xml:space="preserve">, suggesting that disability is an onto-epistemological facet of Palestinian resistance, an </w:t>
      </w:r>
      <w:r w:rsidRPr="00C16690">
        <w:rPr>
          <w:rStyle w:val="Emphasis"/>
        </w:rPr>
        <w:t>unexceptional state of becoming</w:t>
      </w:r>
      <w:r w:rsidRPr="00C16690">
        <w:rPr>
          <w:rStyle w:val="StyleUnderline"/>
        </w:rPr>
        <w:t xml:space="preserve"> that informs the comportments of many Palestinian refugees</w:t>
      </w:r>
      <w:r w:rsidRPr="00C16690">
        <w:rPr>
          <w:sz w:val="16"/>
        </w:rPr>
        <w:t xml:space="preserve">. Disability is experienced </w:t>
      </w:r>
      <w:proofErr w:type="gramStart"/>
      <w:r w:rsidRPr="00C16690">
        <w:rPr>
          <w:sz w:val="16"/>
        </w:rPr>
        <w:t>as a consequence of</w:t>
      </w:r>
      <w:proofErr w:type="gramEnd"/>
      <w:r w:rsidRPr="00C16690">
        <w:rPr>
          <w:sz w:val="16"/>
        </w:rPr>
        <w:t xml:space="preserve"> resisting the occupation </w:t>
      </w:r>
      <w:proofErr w:type="gramStart"/>
      <w:r w:rsidRPr="00C16690">
        <w:rPr>
          <w:sz w:val="16"/>
        </w:rPr>
        <w:t>and also</w:t>
      </w:r>
      <w:proofErr w:type="gramEnd"/>
      <w:r w:rsidRPr="00C16690">
        <w:rPr>
          <w:sz w:val="16"/>
        </w:rPr>
        <w:t xml:space="preserve"> as merely living as occupied. In a field of chronic health conditions—high levels of diabetes and heart disease are typical—</w:t>
      </w:r>
      <w:r w:rsidRPr="00C16690">
        <w:rPr>
          <w:rStyle w:val="Emphasis"/>
        </w:rPr>
        <w:t>disability was not an inhabited identity</w:t>
      </w:r>
      <w:r w:rsidRPr="00C16690">
        <w:rPr>
          <w:rStyle w:val="StyleUnderline"/>
        </w:rPr>
        <w:t xml:space="preserve">, nor a </w:t>
      </w:r>
      <w:r w:rsidRPr="00C16690">
        <w:rPr>
          <w:rStyle w:val="Emphasis"/>
        </w:rPr>
        <w:t>distinct phenomenological orientation</w:t>
      </w:r>
      <w:r w:rsidRPr="00C16690">
        <w:rPr>
          <w:rStyle w:val="StyleUnderline"/>
        </w:rPr>
        <w:t xml:space="preserve"> that distinguished certain bodies from other bodies</w:t>
      </w:r>
      <w:r w:rsidRPr="00C16690">
        <w:rPr>
          <w:sz w:val="16"/>
        </w:rPr>
        <w:t xml:space="preserve">. That is not to say that residents did not understand themselves or others as disabled, but that </w:t>
      </w:r>
      <w:r w:rsidRPr="00C16690">
        <w:rPr>
          <w:rStyle w:val="StyleUnderline"/>
        </w:rPr>
        <w:t>identification in this context does not fall neatly into being either “descriptively disabled” or “politically disabled.”</w:t>
      </w:r>
      <w:r w:rsidRPr="00C16690">
        <w:rPr>
          <w:sz w:val="16"/>
        </w:rPr>
        <w:t xml:space="preserve">31 </w:t>
      </w:r>
      <w:r w:rsidRPr="00C16690">
        <w:rPr>
          <w:rStyle w:val="StyleUnderline"/>
        </w:rPr>
        <w:t xml:space="preserve">Rather, </w:t>
      </w:r>
      <w:r w:rsidRPr="00C16690">
        <w:rPr>
          <w:rStyle w:val="Emphasis"/>
        </w:rPr>
        <w:t>disability</w:t>
      </w:r>
      <w:r w:rsidRPr="00C16690">
        <w:rPr>
          <w:rStyle w:val="StyleUnderline"/>
        </w:rPr>
        <w:t xml:space="preserve">, typically invoked as a descriptor and deployed as a </w:t>
      </w:r>
      <w:r w:rsidRPr="00C16690">
        <w:rPr>
          <w:rStyle w:val="Emphasis"/>
        </w:rPr>
        <w:t>transactional facet</w:t>
      </w:r>
      <w:r w:rsidRPr="00C16690">
        <w:rPr>
          <w:rStyle w:val="StyleUnderline"/>
        </w:rPr>
        <w:t xml:space="preserve"> between funding opportunities, is incorporated into a </w:t>
      </w:r>
      <w:r w:rsidRPr="00C16690">
        <w:rPr>
          <w:rStyle w:val="Emphasis"/>
        </w:rPr>
        <w:t>spectrum of debilitation</w:t>
      </w:r>
      <w:r w:rsidRPr="00C16690">
        <w:rPr>
          <w:rStyle w:val="StyleUnderline"/>
        </w:rPr>
        <w:t xml:space="preserve"> in densely populated camp life that demanded alternative networks of care, integration, and support</w:t>
      </w:r>
      <w:r w:rsidRPr="00C16690">
        <w:rPr>
          <w:sz w:val="16"/>
        </w:rPr>
        <w:t>. In other words, I gleaned that disability is lived as much, if not more so, as a communal process of coming to terms with and resisting the conditions of the occupation than</w:t>
      </w:r>
      <w:r w:rsidRPr="004307EF">
        <w:rPr>
          <w:sz w:val="16"/>
        </w:rPr>
        <w:t xml:space="preserve"> an individual condition.</w:t>
      </w:r>
    </w:p>
    <w:p w14:paraId="2E8C0C69" w14:textId="77777777" w:rsidR="00B612B5" w:rsidRPr="004307EF" w:rsidRDefault="00B612B5" w:rsidP="00B612B5">
      <w:pPr>
        <w:rPr>
          <w:sz w:val="16"/>
        </w:rPr>
      </w:pPr>
    </w:p>
    <w:p w14:paraId="6225286E" w14:textId="77777777" w:rsidR="00B612B5" w:rsidRPr="0053585F" w:rsidRDefault="00B612B5" w:rsidP="00B612B5">
      <w:pPr>
        <w:pStyle w:val="Heading4"/>
        <w:rPr>
          <w:u w:val="single"/>
        </w:rPr>
      </w:pPr>
      <w:r>
        <w:t xml:space="preserve">Universalization is a </w:t>
      </w:r>
      <w:r>
        <w:rPr>
          <w:u w:val="single"/>
        </w:rPr>
        <w:t>depoliticizing tactic</w:t>
      </w:r>
      <w:r>
        <w:t xml:space="preserve"> that </w:t>
      </w:r>
      <w:r>
        <w:rPr>
          <w:u w:val="single"/>
        </w:rPr>
        <w:t>mystifies antagonism</w:t>
      </w:r>
      <w:r>
        <w:t xml:space="preserve"> and collapses into </w:t>
      </w:r>
      <w:r>
        <w:rPr>
          <w:u w:val="single"/>
        </w:rPr>
        <w:t>liberal Zionism</w:t>
      </w:r>
    </w:p>
    <w:p w14:paraId="468CFF5E" w14:textId="77777777" w:rsidR="00B612B5" w:rsidRPr="00130751" w:rsidRDefault="00B612B5" w:rsidP="00B612B5">
      <w:r w:rsidRPr="00130751">
        <w:rPr>
          <w:rStyle w:val="Style13ptBold"/>
        </w:rPr>
        <w:t>Khader 26</w:t>
      </w:r>
      <w:r>
        <w:t xml:space="preserve">, </w:t>
      </w:r>
      <w:r w:rsidRPr="00130751">
        <w:t>Bethune-Cookman University, Daytona Beach, Florida</w:t>
      </w:r>
      <w:r>
        <w:t xml:space="preserve"> (Jamil, “</w:t>
      </w:r>
      <w:r w:rsidRPr="00130751">
        <w:t>Universalizing Capital, Foreclosing Necro-Imperialism: Zizek’s Liberal-Zionist Response to the Gaza Genocide</w:t>
      </w:r>
      <w:r>
        <w:t xml:space="preserve">,” Middle East Critique, Forthcoming) </w:t>
      </w:r>
    </w:p>
    <w:p w14:paraId="2A2D9935" w14:textId="77777777" w:rsidR="00B612B5" w:rsidRPr="00000748" w:rsidRDefault="00B612B5" w:rsidP="00B612B5">
      <w:pPr>
        <w:rPr>
          <w:sz w:val="16"/>
        </w:rPr>
      </w:pPr>
      <w:r w:rsidRPr="00000748">
        <w:rPr>
          <w:sz w:val="16"/>
        </w:rPr>
        <w:t>Zizek’s interventions on Israel’s war crimes and genocide in Gaza are a natural extension of his long-standing Lacanian-Hegelian engagement with what he persistently calls the ‘Israeli-Palestinian conflict’, or, in the idiom of liberal Zionism, the situation (</w:t>
      </w:r>
      <w:proofErr w:type="spellStart"/>
      <w:r w:rsidRPr="00000748">
        <w:rPr>
          <w:sz w:val="16"/>
        </w:rPr>
        <w:t>hamatsav</w:t>
      </w:r>
      <w:proofErr w:type="spellEnd"/>
      <w:r w:rsidRPr="00000748">
        <w:rPr>
          <w:sz w:val="16"/>
        </w:rPr>
        <w:t xml:space="preserve">).2 Across his writings – from Welcome to the Desert of the Real (Zizek 2002) to Zero Point (Zizek 2025c) – </w:t>
      </w:r>
      <w:r w:rsidRPr="00130751">
        <w:rPr>
          <w:rStyle w:val="StyleUnderline"/>
        </w:rPr>
        <w:t>Zizek situates this ‘conflict’ within his reflections on the ‘Jewish Question’ and the legacy of antisemitism in European modernity</w:t>
      </w:r>
      <w:r w:rsidRPr="00000748">
        <w:rPr>
          <w:sz w:val="16"/>
        </w:rPr>
        <w:t xml:space="preserve"> (Zizek 2002, 2009, 2010, 2025c). </w:t>
      </w:r>
      <w:r w:rsidRPr="00130751">
        <w:rPr>
          <w:rStyle w:val="StyleUnderline"/>
        </w:rPr>
        <w:t xml:space="preserve">Despite tonal modulations and rhetorical appeals to ‘context’, his </w:t>
      </w:r>
      <w:r w:rsidRPr="00813BEB">
        <w:rPr>
          <w:rStyle w:val="StyleUnderline"/>
          <w:highlight w:val="green"/>
        </w:rPr>
        <w:t>framework</w:t>
      </w:r>
      <w:r w:rsidRPr="00130751">
        <w:rPr>
          <w:rStyle w:val="StyleUnderline"/>
        </w:rPr>
        <w:t xml:space="preserve"> remains unchanged: it </w:t>
      </w:r>
      <w:r w:rsidRPr="00813BEB">
        <w:rPr>
          <w:rStyle w:val="Emphasis"/>
          <w:highlight w:val="green"/>
        </w:rPr>
        <w:t>forecloses</w:t>
      </w:r>
      <w:r w:rsidRPr="00130751">
        <w:rPr>
          <w:rStyle w:val="StyleUnderline"/>
        </w:rPr>
        <w:t xml:space="preserve"> the </w:t>
      </w:r>
      <w:r w:rsidRPr="00813BEB">
        <w:rPr>
          <w:rStyle w:val="Emphasis"/>
          <w:highlight w:val="green"/>
        </w:rPr>
        <w:t>material specificities</w:t>
      </w:r>
      <w:r w:rsidRPr="00813BEB">
        <w:rPr>
          <w:rStyle w:val="StyleUnderline"/>
          <w:highlight w:val="green"/>
        </w:rPr>
        <w:t xml:space="preserve"> of</w:t>
      </w:r>
      <w:r w:rsidRPr="00130751">
        <w:rPr>
          <w:rStyle w:val="StyleUnderline"/>
        </w:rPr>
        <w:t xml:space="preserve"> the </w:t>
      </w:r>
      <w:r w:rsidRPr="00813BEB">
        <w:rPr>
          <w:rStyle w:val="Emphasis"/>
          <w:highlight w:val="green"/>
        </w:rPr>
        <w:t>actual problem</w:t>
      </w:r>
      <w:r w:rsidRPr="00813BEB">
        <w:rPr>
          <w:rStyle w:val="StyleUnderline"/>
          <w:highlight w:val="green"/>
        </w:rPr>
        <w:t xml:space="preserve"> that underlies</w:t>
      </w:r>
      <w:r w:rsidRPr="00130751">
        <w:rPr>
          <w:rStyle w:val="StyleUnderline"/>
        </w:rPr>
        <w:t xml:space="preserve"> both </w:t>
      </w:r>
      <w:r w:rsidRPr="00813BEB">
        <w:rPr>
          <w:rStyle w:val="StyleUnderline"/>
          <w:highlight w:val="green"/>
        </w:rPr>
        <w:t>the</w:t>
      </w:r>
      <w:r w:rsidRPr="00130751">
        <w:rPr>
          <w:rStyle w:val="StyleUnderline"/>
        </w:rPr>
        <w:t xml:space="preserve"> Al-Aqsa Flood and the </w:t>
      </w:r>
      <w:r w:rsidRPr="00813BEB">
        <w:rPr>
          <w:rStyle w:val="Emphasis"/>
          <w:highlight w:val="green"/>
        </w:rPr>
        <w:t>genocidal war</w:t>
      </w:r>
      <w:r w:rsidRPr="00130751">
        <w:rPr>
          <w:rStyle w:val="StyleUnderline"/>
        </w:rPr>
        <w:t xml:space="preserve"> that followed</w:t>
      </w:r>
      <w:r w:rsidRPr="00000748">
        <w:rPr>
          <w:sz w:val="16"/>
        </w:rPr>
        <w:t xml:space="preserve">. </w:t>
      </w:r>
      <w:r w:rsidRPr="0044354F">
        <w:rPr>
          <w:rStyle w:val="StyleUnderline"/>
        </w:rPr>
        <w:t xml:space="preserve">This problem – </w:t>
      </w:r>
      <w:r w:rsidRPr="0044354F">
        <w:rPr>
          <w:rStyle w:val="Emphasis"/>
        </w:rPr>
        <w:t>necro-imperial Zionist settler colonialism</w:t>
      </w:r>
      <w:r w:rsidRPr="0044354F">
        <w:rPr>
          <w:rStyle w:val="StyleUnderline"/>
        </w:rPr>
        <w:t xml:space="preserve"> and its </w:t>
      </w:r>
      <w:r w:rsidRPr="0044354F">
        <w:rPr>
          <w:rStyle w:val="Emphasis"/>
        </w:rPr>
        <w:t>structural logic of annexation and racial extermination</w:t>
      </w:r>
      <w:r w:rsidRPr="0044354F">
        <w:rPr>
          <w:rStyle w:val="StyleUnderline"/>
        </w:rPr>
        <w:t xml:space="preserve"> – constitutes the </w:t>
      </w:r>
      <w:r w:rsidRPr="0044354F">
        <w:rPr>
          <w:rStyle w:val="Emphasis"/>
        </w:rPr>
        <w:t>historical truth</w:t>
      </w:r>
      <w:r w:rsidRPr="0044354F">
        <w:rPr>
          <w:rStyle w:val="StyleUnderline"/>
        </w:rPr>
        <w:t xml:space="preserve"> his </w:t>
      </w:r>
      <w:r w:rsidRPr="0044354F">
        <w:rPr>
          <w:rStyle w:val="Emphasis"/>
        </w:rPr>
        <w:t>dialectic cannot sustain</w:t>
      </w:r>
      <w:r w:rsidRPr="0044354F">
        <w:rPr>
          <w:sz w:val="16"/>
        </w:rPr>
        <w:t xml:space="preserve">.3 </w:t>
      </w:r>
      <w:r w:rsidRPr="0044354F">
        <w:rPr>
          <w:rStyle w:val="StyleUnderline"/>
        </w:rPr>
        <w:t>F</w:t>
      </w:r>
      <w:r w:rsidRPr="00130751">
        <w:rPr>
          <w:rStyle w:val="StyleUnderline"/>
        </w:rPr>
        <w:t>or Zizek, ‘antagonism’ in the Hegelian sense designates the constitutive negativity that destabilizes every symbolic order from within</w:t>
      </w:r>
      <w:r w:rsidRPr="00000748">
        <w:rPr>
          <w:sz w:val="16"/>
        </w:rPr>
        <w:t xml:space="preserve">. </w:t>
      </w:r>
      <w:r w:rsidRPr="00130751">
        <w:rPr>
          <w:rStyle w:val="StyleUnderline"/>
        </w:rPr>
        <w:t xml:space="preserve">Yet by </w:t>
      </w:r>
      <w:r w:rsidRPr="00813BEB">
        <w:rPr>
          <w:rStyle w:val="Emphasis"/>
          <w:highlight w:val="green"/>
        </w:rPr>
        <w:t>translating</w:t>
      </w:r>
      <w:r w:rsidRPr="00130751">
        <w:rPr>
          <w:rStyle w:val="StyleUnderline"/>
        </w:rPr>
        <w:t xml:space="preserve"> this </w:t>
      </w:r>
      <w:r w:rsidRPr="00130751">
        <w:rPr>
          <w:rStyle w:val="Emphasis"/>
        </w:rPr>
        <w:t xml:space="preserve">historical </w:t>
      </w:r>
      <w:r w:rsidRPr="00813BEB">
        <w:rPr>
          <w:rStyle w:val="Emphasis"/>
          <w:highlight w:val="green"/>
        </w:rPr>
        <w:t>contradiction</w:t>
      </w:r>
      <w:r w:rsidRPr="00813BEB">
        <w:rPr>
          <w:rStyle w:val="StyleUnderline"/>
          <w:highlight w:val="green"/>
        </w:rPr>
        <w:t xml:space="preserve"> into</w:t>
      </w:r>
      <w:r w:rsidRPr="00130751">
        <w:rPr>
          <w:rStyle w:val="StyleUnderline"/>
        </w:rPr>
        <w:t xml:space="preserve"> an </w:t>
      </w:r>
      <w:r w:rsidRPr="00813BEB">
        <w:rPr>
          <w:rStyle w:val="Emphasis"/>
          <w:highlight w:val="green"/>
        </w:rPr>
        <w:t>abstract</w:t>
      </w:r>
      <w:r w:rsidRPr="00130751">
        <w:rPr>
          <w:rStyle w:val="Emphasis"/>
        </w:rPr>
        <w:t xml:space="preserve"> moral </w:t>
      </w:r>
      <w:r w:rsidRPr="00813BEB">
        <w:rPr>
          <w:rStyle w:val="Emphasis"/>
          <w:highlight w:val="green"/>
        </w:rPr>
        <w:t>opposition</w:t>
      </w:r>
      <w:r w:rsidRPr="00130751">
        <w:rPr>
          <w:rStyle w:val="StyleUnderline"/>
        </w:rPr>
        <w:t xml:space="preserve">, he </w:t>
      </w:r>
      <w:r w:rsidRPr="00813BEB">
        <w:rPr>
          <w:rStyle w:val="StyleUnderline"/>
          <w:highlight w:val="green"/>
        </w:rPr>
        <w:t>blocks access to</w:t>
      </w:r>
      <w:r w:rsidRPr="00130751">
        <w:rPr>
          <w:rStyle w:val="StyleUnderline"/>
        </w:rPr>
        <w:t xml:space="preserve"> the Real—the </w:t>
      </w:r>
      <w:r w:rsidRPr="00813BEB">
        <w:rPr>
          <w:rStyle w:val="Emphasis"/>
          <w:highlight w:val="green"/>
        </w:rPr>
        <w:t>underlying structure</w:t>
      </w:r>
      <w:r w:rsidRPr="00813BEB">
        <w:rPr>
          <w:rStyle w:val="StyleUnderline"/>
          <w:highlight w:val="green"/>
        </w:rPr>
        <w:t xml:space="preserve"> that</w:t>
      </w:r>
      <w:r w:rsidRPr="00130751">
        <w:rPr>
          <w:rStyle w:val="StyleUnderline"/>
        </w:rPr>
        <w:t xml:space="preserve"> continues to </w:t>
      </w:r>
      <w:r w:rsidRPr="00813BEB">
        <w:rPr>
          <w:rStyle w:val="Emphasis"/>
          <w:highlight w:val="green"/>
        </w:rPr>
        <w:t>shape</w:t>
      </w:r>
      <w:r w:rsidRPr="00130751">
        <w:rPr>
          <w:rStyle w:val="Emphasis"/>
        </w:rPr>
        <w:t xml:space="preserve"> the </w:t>
      </w:r>
      <w:r w:rsidRPr="00813BEB">
        <w:rPr>
          <w:rStyle w:val="Emphasis"/>
          <w:highlight w:val="green"/>
        </w:rPr>
        <w:t>struggle</w:t>
      </w:r>
      <w:r w:rsidRPr="00813BEB">
        <w:rPr>
          <w:rStyle w:val="StyleUnderline"/>
          <w:highlight w:val="green"/>
        </w:rPr>
        <w:t xml:space="preserve"> across</w:t>
      </w:r>
      <w:r w:rsidRPr="00130751">
        <w:rPr>
          <w:rStyle w:val="StyleUnderline"/>
        </w:rPr>
        <w:t xml:space="preserve"> </w:t>
      </w:r>
      <w:r w:rsidRPr="00130751">
        <w:rPr>
          <w:rStyle w:val="Emphasis"/>
        </w:rPr>
        <w:t xml:space="preserve">historic </w:t>
      </w:r>
      <w:r w:rsidRPr="00813BEB">
        <w:rPr>
          <w:rStyle w:val="Emphasis"/>
          <w:highlight w:val="green"/>
        </w:rPr>
        <w:t>Palestine</w:t>
      </w:r>
      <w:r w:rsidRPr="00000748">
        <w:rPr>
          <w:sz w:val="16"/>
        </w:rPr>
        <w:t xml:space="preserve">. </w:t>
      </w:r>
      <w:r w:rsidRPr="00462612">
        <w:rPr>
          <w:rStyle w:val="StyleUnderline"/>
        </w:rPr>
        <w:t>The</w:t>
      </w:r>
      <w:r w:rsidRPr="00000748">
        <w:rPr>
          <w:rStyle w:val="StyleUnderline"/>
        </w:rPr>
        <w:t xml:space="preserve"> very </w:t>
      </w:r>
      <w:r w:rsidRPr="00813BEB">
        <w:rPr>
          <w:rStyle w:val="Emphasis"/>
          <w:highlight w:val="green"/>
        </w:rPr>
        <w:t>antagonism</w:t>
      </w:r>
      <w:r w:rsidRPr="00000748">
        <w:rPr>
          <w:rStyle w:val="StyleUnderline"/>
        </w:rPr>
        <w:t xml:space="preserve"> that could </w:t>
      </w:r>
      <w:r w:rsidRPr="00000748">
        <w:rPr>
          <w:rStyle w:val="Emphasis"/>
        </w:rPr>
        <w:t>reconfigure the field of emancipation</w:t>
      </w:r>
      <w:r w:rsidRPr="00000748">
        <w:rPr>
          <w:rStyle w:val="StyleUnderline"/>
        </w:rPr>
        <w:t xml:space="preserve"> – between necro-imperial Zionist domination and universal liberation – is </w:t>
      </w:r>
      <w:r w:rsidRPr="00813BEB">
        <w:rPr>
          <w:rStyle w:val="Emphasis"/>
          <w:highlight w:val="green"/>
        </w:rPr>
        <w:t>evacuated</w:t>
      </w:r>
      <w:r w:rsidRPr="00000748">
        <w:rPr>
          <w:rStyle w:val="StyleUnderline"/>
        </w:rPr>
        <w:t xml:space="preserve"> from his analysis </w:t>
      </w:r>
      <w:r w:rsidRPr="00813BEB">
        <w:rPr>
          <w:rStyle w:val="StyleUnderline"/>
          <w:highlight w:val="green"/>
        </w:rPr>
        <w:t xml:space="preserve">and </w:t>
      </w:r>
      <w:r w:rsidRPr="00813BEB">
        <w:rPr>
          <w:rStyle w:val="Emphasis"/>
          <w:highlight w:val="green"/>
        </w:rPr>
        <w:t>displaced</w:t>
      </w:r>
      <w:r w:rsidRPr="00000748">
        <w:rPr>
          <w:rStyle w:val="StyleUnderline"/>
        </w:rPr>
        <w:t xml:space="preserve"> into the </w:t>
      </w:r>
      <w:r w:rsidRPr="00000748">
        <w:rPr>
          <w:rStyle w:val="Emphasis"/>
        </w:rPr>
        <w:t>symbolic register</w:t>
      </w:r>
      <w:r w:rsidRPr="00000748">
        <w:rPr>
          <w:rStyle w:val="StyleUnderline"/>
        </w:rPr>
        <w:t xml:space="preserve"> of </w:t>
      </w:r>
      <w:r w:rsidRPr="00000748">
        <w:rPr>
          <w:rStyle w:val="Emphasis"/>
        </w:rPr>
        <w:t>moral equivalence</w:t>
      </w:r>
      <w:r w:rsidRPr="00000748">
        <w:rPr>
          <w:sz w:val="16"/>
        </w:rPr>
        <w:t>.</w:t>
      </w:r>
    </w:p>
    <w:p w14:paraId="325B5AD9" w14:textId="77777777" w:rsidR="00B612B5" w:rsidRPr="00000748" w:rsidRDefault="00B612B5" w:rsidP="00B612B5">
      <w:pPr>
        <w:rPr>
          <w:sz w:val="16"/>
        </w:rPr>
      </w:pPr>
      <w:r w:rsidRPr="00000748">
        <w:rPr>
          <w:sz w:val="16"/>
        </w:rPr>
        <w:t xml:space="preserve">Although Zizek systematically disavows the actual problem in his analysis of the so-called ‘conflict’, few critics have examined the ideological operation through which he excludes the necro-imperial colonial antagonism and its implications for his theories of emancipatory politics.4 As Domenico Losurdo argues in his critique of Western Marxism, </w:t>
      </w:r>
      <w:r w:rsidRPr="00000748">
        <w:rPr>
          <w:rStyle w:val="StyleUnderline"/>
        </w:rPr>
        <w:t xml:space="preserve">Zizek’s </w:t>
      </w:r>
      <w:r w:rsidRPr="00813BEB">
        <w:rPr>
          <w:rStyle w:val="Emphasis"/>
          <w:highlight w:val="green"/>
        </w:rPr>
        <w:t>totalizing conception</w:t>
      </w:r>
      <w:r w:rsidRPr="00813BEB">
        <w:rPr>
          <w:rStyle w:val="StyleUnderline"/>
          <w:highlight w:val="green"/>
        </w:rPr>
        <w:t xml:space="preserve"> of capitalism as</w:t>
      </w:r>
      <w:r w:rsidRPr="00000748">
        <w:rPr>
          <w:rStyle w:val="StyleUnderline"/>
        </w:rPr>
        <w:t xml:space="preserve"> a </w:t>
      </w:r>
      <w:r w:rsidRPr="00813BEB">
        <w:rPr>
          <w:rStyle w:val="Emphasis"/>
          <w:highlight w:val="green"/>
        </w:rPr>
        <w:t>homogeneous</w:t>
      </w:r>
      <w:r w:rsidRPr="00000748">
        <w:rPr>
          <w:rStyle w:val="Emphasis"/>
        </w:rPr>
        <w:t xml:space="preserve"> symbolic </w:t>
      </w:r>
      <w:r w:rsidRPr="00813BEB">
        <w:rPr>
          <w:rStyle w:val="Emphasis"/>
          <w:highlight w:val="green"/>
        </w:rPr>
        <w:t>order</w:t>
      </w:r>
      <w:r w:rsidRPr="00813BEB">
        <w:rPr>
          <w:rStyle w:val="StyleUnderline"/>
          <w:highlight w:val="green"/>
        </w:rPr>
        <w:t xml:space="preserve"> effaces</w:t>
      </w:r>
      <w:r w:rsidRPr="00000748">
        <w:rPr>
          <w:rStyle w:val="StyleUnderline"/>
        </w:rPr>
        <w:t xml:space="preserve"> the </w:t>
      </w:r>
      <w:r w:rsidRPr="00813BEB">
        <w:rPr>
          <w:rStyle w:val="Emphasis"/>
          <w:highlight w:val="green"/>
        </w:rPr>
        <w:t>colonial and imperial dimensions</w:t>
      </w:r>
      <w:r w:rsidRPr="00813BEB">
        <w:rPr>
          <w:rStyle w:val="StyleUnderline"/>
          <w:highlight w:val="green"/>
        </w:rPr>
        <w:t xml:space="preserve"> of </w:t>
      </w:r>
      <w:r w:rsidRPr="00813BEB">
        <w:rPr>
          <w:rStyle w:val="Emphasis"/>
          <w:highlight w:val="green"/>
        </w:rPr>
        <w:t>global</w:t>
      </w:r>
      <w:r w:rsidRPr="00000748">
        <w:rPr>
          <w:rStyle w:val="Emphasis"/>
        </w:rPr>
        <w:t xml:space="preserve"> class </w:t>
      </w:r>
      <w:r w:rsidRPr="00813BEB">
        <w:rPr>
          <w:rStyle w:val="Emphasis"/>
          <w:highlight w:val="green"/>
        </w:rPr>
        <w:t>struggle</w:t>
      </w:r>
      <w:r w:rsidRPr="00000748">
        <w:rPr>
          <w:sz w:val="16"/>
        </w:rPr>
        <w:t xml:space="preserve">. </w:t>
      </w:r>
      <w:r w:rsidRPr="00000748">
        <w:rPr>
          <w:rStyle w:val="StyleUnderline"/>
        </w:rPr>
        <w:t xml:space="preserve">It </w:t>
      </w:r>
      <w:r w:rsidRPr="00813BEB">
        <w:rPr>
          <w:rStyle w:val="Emphasis"/>
          <w:highlight w:val="green"/>
        </w:rPr>
        <w:t>collapses</w:t>
      </w:r>
      <w:r w:rsidRPr="00000748">
        <w:rPr>
          <w:rStyle w:val="StyleUnderline"/>
        </w:rPr>
        <w:t xml:space="preserve"> the </w:t>
      </w:r>
      <w:r w:rsidRPr="00813BEB">
        <w:rPr>
          <w:rStyle w:val="Emphasis"/>
          <w:highlight w:val="green"/>
        </w:rPr>
        <w:t>differentiation</w:t>
      </w:r>
      <w:r w:rsidRPr="00462612">
        <w:rPr>
          <w:rStyle w:val="StyleUnderline"/>
        </w:rPr>
        <w:t xml:space="preserve"> between imperialist centers</w:t>
      </w:r>
      <w:r w:rsidRPr="00000748">
        <w:rPr>
          <w:rStyle w:val="StyleUnderline"/>
        </w:rPr>
        <w:t xml:space="preserve"> and formerly colonized nations into a single, uniform totality</w:t>
      </w:r>
      <w:r w:rsidRPr="00000748">
        <w:rPr>
          <w:sz w:val="16"/>
        </w:rPr>
        <w:t xml:space="preserve"> (Losurdo 2024, 188–189). Losurdo notes that </w:t>
      </w:r>
      <w:r w:rsidRPr="00000748">
        <w:rPr>
          <w:rStyle w:val="StyleUnderline"/>
        </w:rPr>
        <w:t>Zizek derides anti-imperialist and national liberation movements as ideological mystifications that distract from the ‘true’ class struggle, transforming Marx’s critique of capitalist social relations into a moralized critique of imperialism detached from political economy</w:t>
      </w:r>
      <w:r w:rsidRPr="00000748">
        <w:rPr>
          <w:sz w:val="16"/>
        </w:rPr>
        <w:t xml:space="preserve">. Like Hardt and Negri, Zizek universalizes capitalism while translating colonial aggression into a symbolic and moral register. </w:t>
      </w:r>
      <w:r w:rsidRPr="00000748">
        <w:rPr>
          <w:rStyle w:val="StyleUnderline"/>
        </w:rPr>
        <w:t xml:space="preserve">The </w:t>
      </w:r>
      <w:r w:rsidRPr="00813BEB">
        <w:rPr>
          <w:rStyle w:val="StyleUnderline"/>
          <w:highlight w:val="green"/>
        </w:rPr>
        <w:t>result is</w:t>
      </w:r>
      <w:r w:rsidRPr="00000748">
        <w:rPr>
          <w:rStyle w:val="StyleUnderline"/>
        </w:rPr>
        <w:t xml:space="preserve"> a </w:t>
      </w:r>
      <w:r w:rsidRPr="00813BEB">
        <w:rPr>
          <w:rStyle w:val="Emphasis"/>
          <w:highlight w:val="green"/>
        </w:rPr>
        <w:t>depoliticized universalism</w:t>
      </w:r>
      <w:r w:rsidRPr="00813BEB">
        <w:rPr>
          <w:rStyle w:val="StyleUnderline"/>
          <w:highlight w:val="green"/>
        </w:rPr>
        <w:t xml:space="preserve"> that </w:t>
      </w:r>
      <w:r w:rsidRPr="00813BEB">
        <w:rPr>
          <w:rStyle w:val="Emphasis"/>
          <w:highlight w:val="green"/>
        </w:rPr>
        <w:t>negates</w:t>
      </w:r>
      <w:r w:rsidRPr="00000748">
        <w:rPr>
          <w:rStyle w:val="StyleUnderline"/>
        </w:rPr>
        <w:t xml:space="preserve"> the </w:t>
      </w:r>
      <w:r w:rsidRPr="00813BEB">
        <w:rPr>
          <w:rStyle w:val="Emphasis"/>
          <w:highlight w:val="green"/>
        </w:rPr>
        <w:t>revolutionary agency</w:t>
      </w:r>
      <w:r w:rsidRPr="00000748">
        <w:rPr>
          <w:rStyle w:val="StyleUnderline"/>
        </w:rPr>
        <w:t xml:space="preserve"> of the </w:t>
      </w:r>
      <w:r w:rsidRPr="00000748">
        <w:rPr>
          <w:rStyle w:val="Emphasis"/>
        </w:rPr>
        <w:t>global South</w:t>
      </w:r>
      <w:r w:rsidRPr="00000748">
        <w:rPr>
          <w:rStyle w:val="StyleUnderline"/>
        </w:rPr>
        <w:t xml:space="preserve"> </w:t>
      </w:r>
      <w:r w:rsidRPr="00813BEB">
        <w:rPr>
          <w:rStyle w:val="StyleUnderline"/>
          <w:highlight w:val="green"/>
        </w:rPr>
        <w:t xml:space="preserve">and </w:t>
      </w:r>
      <w:r w:rsidRPr="00813BEB">
        <w:rPr>
          <w:rStyle w:val="Emphasis"/>
          <w:highlight w:val="green"/>
        </w:rPr>
        <w:t>erases the colonial question</w:t>
      </w:r>
      <w:r w:rsidRPr="00000748">
        <w:rPr>
          <w:rStyle w:val="StyleUnderline"/>
        </w:rPr>
        <w:t xml:space="preserve"> as a </w:t>
      </w:r>
      <w:r w:rsidRPr="00000748">
        <w:rPr>
          <w:rStyle w:val="Emphasis"/>
        </w:rPr>
        <w:t>constitutive dimension of capitalist modernity</w:t>
      </w:r>
      <w:r w:rsidRPr="00000748">
        <w:rPr>
          <w:sz w:val="16"/>
        </w:rPr>
        <w:t>.5</w:t>
      </w:r>
    </w:p>
    <w:p w14:paraId="75B91371" w14:textId="77777777" w:rsidR="00B612B5" w:rsidRPr="00000748" w:rsidRDefault="00B612B5" w:rsidP="00B612B5">
      <w:pPr>
        <w:rPr>
          <w:sz w:val="16"/>
        </w:rPr>
      </w:pPr>
      <w:r w:rsidRPr="00000748">
        <w:rPr>
          <w:sz w:val="16"/>
        </w:rPr>
        <w:t xml:space="preserve">Building on Losurdo’s analysis, this article extends his critique to Zizek’s writings on Palestine, offering an essential ideological reading of his interventions on the Gaza genocide in particular and the Palestinian struggle for freedom more broadly.6 It argues that </w:t>
      </w:r>
      <w:r w:rsidRPr="00000748">
        <w:rPr>
          <w:rStyle w:val="StyleUnderline"/>
        </w:rPr>
        <w:t>by appropriating the post-Oslo liberal-Zionist position he once criticized, Zizek forecloses necro-imperial Zionist settler colonialism and recodes the genocide as a tragedy of mutual victimhood and moral equivalence within the totalizing logic of global capitalism</w:t>
      </w:r>
      <w:r w:rsidRPr="00000748">
        <w:rPr>
          <w:sz w:val="16"/>
        </w:rPr>
        <w:t xml:space="preserve">. </w:t>
      </w:r>
      <w:r w:rsidRPr="00000748">
        <w:rPr>
          <w:rStyle w:val="StyleUnderline"/>
        </w:rPr>
        <w:t xml:space="preserve">This is </w:t>
      </w:r>
      <w:r w:rsidRPr="00000748">
        <w:rPr>
          <w:rStyle w:val="Emphasis"/>
        </w:rPr>
        <w:t>not incidental</w:t>
      </w:r>
      <w:r w:rsidRPr="00000748">
        <w:rPr>
          <w:rStyle w:val="StyleUnderline"/>
        </w:rPr>
        <w:t xml:space="preserve"> but </w:t>
      </w:r>
      <w:r w:rsidRPr="00000748">
        <w:rPr>
          <w:rStyle w:val="Emphasis"/>
        </w:rPr>
        <w:t>constitutive</w:t>
      </w:r>
      <w:r w:rsidRPr="00000748">
        <w:rPr>
          <w:rStyle w:val="StyleUnderline"/>
        </w:rPr>
        <w:t xml:space="preserve"> of the impasse in his </w:t>
      </w:r>
      <w:r w:rsidRPr="00462612">
        <w:rPr>
          <w:rStyle w:val="StyleUnderline"/>
        </w:rPr>
        <w:t>post-Marxist</w:t>
      </w:r>
      <w:r w:rsidRPr="00000748">
        <w:rPr>
          <w:rStyle w:val="StyleUnderline"/>
        </w:rPr>
        <w:t xml:space="preserve"> Lacanian-Hegelian </w:t>
      </w:r>
      <w:r w:rsidRPr="00813BEB">
        <w:rPr>
          <w:rStyle w:val="StyleUnderline"/>
          <w:highlight w:val="green"/>
        </w:rPr>
        <w:t>analytic</w:t>
      </w:r>
      <w:r w:rsidRPr="00000748">
        <w:rPr>
          <w:rStyle w:val="StyleUnderline"/>
        </w:rPr>
        <w:t xml:space="preserve">, for it </w:t>
      </w:r>
      <w:r w:rsidRPr="00813BEB">
        <w:rPr>
          <w:rStyle w:val="StyleUnderline"/>
          <w:highlight w:val="green"/>
        </w:rPr>
        <w:t>renders</w:t>
      </w:r>
      <w:r w:rsidRPr="00000748">
        <w:rPr>
          <w:rStyle w:val="StyleUnderline"/>
        </w:rPr>
        <w:t xml:space="preserve"> the </w:t>
      </w:r>
      <w:r w:rsidRPr="00813BEB">
        <w:rPr>
          <w:rStyle w:val="Emphasis"/>
          <w:highlight w:val="green"/>
        </w:rPr>
        <w:t>Palestinian struggle unintelligible</w:t>
      </w:r>
      <w:r w:rsidRPr="00462612">
        <w:rPr>
          <w:rStyle w:val="StyleUnderline"/>
        </w:rPr>
        <w:t xml:space="preserve"> within</w:t>
      </w:r>
      <w:r w:rsidRPr="00000748">
        <w:rPr>
          <w:rStyle w:val="StyleUnderline"/>
        </w:rPr>
        <w:t xml:space="preserve"> his </w:t>
      </w:r>
      <w:r w:rsidRPr="00000748">
        <w:rPr>
          <w:rStyle w:val="Emphasis"/>
        </w:rPr>
        <w:t>universal critique</w:t>
      </w:r>
      <w:r w:rsidRPr="00000748">
        <w:rPr>
          <w:rStyle w:val="StyleUnderline"/>
        </w:rPr>
        <w:t xml:space="preserve"> of capitalism </w:t>
      </w:r>
      <w:r w:rsidRPr="00813BEB">
        <w:rPr>
          <w:rStyle w:val="StyleUnderline"/>
          <w:highlight w:val="green"/>
        </w:rPr>
        <w:t xml:space="preserve">and </w:t>
      </w:r>
      <w:r w:rsidRPr="00813BEB">
        <w:rPr>
          <w:rStyle w:val="Emphasis"/>
          <w:highlight w:val="green"/>
        </w:rPr>
        <w:t>reabsorbs</w:t>
      </w:r>
      <w:r w:rsidRPr="00000748">
        <w:rPr>
          <w:rStyle w:val="Emphasis"/>
        </w:rPr>
        <w:t xml:space="preserve"> it </w:t>
      </w:r>
      <w:r w:rsidRPr="00813BEB">
        <w:rPr>
          <w:rStyle w:val="Emphasis"/>
          <w:highlight w:val="green"/>
        </w:rPr>
        <w:t>into</w:t>
      </w:r>
      <w:r w:rsidRPr="00000748">
        <w:rPr>
          <w:rStyle w:val="Emphasis"/>
        </w:rPr>
        <w:t xml:space="preserve"> the moral economy</w:t>
      </w:r>
      <w:r w:rsidRPr="00000748">
        <w:rPr>
          <w:rStyle w:val="StyleUnderline"/>
        </w:rPr>
        <w:t xml:space="preserve"> of </w:t>
      </w:r>
      <w:r w:rsidRPr="00813BEB">
        <w:rPr>
          <w:rStyle w:val="Emphasis"/>
          <w:highlight w:val="green"/>
        </w:rPr>
        <w:t>liberal Zionism</w:t>
      </w:r>
      <w:r w:rsidRPr="00000748">
        <w:rPr>
          <w:sz w:val="16"/>
        </w:rPr>
        <w:t>.</w:t>
      </w:r>
    </w:p>
    <w:p w14:paraId="582BC35F" w14:textId="77777777" w:rsidR="00B612B5" w:rsidRDefault="00B612B5" w:rsidP="00B612B5">
      <w:pPr>
        <w:rPr>
          <w:sz w:val="16"/>
        </w:rPr>
      </w:pPr>
      <w:r w:rsidRPr="00000748">
        <w:rPr>
          <w:sz w:val="16"/>
        </w:rPr>
        <w:t xml:space="preserve">In what follows, I first examine </w:t>
      </w:r>
      <w:r w:rsidRPr="00000748">
        <w:rPr>
          <w:rStyle w:val="StyleUnderline"/>
        </w:rPr>
        <w:t>Zizek’s liberal-Zionist framing of the Gaza genocide as a clash of fundamentalist excesses – an undialectical formulation that locates the actual problem within capital’s totality and reduces it to a symmetrical moral opposition between Jews and Palestinians</w:t>
      </w:r>
      <w:r w:rsidRPr="00000748">
        <w:rPr>
          <w:sz w:val="16"/>
        </w:rPr>
        <w:t xml:space="preserve">. Second, I show how </w:t>
      </w:r>
      <w:r w:rsidRPr="00000748">
        <w:rPr>
          <w:rStyle w:val="StyleUnderline"/>
        </w:rPr>
        <w:t xml:space="preserve">this </w:t>
      </w:r>
      <w:r w:rsidRPr="00813BEB">
        <w:rPr>
          <w:rStyle w:val="StyleUnderline"/>
          <w:highlight w:val="green"/>
        </w:rPr>
        <w:t>misrecognition</w:t>
      </w:r>
      <w:r w:rsidRPr="00000748">
        <w:rPr>
          <w:rStyle w:val="StyleUnderline"/>
        </w:rPr>
        <w:t xml:space="preserve"> leads to the foreclosure of the principal problem – necro-imperial Zionist settler colonialism – that alone </w:t>
      </w:r>
      <w:r w:rsidRPr="00813BEB">
        <w:rPr>
          <w:rStyle w:val="StyleUnderline"/>
          <w:highlight w:val="green"/>
        </w:rPr>
        <w:t>renders</w:t>
      </w:r>
      <w:r w:rsidRPr="00000748">
        <w:rPr>
          <w:rStyle w:val="StyleUnderline"/>
        </w:rPr>
        <w:t xml:space="preserve"> the </w:t>
      </w:r>
      <w:r w:rsidRPr="00813BEB">
        <w:rPr>
          <w:rStyle w:val="Emphasis"/>
          <w:highlight w:val="green"/>
        </w:rPr>
        <w:t>genocide historically intelligible</w:t>
      </w:r>
      <w:r w:rsidRPr="00813BEB">
        <w:rPr>
          <w:sz w:val="16"/>
          <w:highlight w:val="green"/>
        </w:rPr>
        <w:t>.</w:t>
      </w:r>
      <w:r w:rsidRPr="00000748">
        <w:rPr>
          <w:sz w:val="16"/>
        </w:rPr>
        <w:t xml:space="preserve"> Within his totalizing anti-capitalist framework, </w:t>
      </w:r>
      <w:r w:rsidRPr="00000748">
        <w:rPr>
          <w:rStyle w:val="StyleUnderline"/>
        </w:rPr>
        <w:t xml:space="preserve">Zizek not only displaces this structure but actively disavows it, </w:t>
      </w:r>
      <w:r w:rsidRPr="00000748">
        <w:rPr>
          <w:rStyle w:val="Emphasis"/>
        </w:rPr>
        <w:t>re-integrating</w:t>
      </w:r>
      <w:r w:rsidRPr="00000748">
        <w:rPr>
          <w:rStyle w:val="StyleUnderline"/>
        </w:rPr>
        <w:t xml:space="preserve"> the </w:t>
      </w:r>
      <w:r w:rsidRPr="00000748">
        <w:rPr>
          <w:rStyle w:val="Emphasis"/>
        </w:rPr>
        <w:t>actual problem</w:t>
      </w:r>
      <w:r w:rsidRPr="00000748">
        <w:rPr>
          <w:rStyle w:val="StyleUnderline"/>
        </w:rPr>
        <w:t xml:space="preserve"> into his </w:t>
      </w:r>
      <w:r w:rsidRPr="00000748">
        <w:rPr>
          <w:rStyle w:val="Emphasis"/>
        </w:rPr>
        <w:t>symbolic universe</w:t>
      </w:r>
      <w:r w:rsidRPr="00000748">
        <w:rPr>
          <w:rStyle w:val="StyleUnderline"/>
        </w:rPr>
        <w:t xml:space="preserve"> through three strategies: mythic, geographical, and ethical</w:t>
      </w:r>
      <w:r w:rsidRPr="00000748">
        <w:rPr>
          <w:sz w:val="16"/>
        </w:rPr>
        <w:t xml:space="preserve">. The mythic strategy substitutes a master narrative of Jewish immigration to a mythical homeland; the geographical one shifts the scene of antagonism to the West Bank; the ethical strategy reinscribes the Palestinian struggle within a Eurocentric psycho-historical analytic of antisemitism, thereby recentering Jewish self-relating negativity and European guilt. Finally, I explore how </w:t>
      </w:r>
      <w:r w:rsidRPr="00000748">
        <w:rPr>
          <w:rStyle w:val="StyleUnderline"/>
        </w:rPr>
        <w:t>Zizek reframes the Gaza genocide as an ethical impasse grounded in David Ben-Gurion’s notion of an unbridgeable ‘abyss’ between Zionist and Palestinian claims to Palestine</w:t>
      </w:r>
      <w:r w:rsidRPr="00000748">
        <w:rPr>
          <w:sz w:val="16"/>
        </w:rPr>
        <w:t xml:space="preserve">. </w:t>
      </w:r>
      <w:r w:rsidRPr="00000748">
        <w:rPr>
          <w:rStyle w:val="StyleUnderline"/>
        </w:rPr>
        <w:t xml:space="preserve">This culminates in a ‘pragmatist-realist’ politics of hope that imagines solidarity between Palestinians and Israeli Jews through their ‘weird similarities’, without confronting how </w:t>
      </w:r>
      <w:r w:rsidRPr="00813BEB">
        <w:rPr>
          <w:rStyle w:val="Emphasis"/>
          <w:highlight w:val="green"/>
        </w:rPr>
        <w:t>Zionist colonialism</w:t>
      </w:r>
      <w:r w:rsidRPr="00000748">
        <w:rPr>
          <w:rStyle w:val="StyleUnderline"/>
        </w:rPr>
        <w:t xml:space="preserve"> structurally </w:t>
      </w:r>
      <w:r w:rsidRPr="00813BEB">
        <w:rPr>
          <w:rStyle w:val="StyleUnderline"/>
          <w:highlight w:val="green"/>
        </w:rPr>
        <w:t>precludes</w:t>
      </w:r>
      <w:r w:rsidRPr="00000748">
        <w:rPr>
          <w:rStyle w:val="StyleUnderline"/>
        </w:rPr>
        <w:t xml:space="preserve"> working-class </w:t>
      </w:r>
      <w:r w:rsidRPr="00813BEB">
        <w:rPr>
          <w:rStyle w:val="Emphasis"/>
          <w:highlight w:val="green"/>
        </w:rPr>
        <w:t>solidarity</w:t>
      </w:r>
      <w:r w:rsidRPr="00000748">
        <w:rPr>
          <w:sz w:val="16"/>
        </w:rPr>
        <w:t>. The article concludes by asking whether Zizek’s Hegelian notion of ‘universal singularity’ can still generate new conditions of intelligibility for Palestinian liberation within the necro-imperial world.</w:t>
      </w:r>
    </w:p>
    <w:p w14:paraId="1702C80B" w14:textId="77777777" w:rsidR="00B612B5" w:rsidRDefault="00B612B5" w:rsidP="00B612B5">
      <w:pPr>
        <w:rPr>
          <w:sz w:val="16"/>
        </w:rPr>
      </w:pPr>
    </w:p>
    <w:p w14:paraId="21F2EDF4" w14:textId="77777777" w:rsidR="00B612B5" w:rsidRDefault="00B612B5" w:rsidP="00B612B5">
      <w:pPr>
        <w:pStyle w:val="Heading4"/>
      </w:pPr>
      <w:r>
        <w:t xml:space="preserve">That’s particularly true of ableism – it’s an </w:t>
      </w:r>
      <w:r w:rsidRPr="00FA1311">
        <w:rPr>
          <w:u w:val="single"/>
        </w:rPr>
        <w:t>empty signifier</w:t>
      </w:r>
      <w:r>
        <w:t xml:space="preserve"> that </w:t>
      </w:r>
      <w:r w:rsidRPr="00FA1311">
        <w:rPr>
          <w:u w:val="single"/>
        </w:rPr>
        <w:t>delegitimizes</w:t>
      </w:r>
      <w:r>
        <w:t xml:space="preserve"> Palestinian resistance</w:t>
      </w:r>
    </w:p>
    <w:p w14:paraId="7F9F6654" w14:textId="77777777" w:rsidR="00B612B5" w:rsidRPr="000A7F54" w:rsidRDefault="00B612B5" w:rsidP="00B612B5">
      <w:r w:rsidRPr="00100334">
        <w:rPr>
          <w:rStyle w:val="Style13ptBold"/>
        </w:rPr>
        <w:t>Puar 23</w:t>
      </w:r>
      <w:r>
        <w:t>, Professor and Graduate Director of Women's and Gender Studies at Rutgers University (Jasbir K, “</w:t>
      </w:r>
      <w:r w:rsidRPr="00100334">
        <w:t>4. CRITICAL DISABILITY STUDIES AND THE QUESTION OF PALESTINE</w:t>
      </w:r>
      <w:r>
        <w:t>:</w:t>
      </w:r>
      <w:r w:rsidRPr="00100334">
        <w:t xml:space="preserve"> Toward Decolonizing Disability</w:t>
      </w:r>
      <w:r>
        <w:t xml:space="preserve">,” in </w:t>
      </w:r>
      <w:r w:rsidRPr="000A7F54">
        <w:rPr>
          <w:i/>
          <w:iCs/>
        </w:rPr>
        <w:t>Critical Disability Studies and Palestine</w:t>
      </w:r>
      <w:r>
        <w:t>, Duke University Press, pp. 127-128)</w:t>
      </w:r>
    </w:p>
    <w:p w14:paraId="2125A9AA" w14:textId="77777777" w:rsidR="00B612B5" w:rsidRPr="009D15B5" w:rsidRDefault="00B612B5" w:rsidP="00B612B5">
      <w:pPr>
        <w:rPr>
          <w:sz w:val="16"/>
        </w:rPr>
      </w:pPr>
      <w:r w:rsidRPr="00F1263D">
        <w:rPr>
          <w:rStyle w:val="StyleUnderline"/>
        </w:rPr>
        <w:t>The concept of “</w:t>
      </w:r>
      <w:r w:rsidRPr="00813BEB">
        <w:rPr>
          <w:rStyle w:val="Emphasis"/>
          <w:highlight w:val="green"/>
        </w:rPr>
        <w:t>ableism</w:t>
      </w:r>
      <w:r w:rsidRPr="00F1263D">
        <w:rPr>
          <w:rStyle w:val="StyleUnderline"/>
        </w:rPr>
        <w:t xml:space="preserve">,” for example, </w:t>
      </w:r>
      <w:r w:rsidRPr="00F1263D">
        <w:rPr>
          <w:rStyle w:val="Emphasis"/>
        </w:rPr>
        <w:t xml:space="preserve">necessarily </w:t>
      </w:r>
      <w:r w:rsidRPr="00813BEB">
        <w:rPr>
          <w:rStyle w:val="Emphasis"/>
          <w:highlight w:val="green"/>
        </w:rPr>
        <w:t>intersects</w:t>
      </w:r>
      <w:r w:rsidRPr="00F1263D">
        <w:rPr>
          <w:rStyle w:val="StyleUnderline"/>
        </w:rPr>
        <w:t xml:space="preserve"> with race, imperialism, and the biopolitical weaponization of disablement</w:t>
      </w:r>
      <w:r w:rsidRPr="009D15B5">
        <w:rPr>
          <w:sz w:val="16"/>
        </w:rPr>
        <w:t xml:space="preserve">. </w:t>
      </w:r>
      <w:r w:rsidRPr="00813BEB">
        <w:rPr>
          <w:rStyle w:val="StyleUnderline"/>
          <w:highlight w:val="green"/>
        </w:rPr>
        <w:t>Yet</w:t>
      </w:r>
      <w:r w:rsidRPr="00F1263D">
        <w:rPr>
          <w:rStyle w:val="StyleUnderline"/>
        </w:rPr>
        <w:t xml:space="preserve"> in its increasing </w:t>
      </w:r>
      <w:r w:rsidRPr="00813BEB">
        <w:rPr>
          <w:rStyle w:val="StyleUnderline"/>
          <w:highlight w:val="green"/>
        </w:rPr>
        <w:t xml:space="preserve">usage in </w:t>
      </w:r>
      <w:r w:rsidRPr="00813BEB">
        <w:rPr>
          <w:rStyle w:val="Emphasis"/>
          <w:highlight w:val="green"/>
        </w:rPr>
        <w:t>disability</w:t>
      </w:r>
      <w:r w:rsidRPr="00F1263D">
        <w:rPr>
          <w:rStyle w:val="Emphasis"/>
        </w:rPr>
        <w:t xml:space="preserve"> rights and justice </w:t>
      </w:r>
      <w:r w:rsidRPr="00813BEB">
        <w:rPr>
          <w:rStyle w:val="Emphasis"/>
          <w:highlight w:val="green"/>
        </w:rPr>
        <w:t>discourses</w:t>
      </w:r>
      <w:r w:rsidRPr="00F1263D">
        <w:rPr>
          <w:rStyle w:val="StyleUnderline"/>
        </w:rPr>
        <w:t xml:space="preserve"> </w:t>
      </w:r>
      <w:r w:rsidRPr="00813BEB">
        <w:rPr>
          <w:rStyle w:val="StyleUnderline"/>
          <w:highlight w:val="green"/>
        </w:rPr>
        <w:t>as</w:t>
      </w:r>
      <w:r w:rsidRPr="00F1263D">
        <w:rPr>
          <w:rStyle w:val="StyleUnderline"/>
        </w:rPr>
        <w:t xml:space="preserve"> a </w:t>
      </w:r>
      <w:r w:rsidRPr="00F1263D">
        <w:rPr>
          <w:rStyle w:val="Emphasis"/>
        </w:rPr>
        <w:t xml:space="preserve">transparent </w:t>
      </w:r>
      <w:r w:rsidRPr="00813BEB">
        <w:rPr>
          <w:rStyle w:val="Emphasis"/>
          <w:highlight w:val="green"/>
        </w:rPr>
        <w:t>truism</w:t>
      </w:r>
      <w:r w:rsidRPr="00813BEB">
        <w:rPr>
          <w:rStyle w:val="StyleUnderline"/>
          <w:highlight w:val="green"/>
        </w:rPr>
        <w:t xml:space="preserve"> of</w:t>
      </w:r>
      <w:r w:rsidRPr="00F1263D">
        <w:rPr>
          <w:rStyle w:val="StyleUnderline"/>
        </w:rPr>
        <w:t xml:space="preserve"> infrastructure and of </w:t>
      </w:r>
      <w:r w:rsidRPr="00813BEB">
        <w:rPr>
          <w:rStyle w:val="Emphasis"/>
          <w:highlight w:val="green"/>
        </w:rPr>
        <w:t>social attitudes</w:t>
      </w:r>
      <w:r w:rsidRPr="00F1263D">
        <w:rPr>
          <w:rStyle w:val="StyleUnderline"/>
        </w:rPr>
        <w:t>—the world is an intrinsically and equally an ableist place, regardless of which place—</w:t>
      </w:r>
      <w:r w:rsidRPr="00813BEB">
        <w:rPr>
          <w:rStyle w:val="Emphasis"/>
          <w:highlight w:val="green"/>
        </w:rPr>
        <w:t>ableism</w:t>
      </w:r>
      <w:r w:rsidRPr="00F1263D">
        <w:rPr>
          <w:rStyle w:val="StyleUnderline"/>
        </w:rPr>
        <w:t xml:space="preserve">, by </w:t>
      </w:r>
      <w:r w:rsidRPr="009D15B5">
        <w:rPr>
          <w:rStyle w:val="Emphasis"/>
        </w:rPr>
        <w:t>presuming</w:t>
      </w:r>
      <w:r w:rsidRPr="00F1263D">
        <w:rPr>
          <w:rStyle w:val="Emphasis"/>
        </w:rPr>
        <w:t xml:space="preserve"> a priori </w:t>
      </w:r>
      <w:r w:rsidRPr="00813BEB">
        <w:rPr>
          <w:rStyle w:val="Emphasis"/>
          <w:highlight w:val="green"/>
        </w:rPr>
        <w:t>what disability is and how it is lived</w:t>
      </w:r>
      <w:r w:rsidRPr="00F1263D">
        <w:rPr>
          <w:rStyle w:val="StyleUnderline"/>
        </w:rPr>
        <w:t xml:space="preserve"> and marginalized, comes dangerously close to </w:t>
      </w:r>
      <w:r w:rsidRPr="00813BEB">
        <w:rPr>
          <w:rStyle w:val="StyleUnderline"/>
          <w:highlight w:val="green"/>
        </w:rPr>
        <w:t>becoming</w:t>
      </w:r>
      <w:r w:rsidRPr="00F1263D">
        <w:rPr>
          <w:rStyle w:val="StyleUnderline"/>
        </w:rPr>
        <w:t xml:space="preserve"> an </w:t>
      </w:r>
      <w:r w:rsidRPr="00813BEB">
        <w:rPr>
          <w:rStyle w:val="Emphasis"/>
          <w:highlight w:val="green"/>
        </w:rPr>
        <w:t>empty analytic</w:t>
      </w:r>
      <w:r w:rsidRPr="00F1263D">
        <w:rPr>
          <w:rStyle w:val="StyleUnderline"/>
        </w:rPr>
        <w:t xml:space="preserve">, often </w:t>
      </w:r>
      <w:r w:rsidRPr="00813BEB">
        <w:rPr>
          <w:rStyle w:val="StyleUnderline"/>
          <w:highlight w:val="green"/>
        </w:rPr>
        <w:t>weaponized as</w:t>
      </w:r>
      <w:r w:rsidRPr="00F1263D">
        <w:rPr>
          <w:rStyle w:val="StyleUnderline"/>
        </w:rPr>
        <w:t xml:space="preserve"> an </w:t>
      </w:r>
      <w:r w:rsidRPr="00813BEB">
        <w:rPr>
          <w:rStyle w:val="Emphasis"/>
          <w:highlight w:val="green"/>
        </w:rPr>
        <w:t>accusation</w:t>
      </w:r>
      <w:r w:rsidRPr="00813BEB">
        <w:rPr>
          <w:rStyle w:val="StyleUnderline"/>
          <w:highlight w:val="green"/>
        </w:rPr>
        <w:t xml:space="preserve"> by </w:t>
      </w:r>
      <w:r w:rsidRPr="00813BEB">
        <w:rPr>
          <w:rStyle w:val="Emphasis"/>
          <w:highlight w:val="green"/>
        </w:rPr>
        <w:t>white</w:t>
      </w:r>
      <w:r w:rsidRPr="00F1263D">
        <w:rPr>
          <w:rStyle w:val="Emphasis"/>
        </w:rPr>
        <w:t xml:space="preserve"> disabled </w:t>
      </w:r>
      <w:r w:rsidRPr="00813BEB">
        <w:rPr>
          <w:rStyle w:val="Emphasis"/>
          <w:highlight w:val="green"/>
        </w:rPr>
        <w:t>people</w:t>
      </w:r>
      <w:r w:rsidRPr="00813BEB">
        <w:rPr>
          <w:rStyle w:val="StyleUnderline"/>
          <w:highlight w:val="green"/>
        </w:rPr>
        <w:t xml:space="preserve"> who privilege</w:t>
      </w:r>
      <w:r w:rsidRPr="00F1263D">
        <w:rPr>
          <w:rStyle w:val="StyleUnderline"/>
        </w:rPr>
        <w:t xml:space="preserve"> </w:t>
      </w:r>
      <w:r w:rsidRPr="00F1263D">
        <w:rPr>
          <w:rStyle w:val="Emphasis"/>
        </w:rPr>
        <w:t xml:space="preserve">very </w:t>
      </w:r>
      <w:r w:rsidRPr="00813BEB">
        <w:rPr>
          <w:rStyle w:val="Emphasis"/>
          <w:highlight w:val="green"/>
        </w:rPr>
        <w:t>specific</w:t>
      </w:r>
      <w:r w:rsidRPr="009D15B5">
        <w:rPr>
          <w:rStyle w:val="Emphasis"/>
        </w:rPr>
        <w:t xml:space="preserve"> bodily experiences</w:t>
      </w:r>
      <w:r w:rsidRPr="00F1263D">
        <w:rPr>
          <w:rStyle w:val="StyleUnderline"/>
        </w:rPr>
        <w:t xml:space="preserve">, </w:t>
      </w:r>
      <w:r w:rsidRPr="00813BEB">
        <w:rPr>
          <w:rStyle w:val="Emphasis"/>
          <w:highlight w:val="green"/>
        </w:rPr>
        <w:t>capacities</w:t>
      </w:r>
      <w:r w:rsidRPr="00F1263D">
        <w:rPr>
          <w:rStyle w:val="StyleUnderline"/>
        </w:rPr>
        <w:t xml:space="preserve">, </w:t>
      </w:r>
      <w:r w:rsidRPr="00813BEB">
        <w:rPr>
          <w:rStyle w:val="StyleUnderline"/>
          <w:highlight w:val="green"/>
        </w:rPr>
        <w:t>and</w:t>
      </w:r>
      <w:r w:rsidRPr="00F1263D">
        <w:rPr>
          <w:rStyle w:val="StyleUnderline"/>
        </w:rPr>
        <w:t xml:space="preserve"> </w:t>
      </w:r>
      <w:proofErr w:type="spellStart"/>
      <w:r w:rsidRPr="00813BEB">
        <w:rPr>
          <w:rStyle w:val="Emphasis"/>
          <w:highlight w:val="green"/>
        </w:rPr>
        <w:t>normativities</w:t>
      </w:r>
      <w:proofErr w:type="spellEnd"/>
      <w:r w:rsidRPr="009D15B5">
        <w:rPr>
          <w:sz w:val="16"/>
        </w:rPr>
        <w:t xml:space="preserve">. </w:t>
      </w:r>
      <w:r w:rsidRPr="00F1263D">
        <w:rPr>
          <w:rStyle w:val="StyleUnderline"/>
        </w:rPr>
        <w:t xml:space="preserve">The </w:t>
      </w:r>
      <w:r w:rsidRPr="00F1263D">
        <w:rPr>
          <w:rStyle w:val="Emphasis"/>
        </w:rPr>
        <w:t xml:space="preserve">construct of </w:t>
      </w:r>
      <w:r w:rsidRPr="00813BEB">
        <w:rPr>
          <w:rStyle w:val="Emphasis"/>
          <w:highlight w:val="green"/>
        </w:rPr>
        <w:t>ableism does not</w:t>
      </w:r>
      <w:r w:rsidRPr="00F1263D">
        <w:rPr>
          <w:rStyle w:val="StyleUnderline"/>
        </w:rPr>
        <w:t xml:space="preserve">, in my experience of interacting with disability rights organizations, people with disabilities, and health-care practitioners in Palestine, </w:t>
      </w:r>
      <w:r w:rsidRPr="00813BEB">
        <w:rPr>
          <w:rStyle w:val="Emphasis"/>
          <w:highlight w:val="green"/>
        </w:rPr>
        <w:t>resonate terminologically</w:t>
      </w:r>
      <w:r w:rsidRPr="00F1263D">
        <w:rPr>
          <w:rStyle w:val="StyleUnderline"/>
        </w:rPr>
        <w:t>; it is not (yet?) a widespread discourse</w:t>
      </w:r>
      <w:r w:rsidRPr="009D15B5">
        <w:rPr>
          <w:sz w:val="16"/>
        </w:rPr>
        <w:t xml:space="preserve">. </w:t>
      </w:r>
      <w:r w:rsidRPr="00F1263D">
        <w:rPr>
          <w:rStyle w:val="StyleUnderline"/>
        </w:rPr>
        <w:t xml:space="preserve">That is to say, the </w:t>
      </w:r>
      <w:r w:rsidRPr="00F1263D">
        <w:rPr>
          <w:rStyle w:val="Emphasis"/>
        </w:rPr>
        <w:t>conceptual apparatus</w:t>
      </w:r>
      <w:r w:rsidRPr="00F1263D">
        <w:rPr>
          <w:rStyle w:val="StyleUnderline"/>
        </w:rPr>
        <w:t xml:space="preserve"> and </w:t>
      </w:r>
      <w:r w:rsidRPr="00F1263D">
        <w:rPr>
          <w:rStyle w:val="Emphasis"/>
        </w:rPr>
        <w:t>critique of ableism</w:t>
      </w:r>
      <w:r w:rsidRPr="00F1263D">
        <w:rPr>
          <w:rStyle w:val="StyleUnderline"/>
        </w:rPr>
        <w:t xml:space="preserve"> is </w:t>
      </w:r>
      <w:r w:rsidRPr="00F1263D">
        <w:rPr>
          <w:rStyle w:val="Emphasis"/>
        </w:rPr>
        <w:t>not generally</w:t>
      </w:r>
      <w:r w:rsidRPr="00F1263D">
        <w:rPr>
          <w:rStyle w:val="StyleUnderline"/>
        </w:rPr>
        <w:t xml:space="preserve"> used to describe how people </w:t>
      </w:r>
      <w:r w:rsidRPr="00F1263D">
        <w:rPr>
          <w:rStyle w:val="Emphasis"/>
        </w:rPr>
        <w:t>experience or account for discrimination</w:t>
      </w:r>
      <w:r w:rsidRPr="00F1263D">
        <w:rPr>
          <w:rStyle w:val="StyleUnderline"/>
        </w:rPr>
        <w:t xml:space="preserve"> toward people with disabilities</w:t>
      </w:r>
      <w:r w:rsidRPr="009D15B5">
        <w:rPr>
          <w:sz w:val="16"/>
        </w:rPr>
        <w:t xml:space="preserve">. </w:t>
      </w:r>
      <w:r w:rsidRPr="00F1263D">
        <w:rPr>
          <w:rStyle w:val="Emphasis"/>
        </w:rPr>
        <w:t>Nor does ableism</w:t>
      </w:r>
      <w:r w:rsidRPr="00F1263D">
        <w:rPr>
          <w:rStyle w:val="StyleUnderline"/>
        </w:rPr>
        <w:t xml:space="preserve">, as I have encountered life in Palestine thus far, have a </w:t>
      </w:r>
      <w:r w:rsidRPr="00F1263D">
        <w:rPr>
          <w:rStyle w:val="Emphasis"/>
        </w:rPr>
        <w:t>particular anchor</w:t>
      </w:r>
      <w:r w:rsidRPr="00F1263D">
        <w:rPr>
          <w:rStyle w:val="StyleUnderline"/>
        </w:rPr>
        <w:t xml:space="preserve"> as a </w:t>
      </w:r>
      <w:r w:rsidRPr="00F1263D">
        <w:rPr>
          <w:rStyle w:val="Emphasis"/>
        </w:rPr>
        <w:t>structure of feeling in Palestine</w:t>
      </w:r>
      <w:r w:rsidRPr="00F1263D">
        <w:rPr>
          <w:rStyle w:val="StyleUnderline"/>
        </w:rPr>
        <w:t>, as an ideological force that is guiding and overdetermining the qualities of bodies that are valued and devalued</w:t>
      </w:r>
      <w:r w:rsidRPr="009D15B5">
        <w:rPr>
          <w:sz w:val="16"/>
        </w:rPr>
        <w:t xml:space="preserve">. That is not to say that discriminatory attitudes and policies toward disabled Palestinians do not exist, but rather to point out that </w:t>
      </w:r>
      <w:r w:rsidRPr="00F1263D">
        <w:rPr>
          <w:rStyle w:val="Emphasis"/>
        </w:rPr>
        <w:t>ableism</w:t>
      </w:r>
      <w:r w:rsidRPr="00F1263D">
        <w:rPr>
          <w:rStyle w:val="StyleUnderline"/>
        </w:rPr>
        <w:t xml:space="preserve"> is </w:t>
      </w:r>
      <w:r w:rsidRPr="00F1263D">
        <w:rPr>
          <w:rStyle w:val="Emphasis"/>
        </w:rPr>
        <w:t>inextricable from the racist, colonial conditions</w:t>
      </w:r>
      <w:r w:rsidRPr="00F1263D">
        <w:rPr>
          <w:rStyle w:val="StyleUnderline"/>
        </w:rPr>
        <w:t xml:space="preserve"> of the occupation and therefore may </w:t>
      </w:r>
      <w:r w:rsidRPr="00F1263D">
        <w:rPr>
          <w:rStyle w:val="Emphasis"/>
        </w:rPr>
        <w:t>not</w:t>
      </w:r>
      <w:r w:rsidRPr="00F1263D">
        <w:rPr>
          <w:rStyle w:val="StyleUnderline"/>
        </w:rPr>
        <w:t xml:space="preserve"> be the </w:t>
      </w:r>
      <w:r w:rsidRPr="00F1263D">
        <w:rPr>
          <w:rStyle w:val="Emphasis"/>
        </w:rPr>
        <w:t>primary discourse</w:t>
      </w:r>
      <w:r w:rsidRPr="00F1263D">
        <w:rPr>
          <w:rStyle w:val="StyleUnderline"/>
        </w:rPr>
        <w:t xml:space="preserve"> used to mark such confluences</w:t>
      </w:r>
      <w:r w:rsidRPr="009D15B5">
        <w:rPr>
          <w:sz w:val="16"/>
        </w:rPr>
        <w:t xml:space="preserve">. </w:t>
      </w:r>
      <w:r w:rsidRPr="00F1263D">
        <w:rPr>
          <w:rStyle w:val="StyleUnderline"/>
        </w:rPr>
        <w:t xml:space="preserve">While the </w:t>
      </w:r>
      <w:r w:rsidRPr="00813BEB">
        <w:rPr>
          <w:rStyle w:val="Emphasis"/>
          <w:highlight w:val="green"/>
        </w:rPr>
        <w:t>Palestinian</w:t>
      </w:r>
      <w:r w:rsidRPr="00F1263D">
        <w:rPr>
          <w:rStyle w:val="Emphasis"/>
        </w:rPr>
        <w:t xml:space="preserve"> nationalist </w:t>
      </w:r>
      <w:r w:rsidRPr="00813BEB">
        <w:rPr>
          <w:rStyle w:val="Emphasis"/>
          <w:highlight w:val="green"/>
        </w:rPr>
        <w:t>resistance</w:t>
      </w:r>
      <w:r w:rsidRPr="00F1263D">
        <w:rPr>
          <w:rStyle w:val="StyleUnderline"/>
        </w:rPr>
        <w:t xml:space="preserve"> movement unsurprisingly </w:t>
      </w:r>
      <w:r w:rsidRPr="00813BEB">
        <w:rPr>
          <w:rStyle w:val="StyleUnderline"/>
          <w:highlight w:val="green"/>
        </w:rPr>
        <w:t>favors</w:t>
      </w:r>
      <w:r w:rsidRPr="00F1263D">
        <w:rPr>
          <w:rStyle w:val="StyleUnderline"/>
        </w:rPr>
        <w:t xml:space="preserve"> a </w:t>
      </w:r>
      <w:r w:rsidRPr="00813BEB">
        <w:rPr>
          <w:rStyle w:val="Emphasis"/>
          <w:highlight w:val="green"/>
        </w:rPr>
        <w:t>masculinist body politic</w:t>
      </w:r>
      <w:r w:rsidRPr="00F1263D">
        <w:rPr>
          <w:rStyle w:val="StyleUnderline"/>
        </w:rPr>
        <w:t xml:space="preserve">, </w:t>
      </w:r>
      <w:r w:rsidRPr="00F1263D">
        <w:rPr>
          <w:rStyle w:val="Emphasis"/>
        </w:rPr>
        <w:t xml:space="preserve">parsing </w:t>
      </w:r>
      <w:r w:rsidRPr="00813BEB">
        <w:rPr>
          <w:rStyle w:val="Emphasis"/>
          <w:highlight w:val="green"/>
        </w:rPr>
        <w:t>the demand</w:t>
      </w:r>
      <w:r w:rsidRPr="00813BEB">
        <w:rPr>
          <w:rStyle w:val="StyleUnderline"/>
          <w:highlight w:val="green"/>
        </w:rPr>
        <w:t xml:space="preserve"> to </w:t>
      </w:r>
      <w:r w:rsidRPr="00813BEB">
        <w:rPr>
          <w:rStyle w:val="Emphasis"/>
          <w:highlight w:val="green"/>
        </w:rPr>
        <w:t>cease</w:t>
      </w:r>
      <w:r w:rsidRPr="00F1263D">
        <w:rPr>
          <w:rStyle w:val="Emphasis"/>
        </w:rPr>
        <w:t xml:space="preserve"> the bodily </w:t>
      </w:r>
      <w:r w:rsidRPr="00813BEB">
        <w:rPr>
          <w:rStyle w:val="Emphasis"/>
          <w:highlight w:val="green"/>
        </w:rPr>
        <w:t>debilitation</w:t>
      </w:r>
      <w:r w:rsidRPr="00F1263D">
        <w:rPr>
          <w:rStyle w:val="StyleUnderline"/>
        </w:rPr>
        <w:t xml:space="preserve"> created by the occupation </w:t>
      </w:r>
      <w:r w:rsidRPr="00813BEB">
        <w:rPr>
          <w:rStyle w:val="StyleUnderline"/>
          <w:highlight w:val="green"/>
        </w:rPr>
        <w:t>from</w:t>
      </w:r>
      <w:r w:rsidRPr="00F1263D">
        <w:rPr>
          <w:rStyle w:val="StyleUnderline"/>
        </w:rPr>
        <w:t xml:space="preserve"> </w:t>
      </w:r>
      <w:r w:rsidRPr="00813BEB">
        <w:rPr>
          <w:rStyle w:val="Emphasis"/>
          <w:highlight w:val="green"/>
        </w:rPr>
        <w:t>phobia toward disabled people</w:t>
      </w:r>
      <w:r w:rsidRPr="00813BEB">
        <w:rPr>
          <w:rStyle w:val="StyleUnderline"/>
          <w:highlight w:val="green"/>
        </w:rPr>
        <w:t xml:space="preserve"> is</w:t>
      </w:r>
      <w:r w:rsidRPr="00F1263D">
        <w:rPr>
          <w:rStyle w:val="StyleUnderline"/>
        </w:rPr>
        <w:t xml:space="preserve"> a somewhat </w:t>
      </w:r>
      <w:r w:rsidRPr="00813BEB">
        <w:rPr>
          <w:rStyle w:val="Emphasis"/>
          <w:highlight w:val="green"/>
        </w:rPr>
        <w:t>futile</w:t>
      </w:r>
      <w:r w:rsidRPr="00F1263D">
        <w:rPr>
          <w:rStyle w:val="Emphasis"/>
        </w:rPr>
        <w:t xml:space="preserve"> endeavor</w:t>
      </w:r>
      <w:r w:rsidRPr="009D15B5">
        <w:rPr>
          <w:sz w:val="16"/>
        </w:rPr>
        <w:t xml:space="preserve">. One of the more insidious effects of the debilitating of bodies in Palestine is how it fosters internalizing bodily defect as intrinsic to an inferior population. </w:t>
      </w:r>
      <w:r w:rsidRPr="00F1263D">
        <w:rPr>
          <w:rStyle w:val="StyleUnderline"/>
        </w:rPr>
        <w:t xml:space="preserve">The violent production of disability should not be instrumentalized as the reason to end conflict/war/occupation, but it is unclear how to separate out the </w:t>
      </w:r>
      <w:r w:rsidRPr="00F1263D">
        <w:rPr>
          <w:rStyle w:val="Emphasis"/>
        </w:rPr>
        <w:t>end of maiming</w:t>
      </w:r>
      <w:r w:rsidRPr="00F1263D">
        <w:rPr>
          <w:rStyle w:val="StyleUnderline"/>
        </w:rPr>
        <w:t xml:space="preserve"> from the end of the occupation writ large</w:t>
      </w:r>
      <w:r w:rsidRPr="009D15B5">
        <w:rPr>
          <w:sz w:val="16"/>
        </w:rPr>
        <w:t>.</w:t>
      </w:r>
    </w:p>
    <w:p w14:paraId="3CEAB00E" w14:textId="77777777" w:rsidR="00B612B5" w:rsidRDefault="00B612B5" w:rsidP="00B612B5">
      <w:pPr>
        <w:rPr>
          <w:sz w:val="16"/>
        </w:rPr>
      </w:pPr>
      <w:r w:rsidRPr="009D15B5">
        <w:rPr>
          <w:sz w:val="16"/>
        </w:rPr>
        <w:t xml:space="preserve">In thinking through the limits of the North/South reification of absolute difference, which is often entangled with the necessity of counteracting colonial systems by mobilizing the specificity of the local, we encounter the differential applicability of “globality” itself. </w:t>
      </w:r>
      <w:r w:rsidRPr="009D15B5">
        <w:rPr>
          <w:rStyle w:val="StyleUnderline"/>
        </w:rPr>
        <w:t xml:space="preserve">From the vantage of the North American academy, southern disability studies will never represent the field of disability studies, even though it literally addresses the global state of disability if we are to take seriously the oft-cited statistic that 80 percent of the world’s disability </w:t>
      </w:r>
      <w:proofErr w:type="gramStart"/>
      <w:r w:rsidRPr="009D15B5">
        <w:rPr>
          <w:rStyle w:val="StyleUnderline"/>
        </w:rPr>
        <w:t>is located in</w:t>
      </w:r>
      <w:proofErr w:type="gramEnd"/>
      <w:r w:rsidRPr="009D15B5">
        <w:rPr>
          <w:rStyle w:val="StyleUnderline"/>
        </w:rPr>
        <w:t xml:space="preserve"> the Global South</w:t>
      </w:r>
      <w:r w:rsidRPr="009D15B5">
        <w:rPr>
          <w:sz w:val="16"/>
        </w:rPr>
        <w:t xml:space="preserve">. </w:t>
      </w:r>
      <w:r w:rsidRPr="00813BEB">
        <w:rPr>
          <w:rStyle w:val="StyleUnderline"/>
          <w:highlight w:val="green"/>
        </w:rPr>
        <w:t>This isn’t resolvable through</w:t>
      </w:r>
      <w:r w:rsidRPr="009D15B5">
        <w:rPr>
          <w:rStyle w:val="StyleUnderline"/>
        </w:rPr>
        <w:t xml:space="preserve"> what I have elsewhere called an “</w:t>
      </w:r>
      <w:r w:rsidRPr="00813BEB">
        <w:rPr>
          <w:rStyle w:val="Emphasis"/>
          <w:highlight w:val="green"/>
        </w:rPr>
        <w:t>epistemological corrective</w:t>
      </w:r>
      <w:r w:rsidRPr="009D15B5">
        <w:rPr>
          <w:rStyle w:val="StyleUnderline"/>
        </w:rPr>
        <w:t>”—in other words, “</w:t>
      </w:r>
      <w:r w:rsidRPr="00813BEB">
        <w:rPr>
          <w:rStyle w:val="Emphasis"/>
          <w:highlight w:val="green"/>
        </w:rPr>
        <w:t>including</w:t>
      </w:r>
      <w:r w:rsidRPr="009D15B5">
        <w:rPr>
          <w:rStyle w:val="StyleUnderline"/>
        </w:rPr>
        <w:t xml:space="preserve">” more </w:t>
      </w:r>
      <w:r w:rsidRPr="00813BEB">
        <w:rPr>
          <w:rStyle w:val="Emphasis"/>
          <w:highlight w:val="green"/>
        </w:rPr>
        <w:t>southern</w:t>
      </w:r>
      <w:r w:rsidRPr="009D15B5">
        <w:rPr>
          <w:rStyle w:val="Emphasis"/>
        </w:rPr>
        <w:t xml:space="preserve"> disability </w:t>
      </w:r>
      <w:r w:rsidRPr="00813BEB">
        <w:rPr>
          <w:rStyle w:val="Emphasis"/>
          <w:highlight w:val="green"/>
        </w:rPr>
        <w:t>studies</w:t>
      </w:r>
      <w:r w:rsidRPr="009D15B5">
        <w:rPr>
          <w:rStyle w:val="StyleUnderline"/>
        </w:rPr>
        <w:t xml:space="preserve"> in any curriculum </w:t>
      </w:r>
      <w:r w:rsidRPr="00813BEB">
        <w:rPr>
          <w:rStyle w:val="StyleUnderline"/>
          <w:highlight w:val="green"/>
        </w:rPr>
        <w:t>is</w:t>
      </w:r>
      <w:r w:rsidRPr="009D15B5">
        <w:rPr>
          <w:rStyle w:val="StyleUnderline"/>
        </w:rPr>
        <w:t xml:space="preserve"> great, but </w:t>
      </w:r>
      <w:r w:rsidRPr="00813BEB">
        <w:rPr>
          <w:rStyle w:val="Emphasis"/>
          <w:highlight w:val="green"/>
        </w:rPr>
        <w:t>not the point</w:t>
      </w:r>
      <w:r w:rsidRPr="009D15B5">
        <w:rPr>
          <w:sz w:val="16"/>
        </w:rPr>
        <w:t xml:space="preserve">. </w:t>
      </w:r>
      <w:r w:rsidRPr="009D15B5">
        <w:rPr>
          <w:rStyle w:val="StyleUnderline"/>
        </w:rPr>
        <w:t xml:space="preserve">This is about the </w:t>
      </w:r>
      <w:r w:rsidRPr="00813BEB">
        <w:rPr>
          <w:rStyle w:val="Emphasis"/>
          <w:highlight w:val="green"/>
        </w:rPr>
        <w:t>epistemic violence inhered in</w:t>
      </w:r>
      <w:r w:rsidRPr="009D15B5">
        <w:rPr>
          <w:rStyle w:val="Emphasis"/>
        </w:rPr>
        <w:t xml:space="preserve"> the </w:t>
      </w:r>
      <w:r w:rsidRPr="00813BEB">
        <w:rPr>
          <w:rStyle w:val="Emphasis"/>
          <w:highlight w:val="green"/>
        </w:rPr>
        <w:t>categorization</w:t>
      </w:r>
      <w:r w:rsidRPr="009D15B5">
        <w:rPr>
          <w:rStyle w:val="Emphasis"/>
        </w:rPr>
        <w:t xml:space="preserve"> of </w:t>
      </w:r>
      <w:r w:rsidRPr="002F7FC0">
        <w:rPr>
          <w:rStyle w:val="Emphasis"/>
        </w:rPr>
        <w:t>disability</w:t>
      </w:r>
      <w:r w:rsidRPr="009D15B5">
        <w:rPr>
          <w:rStyle w:val="Emphasis"/>
        </w:rPr>
        <w:t xml:space="preserve"> </w:t>
      </w:r>
      <w:r w:rsidRPr="00813BEB">
        <w:rPr>
          <w:rStyle w:val="Emphasis"/>
          <w:highlight w:val="green"/>
        </w:rPr>
        <w:t>itself</w:t>
      </w:r>
      <w:r w:rsidRPr="009D15B5">
        <w:rPr>
          <w:sz w:val="16"/>
        </w:rPr>
        <w:t>.44</w:t>
      </w:r>
    </w:p>
    <w:p w14:paraId="3DE4CF8C" w14:textId="5B7BB16D" w:rsidR="00B612B5" w:rsidRDefault="00B612B5" w:rsidP="00D91FE5">
      <w:pPr>
        <w:rPr>
          <w:rFonts w:eastAsia="Calibri"/>
          <w:sz w:val="16"/>
          <w:szCs w:val="18"/>
        </w:rPr>
      </w:pPr>
    </w:p>
    <w:p w14:paraId="461CC850" w14:textId="77777777" w:rsidR="00DB540E" w:rsidRDefault="00DB540E" w:rsidP="00D91FE5">
      <w:pPr>
        <w:rPr>
          <w:rFonts w:eastAsia="Calibri"/>
          <w:sz w:val="16"/>
          <w:szCs w:val="18"/>
        </w:rPr>
      </w:pPr>
    </w:p>
    <w:p w14:paraId="66337767" w14:textId="60656F31" w:rsidR="00750603" w:rsidRDefault="006C5035" w:rsidP="006C5035">
      <w:pPr>
        <w:pStyle w:val="Heading2"/>
      </w:pPr>
      <w:r>
        <w:t>Case</w:t>
      </w:r>
    </w:p>
    <w:p w14:paraId="34B7441A" w14:textId="34FFE3EB" w:rsidR="00F04DE7" w:rsidRDefault="00CF022E" w:rsidP="00F04DE7">
      <w:pPr>
        <w:pStyle w:val="Heading3"/>
      </w:pPr>
      <w:r>
        <w:t>1NC---AT: Solvency</w:t>
      </w:r>
    </w:p>
    <w:p w14:paraId="58F2E43A" w14:textId="481D4D98" w:rsidR="006C5035" w:rsidRPr="006C5035" w:rsidRDefault="006C5035" w:rsidP="006C5035"/>
    <w:sectPr w:rsidR="006C5035" w:rsidRPr="006C50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8504" w14:textId="77777777" w:rsidR="003B5B17" w:rsidRDefault="003B5B17" w:rsidP="00066D2C">
      <w:r>
        <w:separator/>
      </w:r>
    </w:p>
  </w:endnote>
  <w:endnote w:type="continuationSeparator" w:id="0">
    <w:p w14:paraId="6E7F3672" w14:textId="77777777" w:rsidR="003B5B17" w:rsidRDefault="003B5B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D3EE5" w14:textId="77777777" w:rsidR="003B5B17" w:rsidRDefault="003B5B17" w:rsidP="00066D2C">
      <w:r>
        <w:separator/>
      </w:r>
    </w:p>
  </w:footnote>
  <w:footnote w:type="continuationSeparator" w:id="0">
    <w:p w14:paraId="425AAEDD" w14:textId="77777777" w:rsidR="003B5B17" w:rsidRDefault="003B5B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0F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9A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7DC"/>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3859"/>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4F4"/>
    <w:rsid w:val="003479B5"/>
    <w:rsid w:val="003500B6"/>
    <w:rsid w:val="00352622"/>
    <w:rsid w:val="00355B45"/>
    <w:rsid w:val="00361FA0"/>
    <w:rsid w:val="003662DB"/>
    <w:rsid w:val="00367D96"/>
    <w:rsid w:val="003706D8"/>
    <w:rsid w:val="00373B7F"/>
    <w:rsid w:val="003753F6"/>
    <w:rsid w:val="003779C8"/>
    <w:rsid w:val="00382DF7"/>
    <w:rsid w:val="0038717A"/>
    <w:rsid w:val="0039157C"/>
    <w:rsid w:val="00392D93"/>
    <w:rsid w:val="00393EF2"/>
    <w:rsid w:val="00394F71"/>
    <w:rsid w:val="00396D52"/>
    <w:rsid w:val="003A46B4"/>
    <w:rsid w:val="003A5CE8"/>
    <w:rsid w:val="003A698D"/>
    <w:rsid w:val="003B17B3"/>
    <w:rsid w:val="003B4705"/>
    <w:rsid w:val="003B4F86"/>
    <w:rsid w:val="003B5B17"/>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54F"/>
    <w:rsid w:val="004436F8"/>
    <w:rsid w:val="00447BAE"/>
    <w:rsid w:val="00450DA4"/>
    <w:rsid w:val="00457EB1"/>
    <w:rsid w:val="00457F13"/>
    <w:rsid w:val="004604DA"/>
    <w:rsid w:val="00462267"/>
    <w:rsid w:val="00462B60"/>
    <w:rsid w:val="00467D0E"/>
    <w:rsid w:val="00474720"/>
    <w:rsid w:val="00480A40"/>
    <w:rsid w:val="004827C9"/>
    <w:rsid w:val="00486F5E"/>
    <w:rsid w:val="004875B9"/>
    <w:rsid w:val="00491C5F"/>
    <w:rsid w:val="0049341D"/>
    <w:rsid w:val="00493AA8"/>
    <w:rsid w:val="0049798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D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35"/>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8B7"/>
    <w:rsid w:val="0074789B"/>
    <w:rsid w:val="00750603"/>
    <w:rsid w:val="00754ABD"/>
    <w:rsid w:val="00754D3B"/>
    <w:rsid w:val="00760D6A"/>
    <w:rsid w:val="0076343C"/>
    <w:rsid w:val="00764C12"/>
    <w:rsid w:val="007750DF"/>
    <w:rsid w:val="00777C19"/>
    <w:rsid w:val="00782487"/>
    <w:rsid w:val="00784C8D"/>
    <w:rsid w:val="00785E47"/>
    <w:rsid w:val="007873F5"/>
    <w:rsid w:val="0078760F"/>
    <w:rsid w:val="00787CD7"/>
    <w:rsid w:val="0079136A"/>
    <w:rsid w:val="00792AD8"/>
    <w:rsid w:val="00792D84"/>
    <w:rsid w:val="00795030"/>
    <w:rsid w:val="00795A26"/>
    <w:rsid w:val="007A00CB"/>
    <w:rsid w:val="007A0426"/>
    <w:rsid w:val="007A312F"/>
    <w:rsid w:val="007A7EAB"/>
    <w:rsid w:val="007B5238"/>
    <w:rsid w:val="007C029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2A"/>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69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7CA"/>
    <w:rsid w:val="00953429"/>
    <w:rsid w:val="009539A4"/>
    <w:rsid w:val="009569E3"/>
    <w:rsid w:val="00960035"/>
    <w:rsid w:val="0096040F"/>
    <w:rsid w:val="0096145A"/>
    <w:rsid w:val="009632EF"/>
    <w:rsid w:val="00973D8A"/>
    <w:rsid w:val="009804B4"/>
    <w:rsid w:val="00980709"/>
    <w:rsid w:val="0098278C"/>
    <w:rsid w:val="00991819"/>
    <w:rsid w:val="00992BBB"/>
    <w:rsid w:val="009969C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2B5"/>
    <w:rsid w:val="00B66AF2"/>
    <w:rsid w:val="00B72848"/>
    <w:rsid w:val="00B74544"/>
    <w:rsid w:val="00B77754"/>
    <w:rsid w:val="00B81054"/>
    <w:rsid w:val="00B820DB"/>
    <w:rsid w:val="00B837F0"/>
    <w:rsid w:val="00B83896"/>
    <w:rsid w:val="00B860A9"/>
    <w:rsid w:val="00B97264"/>
    <w:rsid w:val="00BA0143"/>
    <w:rsid w:val="00BA1C07"/>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690"/>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83B"/>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22E"/>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1FE5"/>
    <w:rsid w:val="00D9566D"/>
    <w:rsid w:val="00DA0EF7"/>
    <w:rsid w:val="00DA4B3F"/>
    <w:rsid w:val="00DA4EB6"/>
    <w:rsid w:val="00DA5F0C"/>
    <w:rsid w:val="00DB20EB"/>
    <w:rsid w:val="00DB33F6"/>
    <w:rsid w:val="00DB38CC"/>
    <w:rsid w:val="00DB540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AA4"/>
    <w:rsid w:val="00F00A14"/>
    <w:rsid w:val="00F038EA"/>
    <w:rsid w:val="00F04DE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06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14"/>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49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0422B"/>
  <w15:chartTrackingRefBased/>
  <w15:docId w15:val="{A556E8F0-29C4-447D-B8A1-0919E626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1C07"/>
    <w:rPr>
      <w:rFonts w:ascii="Calibri" w:hAnsi="Calibri" w:cs="Calibri"/>
    </w:rPr>
  </w:style>
  <w:style w:type="paragraph" w:styleId="Heading1">
    <w:name w:val="heading 1"/>
    <w:aliases w:val="Pocket"/>
    <w:basedOn w:val="Normal"/>
    <w:next w:val="Normal"/>
    <w:link w:val="Heading1Char"/>
    <w:qFormat/>
    <w:rsid w:val="00860F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860F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860F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860F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0F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0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F2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860F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0F2A"/>
    <w:rPr>
      <w:color w:val="auto"/>
      <w:u w:val="none"/>
    </w:rPr>
  </w:style>
  <w:style w:type="character" w:customStyle="1" w:styleId="Heading1Char">
    <w:name w:val="Heading 1 Char"/>
    <w:aliases w:val="Pocket Char"/>
    <w:basedOn w:val="DefaultParagraphFont"/>
    <w:link w:val="Heading1"/>
    <w:rsid w:val="00860F2A"/>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860F2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860F2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60F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0F2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860F2A"/>
    <w:rPr>
      <w:b w:val="0"/>
      <w:sz w:val="22"/>
      <w:u w:val="single"/>
    </w:rPr>
  </w:style>
  <w:style w:type="character" w:styleId="Strong">
    <w:name w:val="Strong"/>
    <w:basedOn w:val="DefaultParagraphFont"/>
    <w:uiPriority w:val="22"/>
    <w:semiHidden/>
    <w:qFormat/>
    <w:rsid w:val="00860F2A"/>
    <w:rPr>
      <w:b/>
      <w:bCs/>
    </w:rPr>
  </w:style>
  <w:style w:type="character" w:styleId="BookTitle">
    <w:name w:val="Book Title"/>
    <w:basedOn w:val="DefaultParagraphFont"/>
    <w:uiPriority w:val="33"/>
    <w:semiHidden/>
    <w:qFormat/>
    <w:rsid w:val="00860F2A"/>
    <w:rPr>
      <w:b/>
      <w:bCs/>
      <w:i/>
      <w:iCs/>
      <w:spacing w:val="5"/>
    </w:rPr>
  </w:style>
  <w:style w:type="character" w:customStyle="1" w:styleId="Heading5Char">
    <w:name w:val="Heading 5 Char"/>
    <w:basedOn w:val="DefaultParagraphFont"/>
    <w:link w:val="Heading5"/>
    <w:uiPriority w:val="9"/>
    <w:semiHidden/>
    <w:rsid w:val="00860F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0F2A"/>
  </w:style>
  <w:style w:type="paragraph" w:styleId="Header">
    <w:name w:val="header"/>
    <w:basedOn w:val="Normal"/>
    <w:link w:val="HeaderChar"/>
    <w:uiPriority w:val="99"/>
    <w:semiHidden/>
    <w:rsid w:val="00860F2A"/>
    <w:pPr>
      <w:tabs>
        <w:tab w:val="center" w:pos="4680"/>
        <w:tab w:val="right" w:pos="9360"/>
      </w:tabs>
    </w:pPr>
  </w:style>
  <w:style w:type="character" w:customStyle="1" w:styleId="HeaderChar">
    <w:name w:val="Header Char"/>
    <w:basedOn w:val="DefaultParagraphFont"/>
    <w:link w:val="Header"/>
    <w:uiPriority w:val="99"/>
    <w:semiHidden/>
    <w:rsid w:val="00860F2A"/>
    <w:rPr>
      <w:rFonts w:ascii="Calibri" w:hAnsi="Calibri" w:cs="Calibri"/>
    </w:rPr>
  </w:style>
  <w:style w:type="paragraph" w:styleId="Footer">
    <w:name w:val="footer"/>
    <w:basedOn w:val="Normal"/>
    <w:link w:val="FooterChar"/>
    <w:uiPriority w:val="99"/>
    <w:semiHidden/>
    <w:rsid w:val="00860F2A"/>
    <w:pPr>
      <w:tabs>
        <w:tab w:val="center" w:pos="4680"/>
        <w:tab w:val="right" w:pos="9360"/>
      </w:tabs>
    </w:pPr>
  </w:style>
  <w:style w:type="character" w:customStyle="1" w:styleId="FooterChar">
    <w:name w:val="Footer Char"/>
    <w:basedOn w:val="DefaultParagraphFont"/>
    <w:link w:val="Footer"/>
    <w:uiPriority w:val="99"/>
    <w:semiHidden/>
    <w:rsid w:val="00860F2A"/>
    <w:rPr>
      <w:rFonts w:ascii="Calibri" w:hAnsi="Calibri" w:cs="Calibri"/>
    </w:rPr>
  </w:style>
  <w:style w:type="paragraph" w:styleId="BodyText">
    <w:name w:val="Body Text"/>
    <w:basedOn w:val="Normal"/>
    <w:link w:val="BodyTextChar"/>
    <w:uiPriority w:val="99"/>
    <w:semiHidden/>
    <w:unhideWhenUsed/>
    <w:rsid w:val="00860F2A"/>
    <w:pPr>
      <w:spacing w:after="120"/>
    </w:pPr>
  </w:style>
  <w:style w:type="character" w:customStyle="1" w:styleId="BodyTextChar">
    <w:name w:val="Body Text Char"/>
    <w:basedOn w:val="DefaultParagraphFont"/>
    <w:link w:val="BodyText"/>
    <w:uiPriority w:val="99"/>
    <w:semiHidden/>
    <w:rsid w:val="00860F2A"/>
    <w:rPr>
      <w:rFonts w:ascii="Calibri" w:hAnsi="Calibri" w:cs="Calibri"/>
    </w:rPr>
  </w:style>
  <w:style w:type="paragraph" w:styleId="NoSpacing">
    <w:name w:val="No Spacing"/>
    <w:link w:val="NoSpacingChar"/>
    <w:uiPriority w:val="99"/>
    <w:semiHidden/>
    <w:unhideWhenUsed/>
    <w:qFormat/>
    <w:rsid w:val="00860F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60F2A"/>
    <w:rPr>
      <w:rFonts w:ascii="Calibri" w:hAnsi="Calibri" w:cs="Calibri"/>
    </w:rPr>
  </w:style>
  <w:style w:type="character" w:styleId="Hyperlink">
    <w:name w:val="Hyperlink"/>
    <w:basedOn w:val="DefaultParagraphFont"/>
    <w:uiPriority w:val="99"/>
    <w:unhideWhenUsed/>
    <w:rsid w:val="00860F2A"/>
    <w:rPr>
      <w:color w:val="0563C1" w:themeColor="hyperlink"/>
      <w:u w:val="single"/>
    </w:rPr>
  </w:style>
  <w:style w:type="character" w:styleId="UnresolvedMention">
    <w:name w:val="Unresolved Mention"/>
    <w:basedOn w:val="DefaultParagraphFont"/>
    <w:uiPriority w:val="99"/>
    <w:semiHidden/>
    <w:unhideWhenUsed/>
    <w:rsid w:val="00860F2A"/>
    <w:rPr>
      <w:color w:val="605E5C"/>
      <w:shd w:val="clear" w:color="auto" w:fill="E1DFDD"/>
    </w:rPr>
  </w:style>
  <w:style w:type="paragraph" w:customStyle="1" w:styleId="Undertag">
    <w:name w:val="Undertag"/>
    <w:link w:val="UndertagChar"/>
    <w:autoRedefine/>
    <w:uiPriority w:val="5"/>
    <w:qFormat/>
    <w:rsid w:val="00860F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0F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0F2A"/>
    <w:rPr>
      <w:color w:val="262626" w:themeColor="text1" w:themeTint="D9"/>
    </w:rPr>
  </w:style>
  <w:style w:type="character" w:customStyle="1" w:styleId="AnalyticChar">
    <w:name w:val="Analytic Char"/>
    <w:basedOn w:val="DefaultParagraphFont"/>
    <w:link w:val="Analytic"/>
    <w:uiPriority w:val="5"/>
    <w:rsid w:val="00860F2A"/>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BA1C07"/>
    <w:pPr>
      <w:widowControl w:val="0"/>
      <w:spacing w:after="0" w:line="240" w:lineRule="auto"/>
      <w:ind w:left="720"/>
    </w:pPr>
    <w:rPr>
      <w:b/>
      <w:iCs/>
      <w:u w:val="single"/>
    </w:rPr>
  </w:style>
  <w:style w:type="paragraph" w:customStyle="1" w:styleId="Emphasis1">
    <w:name w:val="Emphasis1"/>
    <w:basedOn w:val="Normal"/>
    <w:autoRedefine/>
    <w:uiPriority w:val="8"/>
    <w:qFormat/>
    <w:rsid w:val="007C029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8297</Words>
  <Characters>47298</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2026-03-28T19:01:00Z</dcterms:created>
  <dcterms:modified xsi:type="dcterms:W3CDTF">2026-03-28T19:01:00Z</dcterms:modified>
</cp:coreProperties>
</file>