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D511B" w14:textId="77777777" w:rsidR="00BE4681" w:rsidRDefault="00BE4681" w:rsidP="00BE4681">
      <w:pPr>
        <w:pStyle w:val="Heading2"/>
      </w:pPr>
      <w:r>
        <w:t>Off</w:t>
      </w:r>
    </w:p>
    <w:p w14:paraId="26E47A3F" w14:textId="77777777" w:rsidR="00BE4681" w:rsidRPr="00E14A39" w:rsidRDefault="00BE4681" w:rsidP="00BE4681"/>
    <w:p w14:paraId="26327C35" w14:textId="77777777" w:rsidR="00BE4681" w:rsidRPr="00DE2744" w:rsidRDefault="00BE4681" w:rsidP="00BE4681">
      <w:pPr>
        <w:pStyle w:val="Heading3"/>
        <w:rPr>
          <w:highlight w:val="cyan"/>
        </w:rPr>
      </w:pPr>
      <w:r w:rsidRPr="00DE2744">
        <w:t>Links</w:t>
      </w:r>
    </w:p>
    <w:p w14:paraId="79D3D55E" w14:textId="77777777" w:rsidR="00BE4681" w:rsidRPr="009E388E" w:rsidRDefault="00BE4681" w:rsidP="00BE4681">
      <w:pPr>
        <w:keepNext/>
        <w:keepLines/>
        <w:spacing w:before="40" w:after="0"/>
        <w:outlineLvl w:val="3"/>
        <w:rPr>
          <w:rFonts w:eastAsia="Times New Roman" w:cs="Times New Roman"/>
          <w:b/>
          <w:iCs/>
          <w:sz w:val="32"/>
        </w:rPr>
      </w:pPr>
      <w:r>
        <w:rPr>
          <w:rFonts w:eastAsia="Times New Roman" w:cs="Times New Roman"/>
          <w:b/>
          <w:iCs/>
          <w:sz w:val="32"/>
        </w:rPr>
        <w:t>Link-Legal Normativity-Prescriptive</w:t>
      </w:r>
      <w:r w:rsidRPr="00743124">
        <w:rPr>
          <w:rFonts w:eastAsia="Times New Roman" w:cs="Times New Roman"/>
          <w:b/>
          <w:iCs/>
          <w:sz w:val="32"/>
        </w:rPr>
        <w:t xml:space="preserve"> </w:t>
      </w:r>
      <w:r>
        <w:rPr>
          <w:rFonts w:eastAsia="Times New Roman" w:cs="Times New Roman"/>
          <w:b/>
          <w:iCs/>
          <w:sz w:val="32"/>
        </w:rPr>
        <w:t>Policy</w:t>
      </w:r>
      <w:r w:rsidRPr="00743124">
        <w:rPr>
          <w:rFonts w:eastAsia="Times New Roman" w:cs="Times New Roman"/>
          <w:b/>
          <w:iCs/>
          <w:sz w:val="32"/>
        </w:rPr>
        <w:t xml:space="preserve"> </w:t>
      </w:r>
      <w:r>
        <w:rPr>
          <w:rFonts w:eastAsia="Times New Roman" w:cs="Times New Roman"/>
          <w:b/>
          <w:iCs/>
          <w:sz w:val="32"/>
        </w:rPr>
        <w:t>Debate</w:t>
      </w:r>
      <w:r w:rsidRPr="00743124">
        <w:rPr>
          <w:rFonts w:eastAsia="Times New Roman" w:cs="Times New Roman"/>
          <w:b/>
          <w:iCs/>
          <w:sz w:val="32"/>
        </w:rPr>
        <w:t xml:space="preserve"> </w:t>
      </w:r>
      <w:r>
        <w:rPr>
          <w:rFonts w:eastAsia="Times New Roman" w:cs="Times New Roman"/>
          <w:b/>
          <w:iCs/>
          <w:sz w:val="32"/>
        </w:rPr>
        <w:t>is</w:t>
      </w:r>
      <w:r w:rsidRPr="00743124">
        <w:rPr>
          <w:rFonts w:eastAsia="Times New Roman" w:cs="Times New Roman"/>
          <w:b/>
          <w:iCs/>
          <w:sz w:val="32"/>
        </w:rPr>
        <w:t xml:space="preserve"> </w:t>
      </w:r>
      <w:r>
        <w:rPr>
          <w:rFonts w:eastAsia="Times New Roman" w:cs="Times New Roman"/>
          <w:b/>
          <w:iCs/>
          <w:sz w:val="32"/>
        </w:rPr>
        <w:t>simply</w:t>
      </w:r>
      <w:r w:rsidRPr="00743124">
        <w:rPr>
          <w:rFonts w:eastAsia="Times New Roman" w:cs="Times New Roman"/>
          <w:b/>
          <w:iCs/>
          <w:sz w:val="32"/>
        </w:rPr>
        <w:t xml:space="preserve"> </w:t>
      </w:r>
      <w:r>
        <w:rPr>
          <w:rFonts w:eastAsia="Times New Roman" w:cs="Times New Roman"/>
          <w:b/>
          <w:iCs/>
          <w:sz w:val="32"/>
        </w:rPr>
        <w:t>playing in fantasy</w:t>
      </w:r>
      <w:r w:rsidRPr="00743124">
        <w:rPr>
          <w:rFonts w:eastAsia="Times New Roman" w:cs="Times New Roman"/>
          <w:b/>
          <w:iCs/>
          <w:sz w:val="32"/>
        </w:rPr>
        <w:t>-</w:t>
      </w:r>
      <w:r>
        <w:rPr>
          <w:rFonts w:eastAsia="Times New Roman" w:cs="Times New Roman"/>
          <w:b/>
          <w:iCs/>
          <w:sz w:val="32"/>
        </w:rPr>
        <w:t xml:space="preserve"> normative thought is not connected to actual law. Spreading a speech a doc about </w:t>
      </w:r>
      <w:proofErr w:type="spellStart"/>
      <w:r>
        <w:rPr>
          <w:rFonts w:eastAsia="Times New Roman" w:cs="Times New Roman"/>
          <w:b/>
          <w:iCs/>
          <w:sz w:val="32"/>
        </w:rPr>
        <w:t>xyz</w:t>
      </w:r>
      <w:proofErr w:type="spellEnd"/>
      <w:r>
        <w:rPr>
          <w:rFonts w:eastAsia="Times New Roman" w:cs="Times New Roman"/>
          <w:b/>
          <w:iCs/>
          <w:sz w:val="32"/>
        </w:rPr>
        <w:t xml:space="preserve"> </w:t>
      </w:r>
      <w:proofErr w:type="spellStart"/>
      <w:r>
        <w:rPr>
          <w:rFonts w:eastAsia="Times New Roman" w:cs="Times New Roman"/>
          <w:b/>
          <w:iCs/>
          <w:sz w:val="32"/>
        </w:rPr>
        <w:t>usfg</w:t>
      </w:r>
      <w:proofErr w:type="spellEnd"/>
      <w:r>
        <w:rPr>
          <w:rFonts w:eastAsia="Times New Roman" w:cs="Times New Roman"/>
          <w:b/>
          <w:iCs/>
          <w:sz w:val="32"/>
        </w:rPr>
        <w:t xml:space="preserve"> action does</w:t>
      </w:r>
      <w:r w:rsidRPr="009E388E">
        <w:rPr>
          <w:rFonts w:eastAsiaTheme="majorEastAsia" w:cstheme="majorBidi"/>
          <w:b/>
          <w:iCs/>
          <w:sz w:val="32"/>
        </w:rPr>
        <w:t xml:space="preserve">n’t do shit- it re-enacts the liberal humanist subject in a way that is guaranteed to be </w:t>
      </w:r>
      <w:r w:rsidRPr="00A863AC">
        <w:rPr>
          <w:rFonts w:eastAsiaTheme="majorEastAsia" w:cstheme="majorBidi"/>
          <w:b/>
          <w:iCs/>
          <w:sz w:val="32"/>
          <w:u w:val="single"/>
        </w:rPr>
        <w:t>disempowering</w:t>
      </w:r>
      <w:r w:rsidRPr="009E388E">
        <w:rPr>
          <w:rFonts w:eastAsiaTheme="majorEastAsia" w:cstheme="majorBidi"/>
          <w:b/>
          <w:iCs/>
          <w:sz w:val="32"/>
        </w:rPr>
        <w:t xml:space="preserve"> to substantiative freedom.</w:t>
      </w:r>
    </w:p>
    <w:p w14:paraId="4EAD685D" w14:textId="77777777" w:rsidR="00BE4681" w:rsidRPr="00743124" w:rsidRDefault="00BE4681" w:rsidP="00BE4681">
      <w:pPr>
        <w:rPr>
          <w:rFonts w:ascii="Arial" w:eastAsia="Calibri" w:hAnsi="Arial" w:cs="Arial"/>
          <w:b/>
        </w:rPr>
      </w:pPr>
      <w:r w:rsidRPr="00B44454">
        <w:rPr>
          <w:rFonts w:ascii="Arial" w:eastAsia="Calibri" w:hAnsi="Arial" w:cs="Arial"/>
          <w:b/>
          <w:highlight w:val="cyan"/>
        </w:rPr>
        <w:t>SCHLAG</w:t>
      </w:r>
      <w:r w:rsidRPr="00743124">
        <w:rPr>
          <w:rFonts w:ascii="Arial" w:eastAsia="Calibri" w:hAnsi="Arial" w:cs="Arial"/>
          <w:b/>
        </w:rPr>
        <w:t xml:space="preserve"> IN 19</w:t>
      </w:r>
      <w:r w:rsidRPr="00B44454">
        <w:rPr>
          <w:rFonts w:ascii="Arial" w:eastAsia="Calibri" w:hAnsi="Arial" w:cs="Arial"/>
          <w:b/>
          <w:highlight w:val="cyan"/>
        </w:rPr>
        <w:t>91</w:t>
      </w:r>
      <w:r w:rsidRPr="00743124">
        <w:rPr>
          <w:rFonts w:ascii="Arial" w:eastAsia="Calibri" w:hAnsi="Arial" w:cs="Arial"/>
          <w:b/>
        </w:rPr>
        <w:t xml:space="preserve"> (PIERRE, COLORADO LAW PROF.  69 TEX L. REV. 1627, JUNE)</w:t>
      </w:r>
    </w:p>
    <w:p w14:paraId="6D89A34E" w14:textId="77777777" w:rsidR="00BE4681" w:rsidRPr="00DC4D39" w:rsidRDefault="00BE4681" w:rsidP="00BE4681">
      <w:r w:rsidRPr="00C41BAA">
        <w:rPr>
          <w:sz w:val="8"/>
        </w:rPr>
        <w:t xml:space="preserve">The </w:t>
      </w:r>
      <w:proofErr w:type="spellStart"/>
      <w:r w:rsidRPr="00C41BAA">
        <w:rPr>
          <w:sz w:val="8"/>
        </w:rPr>
        <w:t>Sartrean</w:t>
      </w:r>
      <w:proofErr w:type="spellEnd"/>
      <w:r w:rsidRPr="00C41BAA">
        <w:rPr>
          <w:sz w:val="8"/>
        </w:rPr>
        <w:t xml:space="preserve"> metaphysic constantly calls for individual subjects to recognize their responsibilities and to choose. The message is this: Avoid bad faith -- choose! But, in a </w:t>
      </w:r>
      <w:proofErr w:type="spellStart"/>
      <w:r w:rsidRPr="00C41BAA">
        <w:rPr>
          <w:sz w:val="8"/>
        </w:rPr>
        <w:t>Foucaultian</w:t>
      </w:r>
      <w:proofErr w:type="spellEnd"/>
      <w:r w:rsidRPr="00C41BAA">
        <w:rPr>
          <w:sz w:val="8"/>
        </w:rPr>
        <w:t xml:space="preserve"> sense, this construction of the subject entails a prevailing unfreedom. Each and every social, legal, and political event is immediately represented as an event calling for a value-based choice. You are free to choose between this and that. But, of course, you are not free. You are not free because</w:t>
      </w:r>
      <w:r w:rsidRPr="0086627A">
        <w:rPr>
          <w:rStyle w:val="Emphasis"/>
        </w:rPr>
        <w:t xml:space="preserve"> </w:t>
      </w:r>
      <w:r w:rsidRPr="000E1045">
        <w:rPr>
          <w:sz w:val="12"/>
        </w:rPr>
        <w:t xml:space="preserve">you are constantly required to reenact the motions of the </w:t>
      </w:r>
      <w:proofErr w:type="spellStart"/>
      <w:r w:rsidRPr="000E1045">
        <w:rPr>
          <w:sz w:val="12"/>
        </w:rPr>
        <w:t>prescripted</w:t>
      </w:r>
      <w:proofErr w:type="spellEnd"/>
      <w:r w:rsidRPr="000E1045">
        <w:rPr>
          <w:sz w:val="12"/>
        </w:rPr>
        <w:t>, already organized configuration of the individual being as choose</w:t>
      </w:r>
      <w:r w:rsidRPr="000E1045">
        <w:rPr>
          <w:sz w:val="10"/>
        </w:rPr>
        <w:t>r.</w:t>
      </w:r>
      <w:r w:rsidRPr="000E1045">
        <w:rPr>
          <w:rFonts w:ascii="Arial" w:eastAsia="Calibri" w:hAnsi="Arial" w:cs="Arial"/>
          <w:b/>
          <w:sz w:val="10"/>
          <w:szCs w:val="20"/>
        </w:rPr>
        <w:t xml:space="preserve"> </w:t>
      </w:r>
      <w:r w:rsidRPr="00C41BAA">
        <w:rPr>
          <w:rFonts w:ascii="Arial" w:eastAsia="Calibri" w:hAnsi="Arial" w:cs="Arial"/>
          <w:sz w:val="8"/>
          <w:szCs w:val="20"/>
        </w:rPr>
        <w:t xml:space="preserve">You have to, you already are constructed and channeled as a choosing being. n275 Not only is this social construction of the self extraordinarily oppressive -- but it often turns out to be absurd as well. Much of its </w:t>
      </w:r>
      <w:r w:rsidRPr="0086627A">
        <w:rPr>
          <w:rStyle w:val="Emphasis"/>
          <w:highlight w:val="cyan"/>
        </w:rPr>
        <w:t>absurdity can be seen in the normative visions that routinely issue from the legal academy urging us to adopt this utopian program or that one -- as if somehow our choices</w:t>
      </w:r>
      <w:r w:rsidRPr="00C41BAA">
        <w:rPr>
          <w:rFonts w:ascii="Arial" w:eastAsia="Calibri" w:hAnsi="Arial" w:cs="Arial"/>
          <w:sz w:val="8"/>
          <w:szCs w:val="20"/>
        </w:rPr>
        <w:t xml:space="preserve"> (I like decentralized socialism, you like conservative pastoral politics</w:t>
      </w:r>
      <w:proofErr w:type="gramStart"/>
      <w:r w:rsidRPr="00C41BAA">
        <w:rPr>
          <w:rFonts w:ascii="Arial" w:eastAsia="Calibri" w:hAnsi="Arial" w:cs="Arial"/>
          <w:sz w:val="8"/>
          <w:szCs w:val="20"/>
        </w:rPr>
        <w:t>, she</w:t>
      </w:r>
      <w:proofErr w:type="gramEnd"/>
      <w:r w:rsidRPr="00C41BAA">
        <w:rPr>
          <w:rFonts w:ascii="Arial" w:eastAsia="Calibri" w:hAnsi="Arial" w:cs="Arial"/>
          <w:sz w:val="8"/>
          <w:szCs w:val="20"/>
        </w:rPr>
        <w:t xml:space="preserve"> </w:t>
      </w:r>
      <w:proofErr w:type="gramStart"/>
      <w:r w:rsidRPr="00C41BAA">
        <w:rPr>
          <w:rFonts w:ascii="Arial" w:eastAsia="Calibri" w:hAnsi="Arial" w:cs="Arial"/>
          <w:sz w:val="8"/>
          <w:szCs w:val="20"/>
        </w:rPr>
        <w:t>likes</w:t>
      </w:r>
      <w:proofErr w:type="gramEnd"/>
      <w:r w:rsidRPr="00C41BAA">
        <w:rPr>
          <w:rFonts w:ascii="Arial" w:eastAsia="Calibri" w:hAnsi="Arial" w:cs="Arial"/>
          <w:sz w:val="8"/>
          <w:szCs w:val="20"/>
        </w:rPr>
        <w:t xml:space="preserve"> liberal cultural pluralism) </w:t>
      </w:r>
      <w:r w:rsidRPr="0086627A">
        <w:rPr>
          <w:rStyle w:val="Emphasis"/>
          <w:highlight w:val="cyan"/>
        </w:rPr>
        <w:t>had any direct</w:t>
      </w:r>
      <w:r w:rsidRPr="00C41BAA">
        <w:rPr>
          <w:rFonts w:ascii="Arial" w:eastAsia="Calibri" w:hAnsi="Arial" w:cs="Arial"/>
          <w:sz w:val="8"/>
          <w:szCs w:val="20"/>
        </w:rPr>
        <w:t xml:space="preserve">, self-identical </w:t>
      </w:r>
      <w:r w:rsidRPr="0086627A">
        <w:rPr>
          <w:rStyle w:val="Emphasis"/>
          <w:highlight w:val="cyan"/>
        </w:rPr>
        <w:t>effect on the</w:t>
      </w:r>
      <w:r w:rsidRPr="00C41BAA">
        <w:rPr>
          <w:rFonts w:ascii="Arial" w:eastAsia="Calibri" w:hAnsi="Arial" w:cs="Arial"/>
          <w:sz w:val="8"/>
          <w:szCs w:val="20"/>
        </w:rPr>
        <w:t xml:space="preserve"> [*1701] </w:t>
      </w:r>
      <w:r w:rsidRPr="0086627A">
        <w:rPr>
          <w:rStyle w:val="Emphasis"/>
          <w:highlight w:val="cyan"/>
        </w:rPr>
        <w:t>construction of our social or political scene</w:t>
      </w:r>
      <w:r w:rsidRPr="00C41BAA">
        <w:rPr>
          <w:rFonts w:ascii="Arial" w:eastAsia="Calibri" w:hAnsi="Arial" w:cs="Arial"/>
          <w:sz w:val="8"/>
          <w:szCs w:val="20"/>
        </w:rPr>
        <w:t xml:space="preserve">. </w:t>
      </w:r>
      <w:r w:rsidRPr="004C3C9F">
        <w:rPr>
          <w:rStyle w:val="Emphasis"/>
          <w:highlight w:val="cyan"/>
        </w:rPr>
        <w:t xml:space="preserve">The critical insistence on making political value choices </w:t>
      </w:r>
      <w:r w:rsidRPr="000E1045">
        <w:rPr>
          <w:sz w:val="8"/>
        </w:rPr>
        <w:t>is utterly captive to a conventional and nostalgic description of the political field -- a description and definition of the field</w:t>
      </w:r>
      <w:r w:rsidRPr="000E1045">
        <w:rPr>
          <w:sz w:val="16"/>
        </w:rPr>
        <w:t xml:space="preserve"> </w:t>
      </w:r>
      <w:r w:rsidRPr="000E1045">
        <w:rPr>
          <w:sz w:val="8"/>
        </w:rPr>
        <w:t>that</w:t>
      </w:r>
      <w:r w:rsidRPr="000E1045">
        <w:rPr>
          <w:rStyle w:val="Emphasis"/>
          <w:sz w:val="8"/>
        </w:rPr>
        <w:t xml:space="preserve"> </w:t>
      </w:r>
      <w:r w:rsidRPr="004C3C9F">
        <w:rPr>
          <w:rStyle w:val="Emphasis"/>
          <w:highlight w:val="cyan"/>
        </w:rPr>
        <w:t xml:space="preserve">is guaranteed to yield political </w:t>
      </w:r>
      <w:r w:rsidRPr="00C41BAA">
        <w:rPr>
          <w:sz w:val="8"/>
        </w:rPr>
        <w:t>disablement and</w:t>
      </w:r>
      <w:r w:rsidRPr="0086627A">
        <w:rPr>
          <w:rStyle w:val="Emphasis"/>
          <w:sz w:val="16"/>
          <w:highlight w:val="cyan"/>
        </w:rPr>
        <w:t xml:space="preserve"> </w:t>
      </w:r>
      <w:r w:rsidRPr="004C3C9F">
        <w:rPr>
          <w:rStyle w:val="Emphasis"/>
          <w:highlight w:val="cyan"/>
        </w:rPr>
        <w:t>disempowerment</w:t>
      </w:r>
      <w:r w:rsidRPr="00C41BAA">
        <w:rPr>
          <w:sz w:val="8"/>
        </w:rPr>
        <w:t>. n276</w:t>
      </w:r>
      <w:r w:rsidRPr="00EA34DF">
        <w:rPr>
          <w:rStyle w:val="Emphasis"/>
          <w:sz w:val="12"/>
        </w:rPr>
        <w:t xml:space="preserve"> </w:t>
      </w:r>
      <w:r w:rsidRPr="004C3C9F">
        <w:rPr>
          <w:rStyle w:val="Emphasis"/>
          <w:highlight w:val="cyan"/>
        </w:rPr>
        <w:t xml:space="preserve">To tell people that they are already empowered </w:t>
      </w:r>
      <w:r w:rsidRPr="00AE6473">
        <w:rPr>
          <w:rStyle w:val="Emphasis"/>
        </w:rPr>
        <w:t xml:space="preserve">to make political value choices </w:t>
      </w:r>
      <w:r w:rsidRPr="004C3C9F">
        <w:rPr>
          <w:rStyle w:val="Emphasis"/>
          <w:highlight w:val="cyan"/>
        </w:rPr>
        <w:t>is</w:t>
      </w:r>
      <w:r w:rsidRPr="00AE6473">
        <w:rPr>
          <w:rStyle w:val="Emphasis"/>
        </w:rPr>
        <w:t xml:space="preserve">, in effect, </w:t>
      </w:r>
      <w:r w:rsidRPr="000E1045">
        <w:rPr>
          <w:sz w:val="12"/>
        </w:rPr>
        <w:t>to bolster the dominant culture's representation that we are free-choosing beings and</w:t>
      </w:r>
      <w:r w:rsidRPr="000E1045">
        <w:rPr>
          <w:rStyle w:val="Emphasis"/>
          <w:sz w:val="12"/>
          <w:highlight w:val="cyan"/>
        </w:rPr>
        <w:t xml:space="preserve"> </w:t>
      </w:r>
      <w:r w:rsidRPr="004C3C9F">
        <w:rPr>
          <w:rStyle w:val="Emphasis"/>
          <w:highlight w:val="cyan"/>
        </w:rPr>
        <w:t>to strengthen t</w:t>
      </w:r>
      <w:r w:rsidRPr="00AE6473">
        <w:rPr>
          <w:rStyle w:val="Emphasis"/>
        </w:rPr>
        <w:t xml:space="preserve">he forces that lead to </w:t>
      </w:r>
      <w:r w:rsidRPr="004C3C9F">
        <w:rPr>
          <w:rStyle w:val="Emphasis"/>
          <w:highlight w:val="cyan"/>
        </w:rPr>
        <w:t xml:space="preserve">our </w:t>
      </w:r>
      <w:r w:rsidRPr="00AE6473">
        <w:rPr>
          <w:rStyle w:val="Emphasis"/>
        </w:rPr>
        <w:t>own repeated, compelled affirmation of (meaningless) choices</w:t>
      </w:r>
      <w:r w:rsidRPr="004C3C9F">
        <w:rPr>
          <w:rStyle w:val="Emphasis"/>
        </w:rPr>
        <w:t>.</w:t>
      </w:r>
      <w:r w:rsidRPr="00C41BAA">
        <w:rPr>
          <w:rFonts w:ascii="Arial" w:eastAsia="Calibri" w:hAnsi="Arial" w:cs="Arial"/>
          <w:sz w:val="8"/>
          <w:szCs w:val="20"/>
        </w:rPr>
        <w:t xml:space="preserve"> n277 By presupposing the authenticity of the </w:t>
      </w:r>
      <w:proofErr w:type="spellStart"/>
      <w:r w:rsidRPr="00C41BAA">
        <w:rPr>
          <w:rFonts w:ascii="Arial" w:eastAsia="Calibri" w:hAnsi="Arial" w:cs="Arial"/>
          <w:sz w:val="8"/>
          <w:szCs w:val="20"/>
        </w:rPr>
        <w:t>Sartrean</w:t>
      </w:r>
      <w:proofErr w:type="spellEnd"/>
      <w:r w:rsidRPr="00C41BAA">
        <w:rPr>
          <w:rFonts w:ascii="Arial" w:eastAsia="Calibri" w:hAnsi="Arial" w:cs="Arial"/>
          <w:sz w:val="8"/>
          <w:szCs w:val="20"/>
        </w:rPr>
        <w:t xml:space="preserve"> subject, critical legal thought has greatly underestimated the extent to which this "free" subject, in its very "freedom to choose," is already constructed to compulsively act out choosing behavior -- regardless of whether the social, political, or rhetorical scene warrants or even enables a choice to be made at all. </w:t>
      </w:r>
      <w:r w:rsidRPr="00C41BAA">
        <w:rPr>
          <w:sz w:val="8"/>
        </w:rPr>
        <w:t xml:space="preserve">In legal thought, the </w:t>
      </w:r>
      <w:r w:rsidRPr="00AE6473">
        <w:rPr>
          <w:rStyle w:val="Emphasis"/>
          <w:highlight w:val="cyan"/>
        </w:rPr>
        <w:t>sterility</w:t>
      </w:r>
      <w:r w:rsidRPr="00E06EE9">
        <w:rPr>
          <w:sz w:val="8"/>
        </w:rPr>
        <w:t xml:space="preserve"> of </w:t>
      </w:r>
      <w:r w:rsidRPr="00C41BAA">
        <w:rPr>
          <w:sz w:val="8"/>
        </w:rPr>
        <w:t xml:space="preserve">this approach is manifest in articles that exhort us to engage in choosing behavior while refraining from telling us what to choose. For instance, a while back John Stick argued that </w:t>
      </w:r>
      <w:proofErr w:type="spellStart"/>
      <w:r w:rsidRPr="00C41BAA">
        <w:rPr>
          <w:sz w:val="8"/>
        </w:rPr>
        <w:t>cls-ers</w:t>
      </w:r>
      <w:proofErr w:type="spellEnd"/>
      <w:r w:rsidRPr="00C41BAA">
        <w:rPr>
          <w:sz w:val="8"/>
        </w:rPr>
        <w:t xml:space="preserve"> and liberals ought to drop epistemic warfare and start arguing about what really counts: politics (conceived, of course, as political value choice). n278 But nothing happened and, of course, that's not surprising. All dressed up and </w:t>
      </w:r>
      <w:proofErr w:type="gramStart"/>
      <w:r w:rsidRPr="00C41BAA">
        <w:rPr>
          <w:sz w:val="8"/>
        </w:rPr>
        <w:t>nowhere</w:t>
      </w:r>
      <w:proofErr w:type="gramEnd"/>
      <w:r w:rsidRPr="00C41BAA">
        <w:rPr>
          <w:sz w:val="8"/>
        </w:rPr>
        <w:t xml:space="preserve"> to go. What are legal thinkers supposed to say? Three cheers for democratic socialism? I (really) like Ike? The Rawlsian difference principle really does require the Rule in Shelley's Case? There is a big and very widespread category mistake at work here: the presupposition that arguing about political values is somehow synonymous with engaging in politics.</w:t>
      </w:r>
      <w:r w:rsidRPr="00C41BAA">
        <w:rPr>
          <w:rStyle w:val="Emphasis"/>
          <w:sz w:val="12"/>
        </w:rPr>
        <w:t xml:space="preserve"> </w:t>
      </w:r>
      <w:r w:rsidRPr="00C41BAA">
        <w:rPr>
          <w:sz w:val="8"/>
        </w:rPr>
        <w:t xml:space="preserve">n279 Talking and arguing about political values is not necessarily (or even usually) political, </w:t>
      </w:r>
      <w:proofErr w:type="spellStart"/>
      <w:r w:rsidRPr="00C41BAA">
        <w:rPr>
          <w:sz w:val="8"/>
        </w:rPr>
        <w:t>anymore</w:t>
      </w:r>
      <w:proofErr w:type="spellEnd"/>
      <w:r w:rsidRPr="00C41BAA">
        <w:rPr>
          <w:sz w:val="8"/>
        </w:rPr>
        <w:t xml:space="preserve"> than talking about football is political. n280 To engage in politics is to engage with [*1702] power. Arguing about political values may or may not engage with power. It depends. But there is no reason to presuppose that academic political value talk has any desired political effect whatsoever. Whether such talk has any desired political effect depends on how the aesthetics of power have enabled and constituted this political value talk and on the context within which this political value talk is issued and heard (assuming it is heard at</w:t>
      </w:r>
    </w:p>
    <w:p w14:paraId="544ADA46" w14:textId="77777777" w:rsidR="00BE4681" w:rsidRPr="00DE2744" w:rsidRDefault="00BE4681" w:rsidP="00BE4681">
      <w:pPr>
        <w:pStyle w:val="Heading4"/>
        <w:rPr>
          <w:rFonts w:eastAsia="Aptos"/>
          <w:b w:val="0"/>
          <w:sz w:val="26"/>
          <w:u w:val="single"/>
        </w:rPr>
      </w:pPr>
      <w:r w:rsidRPr="00743124">
        <w:rPr>
          <w:rFonts w:ascii="Arial" w:eastAsia="Calibri" w:hAnsi="Arial" w:cs="Arial"/>
        </w:rPr>
        <w:br w:type="page"/>
      </w:r>
    </w:p>
    <w:p w14:paraId="56A4A1D8" w14:textId="77777777" w:rsidR="00BE4681" w:rsidRDefault="00BE4681" w:rsidP="00BE4681"/>
    <w:p w14:paraId="04E1C353" w14:textId="77777777" w:rsidR="00BE4681" w:rsidRPr="00DE2744" w:rsidRDefault="00BE4681" w:rsidP="00BE4681">
      <w:pPr>
        <w:pStyle w:val="Heading4"/>
      </w:pPr>
      <w:r w:rsidRPr="00DE2744">
        <w:t xml:space="preserve">Link- Roleplaying as </w:t>
      </w:r>
      <w:r>
        <w:t>the State</w:t>
      </w:r>
      <w:r w:rsidRPr="00DE2744">
        <w:t xml:space="preserve">-ROLEPLAYING ONLY TRAINS US TO BECOME SERVANTS TO THE BUREAUCRACY AND MAKES US COGNITIVELY DEFENSELESS AGAINST THE LOGIC OF INSTITUTIONS. ROLE PLAYING IN POLICY DEBATE TRAINS US TO BE </w:t>
      </w:r>
      <w:r>
        <w:t xml:space="preserve">BETTER </w:t>
      </w:r>
      <w:r w:rsidRPr="00DE2744">
        <w:t>NEOLIB</w:t>
      </w:r>
      <w:r>
        <w:t>ERA</w:t>
      </w:r>
      <w:r w:rsidRPr="00DE2744">
        <w:t>L GENOCIDERS</w:t>
      </w:r>
      <w:r>
        <w:t xml:space="preserve"> </w:t>
      </w:r>
    </w:p>
    <w:p w14:paraId="640EF12F" w14:textId="77777777" w:rsidR="00BE4681" w:rsidRPr="009F4359" w:rsidRDefault="00BE4681" w:rsidP="00BE4681">
      <w:pPr>
        <w:spacing w:line="254" w:lineRule="auto"/>
        <w:rPr>
          <w:rFonts w:eastAsia="Calibri"/>
        </w:rPr>
      </w:pPr>
      <w:r w:rsidRPr="009F4359">
        <w:rPr>
          <w:rFonts w:eastAsia="Calibri"/>
          <w:b/>
          <w:bCs/>
          <w:sz w:val="26"/>
          <w:highlight w:val="green"/>
        </w:rPr>
        <w:t>ELLIS</w:t>
      </w:r>
      <w:r w:rsidRPr="009F4359">
        <w:rPr>
          <w:rFonts w:eastAsia="Calibri"/>
        </w:rPr>
        <w:t xml:space="preserve"> IN 20</w:t>
      </w:r>
      <w:r w:rsidRPr="009F4359">
        <w:rPr>
          <w:rFonts w:eastAsia="Calibri"/>
          <w:b/>
          <w:bCs/>
          <w:sz w:val="26"/>
          <w:highlight w:val="green"/>
        </w:rPr>
        <w:t>04</w:t>
      </w:r>
      <w:r w:rsidRPr="009F4359">
        <w:rPr>
          <w:rFonts w:eastAsia="Calibri"/>
        </w:rPr>
        <w:t xml:space="preserve"> </w:t>
      </w:r>
    </w:p>
    <w:p w14:paraId="2C479475" w14:textId="77777777" w:rsidR="00BE4681" w:rsidRPr="009F4359" w:rsidRDefault="00BE4681" w:rsidP="00BE4681">
      <w:pPr>
        <w:spacing w:line="254" w:lineRule="auto"/>
        <w:rPr>
          <w:rFonts w:eastAsia="Calibri"/>
        </w:rPr>
      </w:pPr>
      <w:r w:rsidRPr="009F4359">
        <w:rPr>
          <w:rFonts w:eastAsia="Calibri"/>
        </w:rPr>
        <w:t>(ANDY, DEBATE CRITIC, MESSAGE POSTED TO EDEBATE, ARCHIVED AT HTTP://WWW.NDTCEDA.COM/ARCHIVES/200404/0463.HTML)</w:t>
      </w:r>
    </w:p>
    <w:p w14:paraId="5117140F" w14:textId="77777777" w:rsidR="00BE4681" w:rsidRPr="00AE17C2" w:rsidRDefault="00BE4681" w:rsidP="00BE4681">
      <w:pPr>
        <w:spacing w:line="254" w:lineRule="auto"/>
        <w:rPr>
          <w:rFonts w:eastAsia="Calibri"/>
          <w:sz w:val="14"/>
        </w:rPr>
      </w:pPr>
      <w:r w:rsidRPr="007F275C">
        <w:rPr>
          <w:rFonts w:eastAsia="Calibri"/>
          <w:sz w:val="14"/>
        </w:rPr>
        <w:t xml:space="preserve">3)Lets make this argument perfectly clear too, </w:t>
      </w:r>
      <w:proofErr w:type="spellStart"/>
      <w:r w:rsidRPr="007F275C">
        <w:rPr>
          <w:rFonts w:eastAsia="Calibri"/>
          <w:sz w:val="14"/>
        </w:rPr>
        <w:t>its</w:t>
      </w:r>
      <w:proofErr w:type="spellEnd"/>
      <w:r w:rsidRPr="007F275C">
        <w:rPr>
          <w:rFonts w:eastAsia="Calibri"/>
          <w:sz w:val="14"/>
        </w:rPr>
        <w:t xml:space="preserve"> not just ok to be like </w:t>
      </w:r>
      <w:proofErr w:type="spellStart"/>
      <w:r w:rsidRPr="007F275C">
        <w:rPr>
          <w:rFonts w:eastAsia="Calibri"/>
          <w:sz w:val="14"/>
        </w:rPr>
        <w:t>i</w:t>
      </w:r>
      <w:proofErr w:type="spellEnd"/>
      <w:r w:rsidRPr="007F275C">
        <w:rPr>
          <w:rFonts w:eastAsia="Calibri"/>
          <w:sz w:val="14"/>
        </w:rPr>
        <w:t xml:space="preserve"> </w:t>
      </w:r>
      <w:proofErr w:type="spellStart"/>
      <w:r w:rsidRPr="007F275C">
        <w:rPr>
          <w:rFonts w:eastAsia="Calibri"/>
          <w:sz w:val="14"/>
        </w:rPr>
        <w:t>wanna</w:t>
      </w:r>
      <w:proofErr w:type="spellEnd"/>
      <w:r w:rsidRPr="007F275C">
        <w:rPr>
          <w:rFonts w:eastAsia="Calibri"/>
          <w:sz w:val="14"/>
        </w:rPr>
        <w:t xml:space="preserve"> work on the hill or </w:t>
      </w:r>
      <w:proofErr w:type="spellStart"/>
      <w:r w:rsidRPr="007F275C">
        <w:rPr>
          <w:rFonts w:eastAsia="Calibri"/>
          <w:sz w:val="14"/>
        </w:rPr>
        <w:t>i</w:t>
      </w:r>
      <w:proofErr w:type="spellEnd"/>
      <w:r w:rsidRPr="007F275C">
        <w:rPr>
          <w:rFonts w:eastAsia="Calibri"/>
          <w:sz w:val="14"/>
        </w:rPr>
        <w:t xml:space="preserve"> </w:t>
      </w:r>
      <w:proofErr w:type="spellStart"/>
      <w:r w:rsidRPr="007F275C">
        <w:rPr>
          <w:rFonts w:eastAsia="Calibri"/>
          <w:sz w:val="14"/>
        </w:rPr>
        <w:t>wanna</w:t>
      </w:r>
      <w:proofErr w:type="spellEnd"/>
      <w:r w:rsidRPr="007F275C">
        <w:rPr>
          <w:rFonts w:eastAsia="Calibri"/>
          <w:sz w:val="14"/>
        </w:rPr>
        <w:t xml:space="preserve"> work in the </w:t>
      </w:r>
      <w:proofErr w:type="spellStart"/>
      <w:r w:rsidRPr="007F275C">
        <w:rPr>
          <w:rFonts w:eastAsia="Calibri"/>
          <w:sz w:val="14"/>
        </w:rPr>
        <w:t>washington</w:t>
      </w:r>
      <w:proofErr w:type="spellEnd"/>
      <w:r w:rsidRPr="007F275C">
        <w:rPr>
          <w:rFonts w:eastAsia="Calibri"/>
          <w:sz w:val="14"/>
        </w:rPr>
        <w:t xml:space="preserve"> think tank establishment any more than its ok to be all like well </w:t>
      </w:r>
      <w:proofErr w:type="spellStart"/>
      <w:r w:rsidRPr="007F275C">
        <w:rPr>
          <w:rFonts w:eastAsia="Calibri"/>
          <w:sz w:val="14"/>
        </w:rPr>
        <w:t>i</w:t>
      </w:r>
      <w:proofErr w:type="spellEnd"/>
      <w:r w:rsidRPr="007F275C">
        <w:rPr>
          <w:rFonts w:eastAsia="Calibri"/>
          <w:sz w:val="14"/>
        </w:rPr>
        <w:t xml:space="preserve"> </w:t>
      </w:r>
      <w:proofErr w:type="spellStart"/>
      <w:r w:rsidRPr="007F275C">
        <w:rPr>
          <w:rFonts w:eastAsia="Calibri"/>
          <w:sz w:val="14"/>
        </w:rPr>
        <w:t>dont</w:t>
      </w:r>
      <w:proofErr w:type="spellEnd"/>
      <w:r w:rsidRPr="007F275C">
        <w:rPr>
          <w:rFonts w:eastAsia="Calibri"/>
          <w:sz w:val="14"/>
        </w:rPr>
        <w:t xml:space="preserve"> like the third </w:t>
      </w:r>
      <w:proofErr w:type="spellStart"/>
      <w:r w:rsidRPr="007F275C">
        <w:rPr>
          <w:rFonts w:eastAsia="Calibri"/>
          <w:sz w:val="14"/>
        </w:rPr>
        <w:t>reich</w:t>
      </w:r>
      <w:proofErr w:type="spellEnd"/>
      <w:r w:rsidRPr="007F275C">
        <w:rPr>
          <w:rFonts w:eastAsia="Calibri"/>
          <w:sz w:val="14"/>
        </w:rPr>
        <w:t xml:space="preserve"> but that internship at the </w:t>
      </w:r>
      <w:proofErr w:type="spellStart"/>
      <w:r w:rsidRPr="007F275C">
        <w:rPr>
          <w:rFonts w:eastAsia="Calibri"/>
          <w:sz w:val="14"/>
        </w:rPr>
        <w:t>chancelors</w:t>
      </w:r>
      <w:proofErr w:type="spellEnd"/>
      <w:r w:rsidRPr="007F275C">
        <w:rPr>
          <w:rFonts w:eastAsia="Calibri"/>
          <w:sz w:val="14"/>
        </w:rPr>
        <w:t xml:space="preserve"> assistant is a good career move, </w:t>
      </w:r>
      <w:r w:rsidRPr="00AA0837">
        <w:rPr>
          <w:rStyle w:val="Emphasis"/>
        </w:rPr>
        <w:t xml:space="preserve">people </w:t>
      </w:r>
      <w:proofErr w:type="spellStart"/>
      <w:r w:rsidRPr="00AA0837">
        <w:rPr>
          <w:rStyle w:val="Emphasis"/>
        </w:rPr>
        <w:t>wont</w:t>
      </w:r>
      <w:proofErr w:type="spellEnd"/>
      <w:r w:rsidRPr="00AA0837">
        <w:rPr>
          <w:rStyle w:val="Emphasis"/>
        </w:rPr>
        <w:t xml:space="preserve"> say this because we are all supposed to be civil in this activity but </w:t>
      </w:r>
      <w:r w:rsidRPr="00AA0837">
        <w:rPr>
          <w:rStyle w:val="Emphasis"/>
          <w:highlight w:val="green"/>
        </w:rPr>
        <w:t xml:space="preserve">what many of the community members use debate as </w:t>
      </w:r>
      <w:proofErr w:type="spellStart"/>
      <w:r w:rsidRPr="00AA0837">
        <w:rPr>
          <w:rStyle w:val="Emphasis"/>
          <w:highlight w:val="green"/>
        </w:rPr>
        <w:t>preperation</w:t>
      </w:r>
      <w:proofErr w:type="spellEnd"/>
      <w:r w:rsidRPr="00AA0837">
        <w:rPr>
          <w:rStyle w:val="Emphasis"/>
          <w:highlight w:val="green"/>
        </w:rPr>
        <w:t xml:space="preserve"> for is </w:t>
      </w:r>
      <w:proofErr w:type="spellStart"/>
      <w:r w:rsidRPr="00AA0837">
        <w:rPr>
          <w:rStyle w:val="Emphasis"/>
          <w:highlight w:val="green"/>
        </w:rPr>
        <w:t>preperation</w:t>
      </w:r>
      <w:proofErr w:type="spellEnd"/>
      <w:r w:rsidRPr="00AA0837">
        <w:rPr>
          <w:rStyle w:val="Emphasis"/>
          <w:highlight w:val="green"/>
        </w:rPr>
        <w:t xml:space="preserve"> for a kind of thinking that has left millions</w:t>
      </w:r>
      <w:r w:rsidRPr="00E06EE9">
        <w:rPr>
          <w:rFonts w:eastAsia="Calibri"/>
          <w:sz w:val="14"/>
        </w:rPr>
        <w:t xml:space="preserve"> of </w:t>
      </w:r>
      <w:r w:rsidRPr="00AA0837">
        <w:rPr>
          <w:rFonts w:eastAsia="Calibri"/>
          <w:b/>
          <w:iCs/>
          <w:sz w:val="26"/>
          <w:highlight w:val="green"/>
          <w:u w:val="single"/>
        </w:rPr>
        <w:t>dead</w:t>
      </w:r>
      <w:r w:rsidRPr="00E06EE9">
        <w:rPr>
          <w:rFonts w:eastAsia="Calibri"/>
          <w:sz w:val="14"/>
        </w:rPr>
        <w:t xml:space="preserve"> bodies scattered here and </w:t>
      </w:r>
      <w:r w:rsidRPr="00AA0837">
        <w:rPr>
          <w:rFonts w:eastAsia="Calibri"/>
          <w:b/>
          <w:iCs/>
          <w:sz w:val="26"/>
          <w:u w:val="single"/>
        </w:rPr>
        <w:t>around the world</w:t>
      </w:r>
      <w:r w:rsidRPr="00AA0837">
        <w:rPr>
          <w:rFonts w:eastAsia="Calibri"/>
          <w:sz w:val="14"/>
        </w:rPr>
        <w:t xml:space="preserve">. When people say well </w:t>
      </w:r>
      <w:proofErr w:type="spellStart"/>
      <w:r w:rsidRPr="00AA0837">
        <w:rPr>
          <w:rFonts w:eastAsia="Calibri"/>
          <w:sz w:val="14"/>
        </w:rPr>
        <w:t>i</w:t>
      </w:r>
      <w:proofErr w:type="spellEnd"/>
      <w:r w:rsidRPr="00AA0837">
        <w:rPr>
          <w:rFonts w:eastAsia="Calibri"/>
          <w:sz w:val="14"/>
        </w:rPr>
        <w:t xml:space="preserve"> do this because </w:t>
      </w:r>
      <w:proofErr w:type="spellStart"/>
      <w:r w:rsidRPr="00AA0837">
        <w:rPr>
          <w:rFonts w:eastAsia="Calibri"/>
          <w:sz w:val="14"/>
        </w:rPr>
        <w:t>i</w:t>
      </w:r>
      <w:proofErr w:type="spellEnd"/>
      <w:r w:rsidRPr="00AA0837">
        <w:rPr>
          <w:rFonts w:eastAsia="Calibri"/>
          <w:sz w:val="14"/>
        </w:rPr>
        <w:t xml:space="preserve"> </w:t>
      </w:r>
      <w:proofErr w:type="spellStart"/>
      <w:r w:rsidRPr="00AA0837">
        <w:rPr>
          <w:rFonts w:eastAsia="Calibri"/>
          <w:sz w:val="14"/>
        </w:rPr>
        <w:t>wanna</w:t>
      </w:r>
      <w:proofErr w:type="spellEnd"/>
      <w:r w:rsidRPr="00AA0837">
        <w:rPr>
          <w:rFonts w:eastAsia="Calibri"/>
          <w:sz w:val="14"/>
        </w:rPr>
        <w:t xml:space="preserve"> be a congressman so </w:t>
      </w:r>
      <w:proofErr w:type="spellStart"/>
      <w:r w:rsidRPr="00AA0837">
        <w:rPr>
          <w:rFonts w:eastAsia="Calibri"/>
          <w:sz w:val="14"/>
        </w:rPr>
        <w:t>i</w:t>
      </w:r>
      <w:proofErr w:type="spellEnd"/>
      <w:r w:rsidRPr="00AA0837">
        <w:rPr>
          <w:rFonts w:eastAsia="Calibri"/>
          <w:sz w:val="14"/>
        </w:rPr>
        <w:t xml:space="preserve"> have to have traditional debate so </w:t>
      </w:r>
      <w:proofErr w:type="spellStart"/>
      <w:r w:rsidRPr="00AA0837">
        <w:rPr>
          <w:rFonts w:eastAsia="Calibri"/>
          <w:sz w:val="14"/>
        </w:rPr>
        <w:t>i</w:t>
      </w:r>
      <w:proofErr w:type="spellEnd"/>
      <w:r w:rsidRPr="00AA0837">
        <w:rPr>
          <w:rFonts w:eastAsia="Calibri"/>
          <w:sz w:val="14"/>
        </w:rPr>
        <w:t xml:space="preserve"> can prepare </w:t>
      </w:r>
      <w:proofErr w:type="spellStart"/>
      <w:r w:rsidRPr="00AA0837">
        <w:rPr>
          <w:rFonts w:eastAsia="Calibri"/>
          <w:sz w:val="14"/>
        </w:rPr>
        <w:t>i</w:t>
      </w:r>
      <w:proofErr w:type="spellEnd"/>
      <w:r w:rsidRPr="00AA0837">
        <w:rPr>
          <w:rFonts w:eastAsia="Calibri"/>
          <w:sz w:val="14"/>
        </w:rPr>
        <w:t xml:space="preserve"> say see you </w:t>
      </w:r>
      <w:proofErr w:type="spellStart"/>
      <w:r w:rsidRPr="00AA0837">
        <w:rPr>
          <w:rFonts w:eastAsia="Calibri"/>
          <w:sz w:val="14"/>
        </w:rPr>
        <w:t>dont</w:t>
      </w:r>
      <w:proofErr w:type="spellEnd"/>
      <w:r w:rsidRPr="00AA0837">
        <w:rPr>
          <w:rFonts w:eastAsia="Calibri"/>
          <w:sz w:val="14"/>
        </w:rPr>
        <w:t xml:space="preserve"> know how right you are, my experience with much actual </w:t>
      </w:r>
      <w:r w:rsidRPr="00AA0837">
        <w:rPr>
          <w:rStyle w:val="Emphasis"/>
        </w:rPr>
        <w:t xml:space="preserve">policy making is that it is a lot like traditional </w:t>
      </w:r>
      <w:proofErr w:type="spellStart"/>
      <w:r w:rsidRPr="00AA0837">
        <w:rPr>
          <w:rStyle w:val="Emphasis"/>
        </w:rPr>
        <w:t>deate</w:t>
      </w:r>
      <w:proofErr w:type="spellEnd"/>
      <w:r w:rsidRPr="00AA0837">
        <w:rPr>
          <w:rStyle w:val="Emphasis"/>
        </w:rPr>
        <w:t>, decisions</w:t>
      </w:r>
      <w:r w:rsidRPr="00AA0837">
        <w:rPr>
          <w:rFonts w:eastAsia="Calibri"/>
          <w:b/>
          <w:iCs/>
          <w:sz w:val="26"/>
          <w:u w:val="single"/>
        </w:rPr>
        <w:t xml:space="preserve"> made in a hermetically sealed insular context free from public participation and input in which the bodies of those most effected by the decision are wielded entirely out of their control,</w:t>
      </w:r>
      <w:r w:rsidRPr="007F275C">
        <w:rPr>
          <w:rFonts w:eastAsia="Calibri"/>
          <w:sz w:val="14"/>
        </w:rPr>
        <w:t xml:space="preserve"> </w:t>
      </w:r>
      <w:proofErr w:type="spellStart"/>
      <w:r w:rsidRPr="007F275C">
        <w:rPr>
          <w:rFonts w:eastAsia="Calibri"/>
          <w:sz w:val="14"/>
        </w:rPr>
        <w:t>decisons</w:t>
      </w:r>
      <w:proofErr w:type="spellEnd"/>
      <w:r w:rsidRPr="007F275C">
        <w:rPr>
          <w:rFonts w:eastAsia="Calibri"/>
          <w:sz w:val="14"/>
        </w:rPr>
        <w:t xml:space="preserve"> are always played out on a gameboard and made in a calculative way, </w:t>
      </w:r>
      <w:r w:rsidRPr="00AE17C2">
        <w:rPr>
          <w:sz w:val="14"/>
        </w:rPr>
        <w:t xml:space="preserve">much like debates most of the real policymaking is made by privileged white males in closed door settings, much like traditional debate a discourse of expertise is utilized to exclude anybody who </w:t>
      </w:r>
      <w:proofErr w:type="spellStart"/>
      <w:r w:rsidRPr="00AE17C2">
        <w:rPr>
          <w:sz w:val="14"/>
        </w:rPr>
        <w:t>doesnt</w:t>
      </w:r>
      <w:proofErr w:type="spellEnd"/>
      <w:r w:rsidRPr="00AE17C2">
        <w:rPr>
          <w:sz w:val="14"/>
        </w:rPr>
        <w:t xml:space="preserve"> know the language, </w:t>
      </w:r>
      <w:r w:rsidRPr="00AA0837">
        <w:rPr>
          <w:sz w:val="14"/>
        </w:rPr>
        <w:t>so</w:t>
      </w:r>
      <w:r w:rsidRPr="00AA0837">
        <w:rPr>
          <w:rStyle w:val="Emphasis"/>
          <w:sz w:val="14"/>
        </w:rPr>
        <w:t xml:space="preserve"> </w:t>
      </w:r>
      <w:r w:rsidRPr="00AA0837">
        <w:rPr>
          <w:rStyle w:val="Emphasis"/>
        </w:rPr>
        <w:t xml:space="preserve">yes debate is preparation for the policy making process, but instead of a reason why to keep going </w:t>
      </w:r>
      <w:proofErr w:type="spellStart"/>
      <w:r w:rsidRPr="00AA0837">
        <w:rPr>
          <w:rStyle w:val="Emphasis"/>
        </w:rPr>
        <w:t>its</w:t>
      </w:r>
      <w:proofErr w:type="spellEnd"/>
      <w:r w:rsidRPr="00AA0837">
        <w:rPr>
          <w:rStyle w:val="Emphasis"/>
        </w:rPr>
        <w:t xml:space="preserve"> a reason to take action to intervene against the genocidal condensation</w:t>
      </w:r>
      <w:r w:rsidRPr="00AA0837">
        <w:rPr>
          <w:rFonts w:eastAsia="Calibri"/>
          <w:sz w:val="14"/>
        </w:rPr>
        <w:t xml:space="preserve"> that exists within the preparatory pedagogy that jake and a bunch of other people simply find fun...lots of people like bull fighting too, </w:t>
      </w:r>
      <w:proofErr w:type="spellStart"/>
      <w:r w:rsidRPr="00AA0837">
        <w:rPr>
          <w:rFonts w:eastAsia="Calibri"/>
          <w:sz w:val="14"/>
        </w:rPr>
        <w:t>doesnt</w:t>
      </w:r>
      <w:proofErr w:type="spellEnd"/>
      <w:r w:rsidRPr="00AA0837">
        <w:rPr>
          <w:rFonts w:eastAsia="Calibri"/>
          <w:sz w:val="14"/>
        </w:rPr>
        <w:t xml:space="preserve"> mean that your fun is free </w:t>
      </w:r>
      <w:r w:rsidRPr="00AA0837">
        <w:rPr>
          <w:rStyle w:val="Emphasis"/>
        </w:rPr>
        <w:t>of complicity in bad shit</w:t>
      </w:r>
      <w:r w:rsidRPr="007F275C">
        <w:rPr>
          <w:rFonts w:eastAsia="Calibri"/>
          <w:sz w:val="14"/>
        </w:rPr>
        <w:t xml:space="preserve"> 4)</w:t>
      </w:r>
      <w:r w:rsidRPr="007F275C">
        <w:rPr>
          <w:sz w:val="14"/>
        </w:rPr>
        <w:t xml:space="preserve">before you tell me about all the good </w:t>
      </w:r>
      <w:r w:rsidRPr="00AA0837">
        <w:rPr>
          <w:rStyle w:val="Emphasis"/>
          <w:highlight w:val="green"/>
        </w:rPr>
        <w:t>policy makers</w:t>
      </w:r>
      <w:r w:rsidRPr="007F275C">
        <w:rPr>
          <w:sz w:val="14"/>
        </w:rPr>
        <w:t xml:space="preserve"> who have </w:t>
      </w:r>
      <w:r w:rsidRPr="00AA0837">
        <w:rPr>
          <w:rStyle w:val="Emphasis"/>
          <w:highlight w:val="green"/>
        </w:rPr>
        <w:t>come out of debate</w:t>
      </w:r>
      <w:r w:rsidRPr="007F275C">
        <w:rPr>
          <w:sz w:val="14"/>
        </w:rPr>
        <w:t xml:space="preserve"> that would have otherwise been </w:t>
      </w:r>
      <w:r w:rsidRPr="00AA0837">
        <w:rPr>
          <w:rStyle w:val="Emphasis"/>
          <w:highlight w:val="green"/>
        </w:rPr>
        <w:t>eviler genocidal fucks,</w:t>
      </w:r>
      <w:r w:rsidRPr="00AA0837">
        <w:rPr>
          <w:rFonts w:eastAsia="Calibri"/>
          <w:b/>
          <w:iCs/>
          <w:sz w:val="16"/>
          <w:highlight w:val="green"/>
          <w:u w:val="single"/>
        </w:rPr>
        <w:t xml:space="preserve"> </w:t>
      </w:r>
      <w:r w:rsidRPr="009F4359">
        <w:rPr>
          <w:rFonts w:eastAsia="Calibri"/>
          <w:b/>
          <w:iCs/>
          <w:sz w:val="26"/>
          <w:highlight w:val="green"/>
          <w:u w:val="single"/>
        </w:rPr>
        <w:t xml:space="preserve">consider the massive amounts of lawyers and policymakers who we have taught to be better </w:t>
      </w:r>
      <w:proofErr w:type="spellStart"/>
      <w:r w:rsidRPr="009F4359">
        <w:rPr>
          <w:rFonts w:eastAsia="Calibri"/>
          <w:b/>
          <w:iCs/>
          <w:sz w:val="26"/>
          <w:highlight w:val="green"/>
          <w:u w:val="single"/>
        </w:rPr>
        <w:t>genocideres</w:t>
      </w:r>
      <w:proofErr w:type="spellEnd"/>
      <w:r w:rsidRPr="007F275C">
        <w:rPr>
          <w:rFonts w:eastAsia="Calibri"/>
          <w:sz w:val="14"/>
        </w:rPr>
        <w:t xml:space="preserve">, those folks who will now be </w:t>
      </w:r>
      <w:r w:rsidRPr="00AA0837">
        <w:rPr>
          <w:rStyle w:val="Emphasis"/>
          <w:highlight w:val="green"/>
        </w:rPr>
        <w:t>better prosecutors better imperial planners,</w:t>
      </w:r>
      <w:r w:rsidRPr="007F275C">
        <w:rPr>
          <w:rFonts w:eastAsia="Calibri"/>
          <w:sz w:val="14"/>
        </w:rPr>
        <w:t xml:space="preserve"> </w:t>
      </w:r>
      <w:r w:rsidRPr="009F4359">
        <w:rPr>
          <w:rFonts w:eastAsia="Calibri"/>
          <w:b/>
          <w:iCs/>
          <w:sz w:val="26"/>
          <w:highlight w:val="green"/>
          <w:u w:val="single"/>
        </w:rPr>
        <w:t>better able to add liberal</w:t>
      </w:r>
      <w:r>
        <w:rPr>
          <w:rFonts w:eastAsia="Calibri"/>
          <w:b/>
          <w:iCs/>
          <w:sz w:val="26"/>
          <w:highlight w:val="green"/>
          <w:u w:val="single"/>
        </w:rPr>
        <w:t xml:space="preserve"> </w:t>
      </w:r>
      <w:r w:rsidRPr="009F4359">
        <w:rPr>
          <w:rFonts w:eastAsia="Calibri"/>
          <w:b/>
          <w:iCs/>
          <w:sz w:val="26"/>
          <w:highlight w:val="green"/>
          <w:u w:val="single"/>
        </w:rPr>
        <w:t>legitimacy to the</w:t>
      </w:r>
      <w:r w:rsidRPr="007F275C">
        <w:rPr>
          <w:rFonts w:eastAsia="Calibri"/>
          <w:sz w:val="14"/>
        </w:rPr>
        <w:t xml:space="preserve"> </w:t>
      </w:r>
      <w:proofErr w:type="spellStart"/>
      <w:r w:rsidRPr="007F275C">
        <w:rPr>
          <w:rFonts w:eastAsia="Calibri"/>
          <w:sz w:val="14"/>
        </w:rPr>
        <w:t>pnac</w:t>
      </w:r>
      <w:proofErr w:type="spellEnd"/>
      <w:r w:rsidRPr="007F275C">
        <w:rPr>
          <w:rFonts w:eastAsia="Calibri"/>
          <w:sz w:val="14"/>
        </w:rPr>
        <w:t xml:space="preserve"> </w:t>
      </w:r>
      <w:r w:rsidRPr="009F4359">
        <w:rPr>
          <w:rFonts w:eastAsia="Calibri"/>
          <w:b/>
          <w:iCs/>
          <w:sz w:val="26"/>
          <w:highlight w:val="green"/>
          <w:u w:val="single"/>
        </w:rPr>
        <w:t>empire</w:t>
      </w:r>
      <w:r w:rsidRPr="007F275C">
        <w:rPr>
          <w:rFonts w:eastAsia="Calibri"/>
          <w:sz w:val="14"/>
        </w:rPr>
        <w:t xml:space="preserve"> machine, simply put </w:t>
      </w:r>
      <w:proofErr w:type="spellStart"/>
      <w:r w:rsidRPr="007F275C">
        <w:rPr>
          <w:rFonts w:eastAsia="Calibri"/>
          <w:sz w:val="14"/>
        </w:rPr>
        <w:t>i</w:t>
      </w:r>
      <w:proofErr w:type="spellEnd"/>
      <w:r w:rsidRPr="007F275C">
        <w:rPr>
          <w:rFonts w:eastAsia="Calibri"/>
          <w:sz w:val="14"/>
        </w:rPr>
        <w:t xml:space="preserve"> </w:t>
      </w:r>
      <w:proofErr w:type="spellStart"/>
      <w:r w:rsidRPr="007F275C">
        <w:rPr>
          <w:rFonts w:eastAsia="Calibri"/>
          <w:sz w:val="14"/>
        </w:rPr>
        <w:t>dont</w:t>
      </w:r>
      <w:proofErr w:type="spellEnd"/>
      <w:r w:rsidRPr="007F275C">
        <w:rPr>
          <w:rFonts w:eastAsia="Calibri"/>
          <w:sz w:val="14"/>
        </w:rPr>
        <w:t xml:space="preserve"> doubt that many of you are </w:t>
      </w:r>
      <w:proofErr w:type="spellStart"/>
      <w:r w:rsidRPr="007F275C">
        <w:rPr>
          <w:rFonts w:eastAsia="Calibri"/>
          <w:sz w:val="14"/>
        </w:rPr>
        <w:t>prearing</w:t>
      </w:r>
      <w:proofErr w:type="spellEnd"/>
      <w:r w:rsidRPr="007F275C">
        <w:rPr>
          <w:rFonts w:eastAsia="Calibri"/>
          <w:sz w:val="14"/>
        </w:rPr>
        <w:t xml:space="preserve"> for a future in politics, my problem is with the way you prepare and what you are </w:t>
      </w:r>
      <w:proofErr w:type="spellStart"/>
      <w:r w:rsidRPr="007F275C">
        <w:rPr>
          <w:rFonts w:eastAsia="Calibri"/>
          <w:sz w:val="14"/>
        </w:rPr>
        <w:t>preapring</w:t>
      </w:r>
      <w:proofErr w:type="spellEnd"/>
      <w:r w:rsidRPr="007F275C">
        <w:rPr>
          <w:rFonts w:eastAsia="Calibri"/>
          <w:sz w:val="14"/>
        </w:rPr>
        <w:t xml:space="preserve"> for. </w:t>
      </w:r>
    </w:p>
    <w:p w14:paraId="7D696F31" w14:textId="77777777" w:rsidR="00BE4681" w:rsidRDefault="00BE4681" w:rsidP="00BE4681"/>
    <w:p w14:paraId="50DBB2A5" w14:textId="77777777" w:rsidR="00BE4681" w:rsidRPr="00DE2744" w:rsidRDefault="00BE4681" w:rsidP="00BE4681">
      <w:pPr>
        <w:pStyle w:val="Heading3"/>
        <w:rPr>
          <w:rFonts w:eastAsia="Calibri"/>
          <w:sz w:val="14"/>
        </w:rPr>
      </w:pPr>
      <w:r>
        <w:rPr>
          <w:rFonts w:eastAsia="Calibri"/>
        </w:rPr>
        <w:t>Impacts</w:t>
      </w:r>
      <w:r w:rsidRPr="007F275C">
        <w:rPr>
          <w:rFonts w:eastAsia="Calibri"/>
          <w:sz w:val="14"/>
        </w:rPr>
        <w:t xml:space="preserve"> </w:t>
      </w:r>
    </w:p>
    <w:p w14:paraId="176149EC" w14:textId="77777777" w:rsidR="00BE4681" w:rsidRPr="00F7269D" w:rsidRDefault="00BE4681" w:rsidP="00BE4681">
      <w:pPr>
        <w:keepNext/>
        <w:keepLines/>
        <w:spacing w:before="40" w:after="0"/>
        <w:outlineLvl w:val="3"/>
        <w:rPr>
          <w:rFonts w:eastAsia="Times New Roman" w:cs="Times New Roman"/>
          <w:b/>
          <w:iCs/>
          <w:sz w:val="32"/>
        </w:rPr>
      </w:pPr>
      <w:r>
        <w:rPr>
          <w:rFonts w:eastAsia="Times New Roman" w:cs="Times New Roman"/>
          <w:b/>
          <w:iCs/>
          <w:sz w:val="32"/>
        </w:rPr>
        <w:t>Fiat causes debaters to alienate themselves from change- it destroys advocacy</w:t>
      </w:r>
    </w:p>
    <w:p w14:paraId="0A5D9E62" w14:textId="77777777" w:rsidR="00BE4681" w:rsidRPr="007F275C" w:rsidRDefault="00BE4681" w:rsidP="00BE4681">
      <w:pPr>
        <w:autoSpaceDE w:val="0"/>
        <w:autoSpaceDN w:val="0"/>
        <w:adjustRightInd w:val="0"/>
        <w:rPr>
          <w:rFonts w:ascii="Arial" w:eastAsia="Calibri" w:hAnsi="Arial" w:cs="Arial"/>
          <w:bCs/>
          <w:sz w:val="20"/>
          <w:szCs w:val="20"/>
        </w:rPr>
      </w:pPr>
      <w:r w:rsidRPr="00DA139F">
        <w:rPr>
          <w:rStyle w:val="Style13ptBold"/>
          <w:highlight w:val="green"/>
        </w:rPr>
        <w:t>Mitchell</w:t>
      </w:r>
      <w:r w:rsidRPr="00743124">
        <w:rPr>
          <w:rFonts w:ascii="Arial" w:eastAsia="Calibri" w:hAnsi="Arial" w:cs="Arial"/>
          <w:b/>
          <w:sz w:val="20"/>
          <w:szCs w:val="20"/>
        </w:rPr>
        <w:t xml:space="preserve"> in </w:t>
      </w:r>
      <w:r w:rsidRPr="00DA139F">
        <w:rPr>
          <w:rStyle w:val="Style13ptBold"/>
        </w:rPr>
        <w:t>19</w:t>
      </w:r>
      <w:r w:rsidRPr="00DA139F">
        <w:rPr>
          <w:rStyle w:val="Style13ptBold"/>
          <w:highlight w:val="green"/>
        </w:rPr>
        <w:t>95</w:t>
      </w:r>
      <w:r w:rsidRPr="00743124">
        <w:rPr>
          <w:rFonts w:ascii="Arial" w:eastAsia="Calibri" w:hAnsi="Arial" w:cs="Arial"/>
          <w:sz w:val="20"/>
          <w:szCs w:val="20"/>
        </w:rPr>
        <w:t xml:space="preserve"> (Gordon, Univ. of Pittsburgh Communications prof, “</w:t>
      </w:r>
      <w:r w:rsidRPr="00743124">
        <w:rPr>
          <w:rFonts w:ascii="Arial" w:eastAsia="Calibri" w:hAnsi="Arial" w:cs="Arial"/>
          <w:bCs/>
          <w:sz w:val="20"/>
          <w:szCs w:val="20"/>
        </w:rPr>
        <w:t xml:space="preserve">REFLEXIVE FIAT: INCORPORATING THE OUTWARD ACTIVIST TURN INTO CONTEST </w:t>
      </w:r>
      <w:proofErr w:type="spellStart"/>
      <w:r w:rsidRPr="00743124">
        <w:rPr>
          <w:rFonts w:ascii="Arial" w:eastAsia="Calibri" w:hAnsi="Arial" w:cs="Arial"/>
          <w:bCs/>
          <w:sz w:val="20"/>
          <w:szCs w:val="20"/>
        </w:rPr>
        <w:t>STRATEGY”,paper</w:t>
      </w:r>
      <w:proofErr w:type="spellEnd"/>
      <w:r w:rsidRPr="00743124">
        <w:rPr>
          <w:rFonts w:ascii="Arial" w:eastAsia="Calibri" w:hAnsi="Arial" w:cs="Arial"/>
          <w:bCs/>
          <w:sz w:val="20"/>
          <w:szCs w:val="20"/>
        </w:rPr>
        <w:t xml:space="preserve"> presented to the 1995 SCA National Convention)</w:t>
      </w:r>
    </w:p>
    <w:p w14:paraId="4491B931" w14:textId="77777777" w:rsidR="00BE4681" w:rsidRDefault="00BE4681" w:rsidP="00BE4681">
      <w:pPr>
        <w:rPr>
          <w:rStyle w:val="Emphasis"/>
        </w:rPr>
      </w:pPr>
      <w:r w:rsidRPr="00AE17C2">
        <w:rPr>
          <w:rFonts w:ascii="TimesNewRomanPSMT" w:eastAsia="Calibri" w:hAnsi="TimesNewRomanPSMT" w:cs="TimesNewRomanPSMT"/>
          <w:sz w:val="10"/>
        </w:rPr>
        <w:t xml:space="preserve">Advocacy, under this view of </w:t>
      </w:r>
      <w:r w:rsidRPr="00AE17C2">
        <w:rPr>
          <w:sz w:val="10"/>
        </w:rPr>
        <w:t xml:space="preserve">fiat, takes place on the plane of simulation. The power that backs a debaters' command </w:t>
      </w:r>
      <w:proofErr w:type="spellStart"/>
      <w:r w:rsidRPr="00AE17C2">
        <w:rPr>
          <w:sz w:val="10"/>
        </w:rPr>
        <w:t>that"we</w:t>
      </w:r>
      <w:proofErr w:type="spellEnd"/>
      <w:r w:rsidRPr="00AE17C2">
        <w:rPr>
          <w:sz w:val="10"/>
        </w:rPr>
        <w:t xml:space="preserve"> mandate the following. . . " is a mirage, a phantasm allowed to masquerade as genuine for the purpose of allowing the game of political simulation to take place. Debaters have no real authority over the actors they employ to implement their ideas in plans and counterplans, yet the simulation of such authority is recognized as an essential fiction necessary to allow the game of policy debate to unfold. One problem with approaches to fiat which feature such a structural separation between advocate and agent of change is that such approaches tend to instill political apathy by inculcating a spectator mentality.</w:t>
      </w:r>
      <w:r w:rsidRPr="00AE17C2">
        <w:rPr>
          <w:rStyle w:val="Emphasis"/>
          <w:sz w:val="14"/>
          <w:highlight w:val="green"/>
        </w:rPr>
        <w:t xml:space="preserve"> </w:t>
      </w:r>
      <w:r w:rsidRPr="00DA139F">
        <w:rPr>
          <w:rStyle w:val="Emphasis"/>
          <w:highlight w:val="green"/>
        </w:rPr>
        <w:t xml:space="preserve">The function of </w:t>
      </w:r>
      <w:proofErr w:type="gramStart"/>
      <w:r w:rsidRPr="00DA139F">
        <w:rPr>
          <w:rStyle w:val="Emphasis"/>
          <w:highlight w:val="green"/>
        </w:rPr>
        <w:t>fiat</w:t>
      </w:r>
      <w:proofErr w:type="gramEnd"/>
      <w:r w:rsidRPr="00DA139F">
        <w:rPr>
          <w:rStyle w:val="Emphasis"/>
          <w:highlight w:val="green"/>
        </w:rPr>
        <w:t xml:space="preserve"> which gives debaters simulated political control over external </w:t>
      </w:r>
      <w:proofErr w:type="gramStart"/>
      <w:r w:rsidRPr="00DA139F">
        <w:rPr>
          <w:rStyle w:val="Emphasis"/>
          <w:highlight w:val="green"/>
        </w:rPr>
        <w:t>actors</w:t>
      </w:r>
      <w:proofErr w:type="gramEnd"/>
      <w:r w:rsidRPr="00DA139F">
        <w:rPr>
          <w:rStyle w:val="Emphasis"/>
          <w:highlight w:val="green"/>
        </w:rPr>
        <w:t xml:space="preserve"> coaxes students to gloss over consideration of their concrete roles as involved agents in the controversies they research. The construct of fiat</w:t>
      </w:r>
      <w:r w:rsidRPr="00AE5AE1">
        <w:rPr>
          <w:sz w:val="8"/>
        </w:rPr>
        <w:t>, in this vein, serves as a political crutch by</w:t>
      </w:r>
      <w:r w:rsidRPr="00AE5AE1">
        <w:rPr>
          <w:rStyle w:val="Emphasis"/>
          <w:sz w:val="8"/>
          <w:highlight w:val="green"/>
        </w:rPr>
        <w:t xml:space="preserve"> </w:t>
      </w:r>
      <w:r w:rsidRPr="00DA139F">
        <w:rPr>
          <w:rStyle w:val="Emphasis"/>
          <w:highlight w:val="green"/>
        </w:rPr>
        <w:t>alleviating</w:t>
      </w:r>
      <w:r>
        <w:rPr>
          <w:rStyle w:val="Emphasis"/>
          <w:highlight w:val="green"/>
        </w:rPr>
        <w:t xml:space="preserve"> </w:t>
      </w:r>
      <w:r w:rsidRPr="00DA139F">
        <w:rPr>
          <w:rStyle w:val="Emphasis"/>
          <w:highlight w:val="green"/>
        </w:rPr>
        <w:t>the burden of demonstrating a connection between in-round advocacy and the action</w:t>
      </w:r>
      <w:r>
        <w:rPr>
          <w:rStyle w:val="Emphasis"/>
          <w:highlight w:val="green"/>
        </w:rPr>
        <w:t xml:space="preserve"> </w:t>
      </w:r>
      <w:r w:rsidRPr="00DA139F">
        <w:rPr>
          <w:rStyle w:val="Emphasis"/>
          <w:highlight w:val="green"/>
        </w:rPr>
        <w:t>by external actors defended in plan</w:t>
      </w:r>
      <w:r w:rsidRPr="00AE17C2">
        <w:rPr>
          <w:rFonts w:ascii="TimesNewRomanPSMT" w:eastAsia="Calibri" w:hAnsi="TimesNewRomanPSMT" w:cs="TimesNewRomanPSMT"/>
          <w:sz w:val="10"/>
        </w:rPr>
        <w:t xml:space="preserve"> or counterplan mandates. A second manner in which the structural features of </w:t>
      </w:r>
      <w:r w:rsidRPr="00AE17C2">
        <w:rPr>
          <w:sz w:val="10"/>
        </w:rPr>
        <w:t>this sort of</w:t>
      </w:r>
      <w:r w:rsidRPr="00AE17C2">
        <w:rPr>
          <w:rStyle w:val="Emphasis"/>
          <w:sz w:val="10"/>
          <w:highlight w:val="green"/>
        </w:rPr>
        <w:t xml:space="preserve"> </w:t>
      </w:r>
      <w:r w:rsidRPr="00DA139F">
        <w:rPr>
          <w:rStyle w:val="Emphasis"/>
          <w:highlight w:val="green"/>
        </w:rPr>
        <w:t xml:space="preserve">fiat </w:t>
      </w:r>
      <w:r w:rsidRPr="00AE17C2">
        <w:rPr>
          <w:sz w:val="12"/>
        </w:rPr>
        <w:t>tend to</w:t>
      </w:r>
      <w:r w:rsidRPr="00AE17C2">
        <w:rPr>
          <w:rStyle w:val="Emphasis"/>
          <w:sz w:val="12"/>
          <w:highlight w:val="green"/>
        </w:rPr>
        <w:t xml:space="preserve"> </w:t>
      </w:r>
      <w:r w:rsidRPr="00DA139F">
        <w:rPr>
          <w:rStyle w:val="Emphasis"/>
          <w:highlight w:val="green"/>
        </w:rPr>
        <w:t xml:space="preserve">circumscribe active political involvement </w:t>
      </w:r>
      <w:r w:rsidRPr="00AE17C2">
        <w:rPr>
          <w:sz w:val="12"/>
        </w:rPr>
        <w:t xml:space="preserve">is </w:t>
      </w:r>
      <w:r w:rsidRPr="00AE17C2">
        <w:rPr>
          <w:rStyle w:val="Emphasis"/>
          <w:highlight w:val="green"/>
        </w:rPr>
        <w:t>through</w:t>
      </w:r>
      <w:r w:rsidRPr="00AE17C2">
        <w:rPr>
          <w:sz w:val="12"/>
          <w:highlight w:val="green"/>
        </w:rPr>
        <w:t xml:space="preserve"> </w:t>
      </w:r>
      <w:r w:rsidRPr="00AE17C2">
        <w:rPr>
          <w:rStyle w:val="Emphasis"/>
          <w:highlight w:val="green"/>
        </w:rPr>
        <w:t xml:space="preserve">the </w:t>
      </w:r>
      <w:r w:rsidRPr="00DA139F">
        <w:rPr>
          <w:rStyle w:val="Emphasis"/>
          <w:highlight w:val="green"/>
        </w:rPr>
        <w:t xml:space="preserve">containment of </w:t>
      </w:r>
      <w:r w:rsidRPr="00AE17C2">
        <w:rPr>
          <w:sz w:val="14"/>
        </w:rPr>
        <w:t>fiat</w:t>
      </w:r>
      <w:r w:rsidRPr="00AE17C2">
        <w:rPr>
          <w:rStyle w:val="Emphasis"/>
          <w:sz w:val="14"/>
          <w:highlight w:val="green"/>
        </w:rPr>
        <w:t xml:space="preserve"> </w:t>
      </w:r>
      <w:r w:rsidRPr="00DA139F">
        <w:rPr>
          <w:rStyle w:val="Emphasis"/>
          <w:highlight w:val="green"/>
        </w:rPr>
        <w:t xml:space="preserve">action within the </w:t>
      </w:r>
      <w:proofErr w:type="spellStart"/>
      <w:r w:rsidRPr="00DA139F">
        <w:rPr>
          <w:rStyle w:val="Emphasis"/>
          <w:highlight w:val="green"/>
        </w:rPr>
        <w:t>spatio</w:t>
      </w:r>
      <w:proofErr w:type="spellEnd"/>
      <w:r w:rsidRPr="00DA139F">
        <w:rPr>
          <w:rStyle w:val="Emphasis"/>
          <w:highlight w:val="green"/>
        </w:rPr>
        <w:t>-temporal boundaries of the contest round</w:t>
      </w:r>
      <w:r w:rsidRPr="00FE76EA">
        <w:rPr>
          <w:rStyle w:val="Emphasis"/>
          <w:highlight w:val="green"/>
        </w:rPr>
        <w:t xml:space="preserve">. </w:t>
      </w:r>
      <w:r w:rsidRPr="000B3619">
        <w:rPr>
          <w:sz w:val="14"/>
        </w:rPr>
        <w:t>The fiction of simulated authority evaporates when the judge issues “his/her decision and the debaters disband and head to the next round. Advocacy, resting on the ephemeral foundation of simulation, is here a casual and fleeting phenomenon that carries with it few significant future ramifications or responsibilities.</w:t>
      </w:r>
      <w:r w:rsidRPr="000B3619">
        <w:rPr>
          <w:rStyle w:val="Emphasis"/>
          <w:sz w:val="14"/>
          <w:highlight w:val="green"/>
        </w:rPr>
        <w:t xml:space="preserve"> </w:t>
      </w:r>
      <w:r w:rsidRPr="00FE76EA">
        <w:rPr>
          <w:rStyle w:val="Emphasis"/>
          <w:highlight w:val="green"/>
        </w:rPr>
        <w:t>By cultivating an ethic of detachment of the actual polis,</w:t>
      </w:r>
      <w:r w:rsidRPr="00AE17C2">
        <w:rPr>
          <w:sz w:val="10"/>
        </w:rPr>
        <w:t xml:space="preserve"> </w:t>
      </w:r>
      <w:r w:rsidRPr="00DA139F">
        <w:rPr>
          <w:rStyle w:val="Emphasis"/>
          <w:highlight w:val="green"/>
        </w:rPr>
        <w:t>this view of advocacy introduces a politically regressive.</w:t>
      </w:r>
    </w:p>
    <w:p w14:paraId="257A715B" w14:textId="77777777" w:rsidR="00BE4681" w:rsidRPr="00743124" w:rsidRDefault="00BE4681" w:rsidP="00BE4681">
      <w:pPr>
        <w:rPr>
          <w:rFonts w:eastAsia="Calibri"/>
        </w:rPr>
      </w:pPr>
    </w:p>
    <w:p w14:paraId="655B80C1" w14:textId="77777777" w:rsidR="00BE4681" w:rsidRPr="00FB46AF" w:rsidRDefault="00BE4681" w:rsidP="00BE4681">
      <w:pPr>
        <w:pStyle w:val="Heading4"/>
      </w:pPr>
      <w:r w:rsidRPr="00FB46AF">
        <w:t xml:space="preserve">As long as debate focuses on fiat based prescriptive policy we will never build up the real skills, praxis or plans to challenge the systems of oppression that govern our world and create extinction. </w:t>
      </w:r>
      <w:r>
        <w:t xml:space="preserve">Alt model of debate that makes radicals with actionable plans to challenge systems of oppression is the only way that solves.  </w:t>
      </w:r>
    </w:p>
    <w:p w14:paraId="02675E02" w14:textId="77777777" w:rsidR="00BE4681" w:rsidRPr="009F4359" w:rsidRDefault="00BE4681" w:rsidP="00BE4681">
      <w:pPr>
        <w:spacing w:line="252" w:lineRule="auto"/>
        <w:rPr>
          <w:rFonts w:eastAsia="Calibri"/>
        </w:rPr>
      </w:pPr>
      <w:r w:rsidRPr="009F4359">
        <w:rPr>
          <w:rFonts w:eastAsia="Calibri"/>
        </w:rPr>
        <w:t xml:space="preserve">Adrian </w:t>
      </w:r>
      <w:r w:rsidRPr="009F4359">
        <w:rPr>
          <w:rFonts w:eastAsia="Calibri"/>
          <w:b/>
          <w:bCs/>
          <w:sz w:val="26"/>
        </w:rPr>
        <w:t>PARR</w:t>
      </w:r>
      <w:r w:rsidRPr="009F4359">
        <w:rPr>
          <w:rFonts w:eastAsia="Calibri"/>
        </w:rPr>
        <w:t xml:space="preserve">, Chair of Taft Faculty and Director of the Charles Phelps Taft Research Center, holds a joint appointment in the Department of Political Science and the School of Architecture and Interior Design, </w:t>
      </w:r>
      <w:r w:rsidRPr="009F4359">
        <w:rPr>
          <w:rFonts w:eastAsia="Calibri"/>
          <w:b/>
          <w:bCs/>
          <w:sz w:val="26"/>
        </w:rPr>
        <w:t>13</w:t>
      </w:r>
      <w:r w:rsidRPr="009F4359">
        <w:rPr>
          <w:rFonts w:eastAsia="Calibri"/>
        </w:rPr>
        <w:t xml:space="preserve"> [</w:t>
      </w:r>
      <w:r w:rsidRPr="009F4359">
        <w:rPr>
          <w:rFonts w:eastAsia="Calibri"/>
          <w:i/>
        </w:rPr>
        <w:t>The Wrath of Capital: Neoliberalism and Climate Change Politics</w:t>
      </w:r>
      <w:r w:rsidRPr="009F4359">
        <w:rPr>
          <w:rFonts w:eastAsia="Calibri"/>
        </w:rPr>
        <w:t>, 2013, p. 145-147] ADA-318</w:t>
      </w:r>
    </w:p>
    <w:p w14:paraId="528E29CC" w14:textId="77777777" w:rsidR="00BE4681" w:rsidRDefault="00BE4681" w:rsidP="00BE4681">
      <w:r w:rsidRPr="009F4359">
        <w:rPr>
          <w:rFonts w:eastAsia="Calibri"/>
          <w:sz w:val="14"/>
        </w:rPr>
        <w:t>A quick snapshot of the twenty-first century so far: an economic meltdown; a frantic sell-off of public land to the energy business as President George W Bush exited the White House; a prolonged, costly, and unjustified war in Iraq; the Greek economy in ruins; an escalation of global food prices; bee colonies in global extinction; 925 million hungry reported in 2010; as of 2005, the world's five hundred richest individuals with a combined income greater than that of the poorest 416 million people, the richest 10 percent accounting for 54 percent of global income;</w:t>
      </w:r>
      <w:r w:rsidRPr="009F4359">
        <w:rPr>
          <w:rFonts w:eastAsia="Calibri"/>
          <w:b/>
          <w:sz w:val="14"/>
          <w:u w:val="single"/>
        </w:rPr>
        <w:t xml:space="preserve"> </w:t>
      </w:r>
      <w:r w:rsidRPr="009F4359">
        <w:rPr>
          <w:rFonts w:eastAsia="Calibri"/>
          <w:b/>
          <w:highlight w:val="cyan"/>
          <w:u w:val="single"/>
        </w:rPr>
        <w:t>a planet</w:t>
      </w:r>
      <w:r w:rsidRPr="009F4359">
        <w:rPr>
          <w:rFonts w:eastAsia="Calibri"/>
          <w:b/>
          <w:u w:val="single"/>
        </w:rPr>
        <w:t xml:space="preserve"> </w:t>
      </w:r>
      <w:r w:rsidRPr="009F4359">
        <w:rPr>
          <w:rFonts w:eastAsia="Calibri"/>
          <w:b/>
          <w:highlight w:val="cyan"/>
          <w:u w:val="single"/>
        </w:rPr>
        <w:t xml:space="preserve">on the verge of </w:t>
      </w:r>
      <w:r w:rsidRPr="009F4359">
        <w:rPr>
          <w:rFonts w:eastAsia="Calibri"/>
          <w:b/>
          <w:iCs/>
          <w:sz w:val="26"/>
          <w:highlight w:val="cyan"/>
          <w:u w:val="single"/>
        </w:rPr>
        <w:t>boiling point</w:t>
      </w:r>
      <w:r w:rsidRPr="009F4359">
        <w:rPr>
          <w:rFonts w:eastAsia="Calibri"/>
          <w:b/>
          <w:highlight w:val="cyan"/>
          <w:u w:val="single"/>
        </w:rPr>
        <w:t>; melting ice caps; increases in extreme weather conditions; and the list goes on and on</w:t>
      </w:r>
      <w:r w:rsidRPr="009F4359">
        <w:rPr>
          <w:rFonts w:eastAsia="Calibri"/>
          <w:sz w:val="16"/>
        </w:rPr>
        <w:t xml:space="preserve"> and on.2 </w:t>
      </w:r>
      <w:r w:rsidRPr="009F4359">
        <w:rPr>
          <w:rFonts w:eastAsia="Calibri"/>
          <w:b/>
          <w:u w:val="single"/>
        </w:rPr>
        <w:t xml:space="preserve">Sounds like </w:t>
      </w:r>
      <w:r w:rsidRPr="009F4359">
        <w:rPr>
          <w:rFonts w:eastAsia="Calibri"/>
          <w:b/>
          <w:highlight w:val="cyan"/>
          <w:u w:val="single"/>
        </w:rPr>
        <w:t xml:space="preserve">a </w:t>
      </w:r>
      <w:r w:rsidRPr="009F4359">
        <w:rPr>
          <w:rFonts w:eastAsia="Calibri"/>
          <w:b/>
          <w:iCs/>
          <w:sz w:val="26"/>
          <w:highlight w:val="cyan"/>
          <w:u w:val="single"/>
        </w:rPr>
        <w:t>ticking time bomb</w:t>
      </w:r>
      <w:r w:rsidRPr="009F4359">
        <w:rPr>
          <w:rFonts w:eastAsia="Calibri"/>
          <w:sz w:val="16"/>
        </w:rPr>
        <w:t xml:space="preserve">, doesn't it? </w:t>
      </w:r>
      <w:proofErr w:type="gramStart"/>
      <w:r w:rsidRPr="009F4359">
        <w:rPr>
          <w:rFonts w:eastAsia="Calibri"/>
          <w:sz w:val="16"/>
        </w:rPr>
        <w:t>Well</w:t>
      </w:r>
      <w:proofErr w:type="gramEnd"/>
      <w:r w:rsidRPr="009F4359">
        <w:rPr>
          <w:rFonts w:eastAsia="Calibri"/>
          <w:sz w:val="16"/>
        </w:rPr>
        <w:t xml:space="preserve"> </w:t>
      </w:r>
      <w:r w:rsidRPr="009F4359">
        <w:rPr>
          <w:rFonts w:eastAsia="Calibri"/>
          <w:b/>
          <w:u w:val="single"/>
        </w:rPr>
        <w:t>it is</w:t>
      </w:r>
      <w:r w:rsidRPr="009F4359">
        <w:rPr>
          <w:rFonts w:eastAsia="Calibri"/>
          <w:sz w:val="16"/>
        </w:rPr>
        <w:t>.</w:t>
      </w:r>
      <w:r>
        <w:rPr>
          <w:rFonts w:eastAsia="Calibri"/>
          <w:sz w:val="16"/>
        </w:rPr>
        <w:t xml:space="preserve"> </w:t>
      </w:r>
      <w:r w:rsidRPr="009F4359">
        <w:rPr>
          <w:rFonts w:eastAsia="Calibri"/>
          <w:b/>
          <w:u w:val="single"/>
        </w:rPr>
        <w:t xml:space="preserve">It is shameful to think that </w:t>
      </w:r>
      <w:r w:rsidRPr="009F4359">
        <w:rPr>
          <w:rFonts w:eastAsia="Calibri"/>
          <w:b/>
          <w:iCs/>
          <w:sz w:val="26"/>
          <w:highlight w:val="cyan"/>
          <w:u w:val="single"/>
        </w:rPr>
        <w:t>massive die-outs</w:t>
      </w:r>
      <w:r w:rsidRPr="009F4359">
        <w:rPr>
          <w:rFonts w:eastAsia="Calibri"/>
          <w:b/>
          <w:highlight w:val="cyan"/>
          <w:u w:val="single"/>
        </w:rPr>
        <w:t xml:space="preserve"> of future generations will </w:t>
      </w:r>
      <w:r w:rsidRPr="009F4359">
        <w:rPr>
          <w:rFonts w:eastAsia="Calibri"/>
          <w:b/>
          <w:iCs/>
          <w:sz w:val="26"/>
          <w:highlight w:val="cyan"/>
          <w:u w:val="single"/>
        </w:rPr>
        <w:t>put to pale comparison</w:t>
      </w:r>
      <w:r w:rsidRPr="009F4359">
        <w:rPr>
          <w:rFonts w:eastAsia="Calibri"/>
          <w:sz w:val="16"/>
        </w:rPr>
        <w:t xml:space="preserve"> the 6 million murdered during </w:t>
      </w:r>
      <w:r w:rsidRPr="009F4359">
        <w:rPr>
          <w:rFonts w:eastAsia="Calibri"/>
          <w:b/>
          <w:iCs/>
          <w:sz w:val="26"/>
          <w:highlight w:val="cyan"/>
          <w:u w:val="single"/>
        </w:rPr>
        <w:t>the Holocaust; the millions killed in two world wars; the genocides in the former Yugoslavia, Rwanda, and Darfur</w:t>
      </w:r>
      <w:r w:rsidRPr="009F4359">
        <w:rPr>
          <w:rFonts w:eastAsia="Calibri"/>
          <w:b/>
          <w:u w:val="single"/>
        </w:rPr>
        <w:t>; the 1 million left homeless and the 316,000 killed by the 2010 earthquake in Haiti</w:t>
      </w:r>
      <w:r w:rsidRPr="009F4359">
        <w:rPr>
          <w:rFonts w:eastAsia="Calibri"/>
          <w:sz w:val="16"/>
        </w:rPr>
        <w:t>. The time has come to wake up to the warning signs.3</w:t>
      </w:r>
      <w:r>
        <w:rPr>
          <w:rFonts w:eastAsia="Calibri"/>
          <w:sz w:val="16"/>
        </w:rPr>
        <w:t xml:space="preserve"> </w:t>
      </w:r>
      <w:r w:rsidRPr="009F4359">
        <w:rPr>
          <w:rFonts w:eastAsia="Calibri"/>
          <w:sz w:val="16"/>
        </w:rPr>
        <w:t xml:space="preserve">The real issue climate change poses is that </w:t>
      </w:r>
      <w:r w:rsidRPr="009F4359">
        <w:rPr>
          <w:rFonts w:eastAsia="Calibri"/>
          <w:b/>
          <w:highlight w:val="cyan"/>
          <w:u w:val="single"/>
        </w:rPr>
        <w:t>we do not enjoy the luxury of incremental change</w:t>
      </w:r>
      <w:r w:rsidRPr="009F4359">
        <w:rPr>
          <w:rFonts w:eastAsia="Calibri"/>
          <w:b/>
          <w:u w:val="single"/>
        </w:rPr>
        <w:t xml:space="preserve"> </w:t>
      </w:r>
      <w:r w:rsidRPr="00E14A39">
        <w:rPr>
          <w:sz w:val="12"/>
        </w:rPr>
        <w:t xml:space="preserve">anymore. We are in the last decade where we can do something about the situation. Paul Gilding, the former head of Greenpeace International and a core faculty member of Cambridge University's </w:t>
      </w:r>
      <w:proofErr w:type="spellStart"/>
      <w:r w:rsidRPr="00E14A39">
        <w:rPr>
          <w:sz w:val="12"/>
        </w:rPr>
        <w:t>Programme</w:t>
      </w:r>
      <w:proofErr w:type="spellEnd"/>
      <w:r w:rsidRPr="00E14A39">
        <w:rPr>
          <w:sz w:val="12"/>
        </w:rPr>
        <w:t xml:space="preserve"> for Sustainability, explains that "two degrees of warming is an inadequate goal and a plan for failure;' adding that "returning to below one degree of warming . . . is the solution to the problem:'4 Once we move higher than 2°C of warming, which is what is projected to occur by 2050, positive feedback mechanisms will begin to kick in, and then we will be at the point of no return. We therefore need to start thinking very differently right now.</w:t>
      </w:r>
      <w:r>
        <w:rPr>
          <w:rFonts w:eastAsia="Calibri"/>
          <w:sz w:val="16"/>
        </w:rPr>
        <w:t xml:space="preserve"> </w:t>
      </w:r>
      <w:r w:rsidRPr="009F4359">
        <w:rPr>
          <w:rFonts w:eastAsia="Calibri"/>
          <w:b/>
          <w:highlight w:val="cyan"/>
          <w:u w:val="single"/>
        </w:rPr>
        <w:t xml:space="preserve">We do not see the crisis for what it is; we only see it as an </w:t>
      </w:r>
      <w:r w:rsidRPr="009F4359">
        <w:rPr>
          <w:rFonts w:eastAsia="Calibri"/>
          <w:b/>
          <w:iCs/>
          <w:sz w:val="26"/>
          <w:highlight w:val="cyan"/>
          <w:u w:val="single"/>
        </w:rPr>
        <w:t>isolated symptom</w:t>
      </w:r>
      <w:r w:rsidRPr="009F4359">
        <w:rPr>
          <w:rFonts w:eastAsia="Calibri"/>
          <w:b/>
          <w:highlight w:val="cyan"/>
          <w:u w:val="single"/>
        </w:rPr>
        <w:t xml:space="preserve"> that we need to make a few minor changes to deal with</w:t>
      </w:r>
      <w:r w:rsidRPr="009F4359">
        <w:rPr>
          <w:rFonts w:eastAsia="Calibri"/>
          <w:sz w:val="16"/>
        </w:rPr>
        <w:t xml:space="preserve">. This was the message that Venezuela's president Hugo Chavez delivered at the COP15 United Nations Climate Summit in Copenhagen on December 16, 2009, when he declared: "Let's talk about the cause. We should not avoid </w:t>
      </w:r>
      <w:proofErr w:type="gramStart"/>
      <w:r w:rsidRPr="009F4359">
        <w:rPr>
          <w:rFonts w:eastAsia="Calibri"/>
          <w:sz w:val="16"/>
        </w:rPr>
        <w:t>responsibilities,</w:t>
      </w:r>
      <w:proofErr w:type="gramEnd"/>
      <w:r w:rsidRPr="009F4359">
        <w:rPr>
          <w:rFonts w:eastAsia="Calibri"/>
          <w:sz w:val="16"/>
        </w:rPr>
        <w:t xml:space="preserve"> we should not avoid the depth of this problem. And I'll bring it up again, the cause of this disastrous panorama is the metabolic, destructive system of the capital and its model: capitalism.”5</w:t>
      </w:r>
      <w:r>
        <w:rPr>
          <w:rFonts w:eastAsia="Calibri"/>
          <w:sz w:val="16"/>
        </w:rPr>
        <w:t xml:space="preserve"> </w:t>
      </w:r>
      <w:r w:rsidRPr="009F4359">
        <w:rPr>
          <w:rFonts w:eastAsia="Calibri"/>
          <w:b/>
          <w:highlight w:val="cyan"/>
          <w:u w:val="single"/>
        </w:rPr>
        <w:t>The structural conditions in which we operate are advanced capitalism</w:t>
      </w:r>
      <w:r w:rsidRPr="009F4359">
        <w:rPr>
          <w:rFonts w:eastAsia="Calibri"/>
          <w:sz w:val="16"/>
        </w:rPr>
        <w:t xml:space="preserve">. Given this fact, </w:t>
      </w:r>
      <w:r w:rsidRPr="009F4359">
        <w:rPr>
          <w:rFonts w:eastAsia="Calibri"/>
          <w:b/>
          <w:highlight w:val="cyan"/>
          <w:u w:val="single"/>
        </w:rPr>
        <w:t xml:space="preserve">a </w:t>
      </w:r>
      <w:r w:rsidRPr="009F4359">
        <w:rPr>
          <w:rFonts w:eastAsia="Calibri"/>
          <w:b/>
          <w:iCs/>
          <w:sz w:val="26"/>
          <w:highlight w:val="cyan"/>
          <w:u w:val="single"/>
        </w:rPr>
        <w:t>few adjustments</w:t>
      </w:r>
      <w:r w:rsidRPr="009F4359">
        <w:rPr>
          <w:rFonts w:eastAsia="Calibri"/>
          <w:b/>
          <w:u w:val="single"/>
        </w:rPr>
        <w:t xml:space="preserve"> here and there </w:t>
      </w:r>
      <w:r w:rsidRPr="009F4359">
        <w:rPr>
          <w:rFonts w:eastAsia="Calibri"/>
          <w:b/>
          <w:highlight w:val="cyan"/>
          <w:u w:val="single"/>
        </w:rPr>
        <w:t xml:space="preserve">to that system are </w:t>
      </w:r>
      <w:r w:rsidRPr="009F4359">
        <w:rPr>
          <w:rFonts w:eastAsia="Calibri"/>
          <w:b/>
          <w:iCs/>
          <w:sz w:val="26"/>
          <w:highlight w:val="cyan"/>
          <w:u w:val="single"/>
        </w:rPr>
        <w:t>not enough</w:t>
      </w:r>
      <w:r w:rsidRPr="009F4359">
        <w:rPr>
          <w:rFonts w:eastAsia="Calibri"/>
          <w:b/>
          <w:highlight w:val="cyan"/>
          <w:u w:val="single"/>
        </w:rPr>
        <w:t xml:space="preserve"> to solve the problems</w:t>
      </w:r>
      <w:r w:rsidRPr="009F4359">
        <w:rPr>
          <w:rFonts w:eastAsia="Calibri"/>
          <w:b/>
          <w:u w:val="single"/>
        </w:rPr>
        <w:t xml:space="preserve"> that climate change and </w:t>
      </w:r>
      <w:r w:rsidRPr="009F4359">
        <w:rPr>
          <w:rFonts w:eastAsia="Calibri"/>
          <w:sz w:val="10"/>
        </w:rPr>
        <w:t xml:space="preserve">environmental degradation pose.6 Adaptability, modifications, and displacement, as I have consistently shown throughout this book, constitute the very essence of capitalism. Capitalism adapts without doing away with the threat. Under capitalism, one deals with threat not by challenging it, but by buying favors from it, as in voluntary carbon-offset schemes. In the process, one gives up on one's autonomy and reverts to being a child. Voluntarily offsetting a bit of carbon here and there, eating vegan, or recycling our waste, although well intended, are not solutions to the problem, but a symptom of the free market's ineffectiveness. By casting a scathing look at the neoliberal options on display, I have tried to show how all these options are ineffective. We are not buying indulgences because we have a choice; choices abound, and yet they all lead us down one path and through the golden gates of capitalist heaven. For these reasons, I have underscored everyone's implication in this structure – </w:t>
      </w:r>
      <w:proofErr w:type="gramStart"/>
      <w:r w:rsidRPr="009F4359">
        <w:rPr>
          <w:rFonts w:eastAsia="Calibri"/>
          <w:sz w:val="10"/>
        </w:rPr>
        <w:t>myself</w:t>
      </w:r>
      <w:proofErr w:type="gramEnd"/>
      <w:r w:rsidRPr="009F4359">
        <w:rPr>
          <w:rFonts w:eastAsia="Calibri"/>
          <w:sz w:val="10"/>
        </w:rPr>
        <w:t xml:space="preserve"> included. If anything, the book has been an act of outrage – outrage at the deceit and the double bind that the "choices" under capitalism present, for there is no choice when everything is expendable. </w:t>
      </w:r>
      <w:r w:rsidRPr="00E14A39">
        <w:rPr>
          <w:sz w:val="10"/>
        </w:rPr>
        <w:t>There is nothing substantial about the future when all you can do is survive by</w:t>
      </w:r>
      <w:r w:rsidRPr="00E14A39">
        <w:rPr>
          <w:rStyle w:val="Emphasis"/>
          <w:sz w:val="10"/>
        </w:rPr>
        <w:t xml:space="preserve"> </w:t>
      </w:r>
      <w:r w:rsidRPr="00E14A39">
        <w:rPr>
          <w:sz w:val="10"/>
        </w:rPr>
        <w:t>facing</w:t>
      </w:r>
      <w:r w:rsidRPr="00AE6473">
        <w:rPr>
          <w:sz w:val="10"/>
        </w:rPr>
        <w:t xml:space="preserve"> the absence of your own future and by sharing strength, stamina, and courage with the people around you. All the rest is false hope.</w:t>
      </w:r>
      <w:r w:rsidRPr="00AE6473">
        <w:rPr>
          <w:rFonts w:eastAsia="Calibri"/>
          <w:sz w:val="10"/>
        </w:rPr>
        <w:t xml:space="preserve"> </w:t>
      </w:r>
      <w:r w:rsidRPr="009F4359">
        <w:rPr>
          <w:rFonts w:eastAsia="Calibri"/>
          <w:sz w:val="10"/>
        </w:rPr>
        <w:t xml:space="preserve">In many respects, writing this book has been an anxious exercise because I am fully aware that </w:t>
      </w:r>
      <w:r w:rsidRPr="00FB46AF">
        <w:rPr>
          <w:rStyle w:val="Emphasis"/>
          <w:highlight w:val="cyan"/>
        </w:rPr>
        <w:t xml:space="preserve">reducing the issues of environmental degradation and climate change to the domain of analysis </w:t>
      </w:r>
      <w:r w:rsidRPr="00E14A39">
        <w:rPr>
          <w:sz w:val="8"/>
        </w:rPr>
        <w:t>can</w:t>
      </w:r>
      <w:r w:rsidRPr="00E14A39">
        <w:rPr>
          <w:rStyle w:val="Emphasis"/>
          <w:sz w:val="8"/>
          <w:highlight w:val="cyan"/>
        </w:rPr>
        <w:t xml:space="preserve"> </w:t>
      </w:r>
      <w:r w:rsidRPr="00FB46AF">
        <w:rPr>
          <w:rStyle w:val="Emphasis"/>
          <w:highlight w:val="cyan"/>
        </w:rPr>
        <w:t>stave off the institution of useful solutions</w:t>
      </w:r>
      <w:r w:rsidRPr="009F4359">
        <w:rPr>
          <w:rFonts w:eastAsia="Calibri"/>
          <w:sz w:val="10"/>
        </w:rPr>
        <w:t xml:space="preserve">. But in my defense I would also like to propose that </w:t>
      </w:r>
      <w:r w:rsidRPr="00FB46AF">
        <w:rPr>
          <w:rStyle w:val="Emphasis"/>
          <w:highlight w:val="cyan"/>
        </w:rPr>
        <w:t xml:space="preserve">each and every one of us has certain skills that can contribute to making the solutions that we introduce </w:t>
      </w:r>
      <w:r w:rsidRPr="00E14A39">
        <w:rPr>
          <w:sz w:val="12"/>
        </w:rPr>
        <w:t>in response to climate change and environmental degradation</w:t>
      </w:r>
      <w:r w:rsidRPr="00E14A39">
        <w:rPr>
          <w:rStyle w:val="Emphasis"/>
          <w:sz w:val="12"/>
        </w:rPr>
        <w:t xml:space="preserve"> </w:t>
      </w:r>
      <w:r w:rsidRPr="00FB46AF">
        <w:rPr>
          <w:rStyle w:val="Emphasis"/>
          <w:highlight w:val="cyan"/>
        </w:rPr>
        <w:t>more effective and more realistic</w:t>
      </w:r>
      <w:r w:rsidRPr="009F4359">
        <w:rPr>
          <w:rFonts w:eastAsia="Calibri"/>
          <w:sz w:val="10"/>
        </w:rPr>
        <w:t>. In light of that view, I close with the following proposition, which</w:t>
      </w:r>
      <w:r w:rsidRPr="00FB46AF">
        <w:rPr>
          <w:rStyle w:val="Emphasis"/>
        </w:rPr>
        <w:t xml:space="preserve"> </w:t>
      </w:r>
      <w:r w:rsidRPr="00FB46AF">
        <w:rPr>
          <w:rStyle w:val="Emphasis"/>
          <w:highlight w:val="cyan"/>
        </w:rPr>
        <w:t>I mean in the most optimistic sense possible: our politics must start from the point that after 2050 it may all be over.</w:t>
      </w:r>
      <w:r>
        <w:rPr>
          <w:rStyle w:val="Emphasis"/>
        </w:rPr>
        <w:t xml:space="preserve"> </w:t>
      </w:r>
    </w:p>
    <w:p w14:paraId="32E6645C" w14:textId="77777777" w:rsidR="00BE4681" w:rsidRPr="00DE2744" w:rsidRDefault="00BE4681" w:rsidP="00BE4681"/>
    <w:p w14:paraId="4BA4E175" w14:textId="77777777" w:rsidR="00BE4681" w:rsidRPr="00E77112" w:rsidRDefault="00BE4681" w:rsidP="00BE4681">
      <w:pPr>
        <w:pStyle w:val="Heading3"/>
      </w:pPr>
      <w:r>
        <w:t>Alt</w:t>
      </w:r>
    </w:p>
    <w:p w14:paraId="0F6A1CA6" w14:textId="77777777" w:rsidR="00BE4681" w:rsidRPr="008B7D87" w:rsidRDefault="00BE4681" w:rsidP="00BE4681"/>
    <w:p w14:paraId="74D9C94B" w14:textId="77777777" w:rsidR="00BE4681" w:rsidRPr="008B7D87" w:rsidRDefault="00BE4681" w:rsidP="00BE4681">
      <w:pPr>
        <w:keepNext/>
        <w:keepLines/>
        <w:spacing w:before="40" w:after="0" w:line="256" w:lineRule="auto"/>
        <w:outlineLvl w:val="3"/>
        <w:rPr>
          <w:rFonts w:eastAsia="Times New Roman" w:cs="Times New Roman"/>
          <w:b/>
          <w:iCs/>
          <w:sz w:val="32"/>
        </w:rPr>
      </w:pPr>
      <w:r w:rsidRPr="008B7D87">
        <w:rPr>
          <w:rFonts w:eastAsia="Times New Roman" w:cs="Times New Roman"/>
          <w:b/>
          <w:iCs/>
          <w:sz w:val="32"/>
        </w:rPr>
        <w:t>The alt is to reject the aff and its form of knowledge production and vote neg to endorse a change in debate models to make debate a space of challenging systems of oppression rather than training their figureheads.</w:t>
      </w:r>
    </w:p>
    <w:p w14:paraId="620C3CE7" w14:textId="77777777" w:rsidR="00BE4681" w:rsidRPr="00773E53" w:rsidRDefault="00BE4681" w:rsidP="00BE4681">
      <w:pPr>
        <w:spacing w:line="254" w:lineRule="auto"/>
        <w:rPr>
          <w:rFonts w:eastAsia="Calibri"/>
          <w:b/>
          <w:bCs/>
          <w:sz w:val="8"/>
        </w:rPr>
      </w:pPr>
      <w:proofErr w:type="spellStart"/>
      <w:r w:rsidRPr="008B7D87">
        <w:rPr>
          <w:rFonts w:eastAsia="Calibri"/>
          <w:b/>
          <w:bCs/>
          <w:sz w:val="26"/>
          <w:highlight w:val="green"/>
        </w:rPr>
        <w:t>Athanasouplis</w:t>
      </w:r>
      <w:proofErr w:type="spellEnd"/>
      <w:r w:rsidRPr="008B7D87">
        <w:rPr>
          <w:rFonts w:eastAsia="Calibri"/>
          <w:b/>
          <w:bCs/>
          <w:sz w:val="26"/>
          <w:highlight w:val="green"/>
        </w:rPr>
        <w:t xml:space="preserve"> and Sugino 23-</w:t>
      </w:r>
      <w:r>
        <w:rPr>
          <w:rFonts w:eastAsia="Calibri"/>
          <w:b/>
          <w:bCs/>
          <w:sz w:val="26"/>
        </w:rPr>
        <w:t>[</w:t>
      </w:r>
      <w:r w:rsidRPr="008B7D87">
        <w:rPr>
          <w:rFonts w:eastAsia="Calibri"/>
          <w:b/>
          <w:bCs/>
          <w:sz w:val="26"/>
        </w:rPr>
        <w:t xml:space="preserve">Reid-Brinkley, S., Evans, I., Larsen, B., Brough, T., </w:t>
      </w:r>
      <w:proofErr w:type="spellStart"/>
      <w:r w:rsidRPr="008B7D87">
        <w:rPr>
          <w:rFonts w:eastAsia="Calibri"/>
          <w:b/>
          <w:bCs/>
          <w:sz w:val="26"/>
        </w:rPr>
        <w:t>Athanasoupolis</w:t>
      </w:r>
      <w:proofErr w:type="spellEnd"/>
      <w:r w:rsidRPr="008B7D87">
        <w:rPr>
          <w:rFonts w:eastAsia="Calibri"/>
          <w:b/>
          <w:bCs/>
          <w:sz w:val="26"/>
        </w:rPr>
        <w:t xml:space="preserve">, C., Sugino, C. M., Dillard-Knox, T., Christie, L., Sciullo, N. J., Andrade, L. M., Cooper, D., Martin, S., Harris, J., &amp; Reid-Brinkley, S. (2023). Contemporary Argumentation and Debate: The Journal of the Cross-Examination Debate Association. Contemporary Argumentation and Debate, 38, 3–10. </w:t>
      </w:r>
      <w:hyperlink r:id="rId8" w:anchor="page=8" w:history="1">
        <w:r w:rsidRPr="008B7D87">
          <w:rPr>
            <w:rStyle w:val="Hyperlink"/>
            <w:rFonts w:eastAsia="Calibri"/>
            <w:b/>
            <w:bCs/>
            <w:sz w:val="26"/>
          </w:rPr>
          <w:t>https://commons.lib.jmu.edu/cgi/viewcontent.cgi?article=1001&amp;context=cad#page=8</w:t>
        </w:r>
      </w:hyperlink>
      <w:r>
        <w:rPr>
          <w:rFonts w:eastAsia="Calibri"/>
          <w:b/>
          <w:bCs/>
          <w:sz w:val="26"/>
        </w:rPr>
        <w:t xml:space="preserve">] </w:t>
      </w:r>
    </w:p>
    <w:p w14:paraId="0A895119" w14:textId="77777777" w:rsidR="00BE4681" w:rsidRPr="00773E53" w:rsidRDefault="00BE4681" w:rsidP="00BE4681">
      <w:pPr>
        <w:spacing w:line="256" w:lineRule="auto"/>
        <w:rPr>
          <w:sz w:val="8"/>
        </w:rPr>
      </w:pPr>
      <w:r w:rsidRPr="00773E53">
        <w:rPr>
          <w:rFonts w:eastAsia="Calibri"/>
          <w:sz w:val="8"/>
        </w:rPr>
        <w:t xml:space="preserve">The inception and success of the Louisville project two decades ago caused ripples in debate still present today. During the time of their emergence, several scholars and participants in the traditional policy style of debate responded with anxiety about what Louisville and other critical/performance debaters meant for the future of the activity. Since the inception of modern policy debate, debaters and coaches alike have shared concerns over the construction and maintenance of a healthy argument culture (Zarefsky, 2009). Though the community had engaged in hotly contested discussions about different styles of debate in the past - such as hypothesis testing versus policy making - concerns over critical debate were magnified. Reflecting on this rift in the activity, Roger Solt (2004) wrote “the split in debate between critical and policy approaches has gone beyond culture war to full-blown clash of civilizations” (p. 44). Solt’s qualifier that this clash moves beyond any normal culture war reveals a deep anxiety over the collision, implying critical debate presents not a simple stylistic disagreement but an antagonistic challenge to the very foundations of policy debate. Concerns amongst the community arose over whether or not critical debate deviated too much from the stasis point of the resolution and policy debate norms, lamenting a perceived anti-intellectualism, dogmatism, and a “loss of civility in the activity” (Parcher, 2004). However, as Amber Kelsie (2019) highlights, </w:t>
      </w:r>
      <w:r w:rsidRPr="00773E53">
        <w:rPr>
          <w:sz w:val="8"/>
        </w:rPr>
        <w:t>the rhetorical move to rally the community around a shared stasis point functions to enforce liberal sovereignty’s constant state of emergency against the wretched of the earth. Indeed, critical debaters - in particular</w:t>
      </w:r>
      <w:r w:rsidRPr="005C1A21">
        <w:rPr>
          <w:rFonts w:eastAsia="Calibri"/>
          <w:b/>
          <w:sz w:val="26"/>
          <w:u w:val="single"/>
          <w:bdr w:val="none" w:sz="0" w:space="0" w:color="auto" w:frame="1"/>
        </w:rPr>
        <w:t xml:space="preserve"> </w:t>
      </w:r>
      <w:r w:rsidRPr="00773E53">
        <w:rPr>
          <w:sz w:val="8"/>
        </w:rPr>
        <w:t>Black and minority critical debaters - are often framed as uncivilized, undisciplined, and a threat to the integrity of the activity. Ironically, this community has become engulfed in a debate about debate. As a previous editor of Contemporary Argumentation &amp; Debate (Louden, 2004) has noted, “the debate about debate simultaneously tears at the fabric of community and builds shared norms, an unending search for an ‘acceptable’ balance.” (p. 40). Taking the concern that critical debate presents a threat to the ability to produce adequate clash into consideration, we explore the potential for alternative approaches to policy debate that have heretofore been discounted. Put another way, this article seeks to articulate the nuanced debates and clash offered by the uncivilized.</w:t>
      </w:r>
      <w:r w:rsidRPr="00773E53">
        <w:rPr>
          <w:rFonts w:eastAsia="Calibri"/>
          <w:sz w:val="8"/>
        </w:rPr>
        <w:t xml:space="preserve"> Building on scholars such as Amber Kelsie, Shanara Reid-Brinkley (2008), Tiffany Dillard-Knox (2014), Rashad Evans (2015), and others, we argue that these debates -- what we refer to as Contemporary Argumentation &amp; Debate 38 (2023) Clash of the Uncivilized 103 “</w:t>
      </w:r>
      <w:r w:rsidRPr="008B7D87">
        <w:rPr>
          <w:rFonts w:eastAsia="Calibri"/>
          <w:b/>
          <w:sz w:val="26"/>
          <w:highlight w:val="green"/>
          <w:u w:val="single"/>
          <w:bdr w:val="none" w:sz="0" w:space="0" w:color="auto" w:frame="1"/>
        </w:rPr>
        <w:t xml:space="preserve">revolutionary v. revolutionary debates” </w:t>
      </w:r>
      <w:r w:rsidRPr="00773E53">
        <w:rPr>
          <w:rFonts w:eastAsia="Calibri"/>
          <w:sz w:val="8"/>
        </w:rPr>
        <w:t>or “rev v. rev debates” --</w:t>
      </w:r>
      <w:r w:rsidRPr="008B7D87">
        <w:rPr>
          <w:rFonts w:eastAsia="Calibri"/>
          <w:b/>
          <w:sz w:val="12"/>
          <w:highlight w:val="green"/>
          <w:u w:val="single"/>
          <w:bdr w:val="none" w:sz="0" w:space="0" w:color="auto" w:frame="1"/>
        </w:rPr>
        <w:t xml:space="preserve"> </w:t>
      </w:r>
      <w:r w:rsidRPr="008B7D87">
        <w:rPr>
          <w:rFonts w:eastAsia="Calibri"/>
          <w:b/>
          <w:sz w:val="26"/>
          <w:highlight w:val="green"/>
          <w:u w:val="single"/>
          <w:bdr w:val="none" w:sz="0" w:space="0" w:color="auto" w:frame="1"/>
        </w:rPr>
        <w:t>produce nuanced and generative clash over the nature of resistance to structures of domination</w:t>
      </w:r>
      <w:r w:rsidRPr="00773E53">
        <w:rPr>
          <w:sz w:val="8"/>
        </w:rPr>
        <w:t>. We choose to use the term “revolutionary” in contrast to traditional approaches to top-down, U.S. governmental reform,</w:t>
      </w:r>
      <w:r w:rsidRPr="008B7D87">
        <w:rPr>
          <w:rFonts w:eastAsia="Calibri"/>
          <w:b/>
          <w:sz w:val="26"/>
          <w:highlight w:val="green"/>
          <w:u w:val="single"/>
          <w:bdr w:val="none" w:sz="0" w:space="0" w:color="auto" w:frame="1"/>
        </w:rPr>
        <w:t xml:space="preserve"> to designate those approaches that seek to move beyond reformulation of particular institutions to a reorientation of societal foundations. We </w:t>
      </w:r>
      <w:r w:rsidRPr="00773E53">
        <w:rPr>
          <w:rFonts w:eastAsia="Calibri"/>
          <w:sz w:val="8"/>
        </w:rPr>
        <w:t>seek to</w:t>
      </w:r>
      <w:r w:rsidRPr="008B7D87">
        <w:rPr>
          <w:rFonts w:eastAsia="Calibri"/>
          <w:b/>
          <w:sz w:val="10"/>
          <w:highlight w:val="green"/>
          <w:u w:val="single"/>
          <w:bdr w:val="none" w:sz="0" w:space="0" w:color="auto" w:frame="1"/>
        </w:rPr>
        <w:t xml:space="preserve"> </w:t>
      </w:r>
      <w:r w:rsidRPr="008B7D87">
        <w:rPr>
          <w:rFonts w:eastAsia="Calibri"/>
          <w:b/>
          <w:sz w:val="26"/>
          <w:highlight w:val="green"/>
          <w:u w:val="single"/>
          <w:bdr w:val="none" w:sz="0" w:space="0" w:color="auto" w:frame="1"/>
        </w:rPr>
        <w:t>displace the presumption that debates ought to solely entail consideration over reform and the desirability of governmental action.</w:t>
      </w:r>
      <w:r w:rsidRPr="008B7D87">
        <w:rPr>
          <w:rFonts w:eastAsia="Calibri"/>
          <w:b/>
          <w:sz w:val="26"/>
          <w:u w:val="single"/>
          <w:bdr w:val="none" w:sz="0" w:space="0" w:color="auto" w:frame="1"/>
        </w:rPr>
        <w:t xml:space="preserve"> </w:t>
      </w:r>
      <w:r w:rsidRPr="00773E53">
        <w:rPr>
          <w:rFonts w:eastAsia="Calibri"/>
          <w:sz w:val="8"/>
        </w:rPr>
        <w:t xml:space="preserve">Consequently, </w:t>
      </w:r>
      <w:r w:rsidRPr="00773E53">
        <w:rPr>
          <w:sz w:val="8"/>
        </w:rPr>
        <w:t>the label “revolutionary” does not imply the purity of these alternative approaches. On the contrary, we suggest they can and should be critiqued, examined, and debated. In doing so, we highlight how</w:t>
      </w:r>
      <w:r w:rsidRPr="008B7D87">
        <w:rPr>
          <w:rFonts w:eastAsia="Calibri"/>
          <w:b/>
          <w:sz w:val="26"/>
          <w:highlight w:val="green"/>
          <w:u w:val="single"/>
          <w:bdr w:val="none" w:sz="0" w:space="0" w:color="auto" w:frame="1"/>
        </w:rPr>
        <w:t xml:space="preserve"> centering Black and minoritarian knowledge produces thoughtful debates about the resolution concerning the analytical frameworks, methodologies, and representations deployed by opposing teams</w:t>
      </w:r>
      <w:r w:rsidRPr="00773E53">
        <w:rPr>
          <w:rFonts w:eastAsia="Calibri"/>
          <w:sz w:val="8"/>
        </w:rPr>
        <w:t xml:space="preserve">. In what follows, we explore the scholarly challenges to critical debate and some of the responses </w:t>
      </w:r>
      <w:proofErr w:type="gramStart"/>
      <w:r w:rsidRPr="00773E53">
        <w:rPr>
          <w:rFonts w:eastAsia="Calibri"/>
          <w:sz w:val="8"/>
        </w:rPr>
        <w:t>by critical debates’</w:t>
      </w:r>
      <w:proofErr w:type="gramEnd"/>
      <w:r w:rsidRPr="00773E53">
        <w:rPr>
          <w:rFonts w:eastAsia="Calibri"/>
          <w:sz w:val="8"/>
        </w:rPr>
        <w:t xml:space="preserve"> interlocutors. Intervening in this debate about debate, </w:t>
      </w:r>
      <w:r w:rsidRPr="00773E53">
        <w:rPr>
          <w:sz w:val="8"/>
        </w:rPr>
        <w:t>we contend that these interlocutors present a rich basis for considering alternative forms of policy debate that do not result in anti-intellectualism but instead in new approaches to clash</w:t>
      </w:r>
      <w:r w:rsidRPr="00773E53">
        <w:rPr>
          <w:sz w:val="8"/>
          <w:highlight w:val="green"/>
        </w:rPr>
        <w:t>.</w:t>
      </w:r>
      <w:r w:rsidRPr="00773E53">
        <w:rPr>
          <w:sz w:val="8"/>
        </w:rPr>
        <w:t xml:space="preserve"> By</w:t>
      </w:r>
      <w:r w:rsidRPr="00773E53">
        <w:rPr>
          <w:rFonts w:eastAsia="Calibri"/>
          <w:sz w:val="8"/>
        </w:rPr>
        <w:t xml:space="preserve"> exploring emerging communication scholarship on race, social movements, and critical theory, we argue that this </w:t>
      </w:r>
      <w:r w:rsidRPr="008B7D87">
        <w:rPr>
          <w:rFonts w:eastAsia="Calibri"/>
          <w:b/>
          <w:sz w:val="26"/>
          <w:highlight w:val="green"/>
          <w:u w:val="single"/>
          <w:bdr w:val="none" w:sz="0" w:space="0" w:color="auto" w:frame="1"/>
        </w:rPr>
        <w:t>clash in rev v. rev debates has a grounding in evolving theoretical debates about social change between scholars and activists outside of the activity</w:t>
      </w:r>
      <w:r w:rsidRPr="00773E53">
        <w:rPr>
          <w:rFonts w:eastAsia="Calibri"/>
          <w:sz w:val="8"/>
        </w:rPr>
        <w:t xml:space="preserve">. We conclude by reflecting on the legacy of Louisville and the potential scholarly engagements offered by rev v. rev debates that counteract the overdetermination of these debates as ungrounded in critical thinking. Framework Makes the Game Work: Stasis, Limits, &amp; Clash Debaters and coaches who subscribe to the particular ideology of traditional policy debate have made it a point to establish an archive of stylistic practices and norms which protect the integrity of the activity by providing a lens from which to interpret the </w:t>
      </w:r>
      <w:proofErr w:type="spellStart"/>
      <w:r w:rsidRPr="00773E53">
        <w:rPr>
          <w:rFonts w:eastAsia="Calibri"/>
          <w:sz w:val="8"/>
        </w:rPr>
        <w:t>resolutional</w:t>
      </w:r>
      <w:proofErr w:type="spellEnd"/>
      <w:r w:rsidRPr="00773E53">
        <w:rPr>
          <w:rFonts w:eastAsia="Calibri"/>
          <w:sz w:val="8"/>
        </w:rPr>
        <w:t xml:space="preserve"> question posed at the beginning of the year. Each year the college debate community votes on the topic area and resolution that is selected for the season. The community begins first with the topic area which centers important controversies such as climate change, health care, executive power, U.S. military presence abroad, and so forth. Then the particular wording that will frame the debates over these controversies is selected from a slate of six options released by the topic committee. It is in the development of a vision for topical debates where the archival practices of traditional policy debate are most visible. Due to the preference for debates concerning the effects resulting from a simulated governmental action, these resolutions are usually grounded in disciplines such as international relations, political theory, and legal theory. This simulation of clashing political theories is referred to as game theory by the late influential debate theorist and coach Alfred Snider (2003). Whereas healthcare is a broad subject sparking debate in a multitude of disciplines including theories of Blackness, feminism, anti-capitalism, and social movements to name a few, the wording ensures that there is a limit on what debaters can discuss in relation to this topic. Proponents of this model of debate maintain that this limit is important to maintaining an agreed upon stasis point so that the debaters and coaches on both sides are able to adequately prepare based upon the fact that they are more likely to predict opposing arguments. In doing so, they suggest debates become more substantive over multiple rounds of engaging the same arguments and developing more sophisticated responses. In order to maintain this model of debate a topic area such as health care is given a particular frame through the wording as in the case of 2017-2018 resolution which read: “Resolved: The United States Federal Government should establish national health insurance in the United States” (Cross Examination Debate Association, 2017). In this </w:t>
      </w:r>
      <w:proofErr w:type="spellStart"/>
      <w:r w:rsidRPr="00773E53">
        <w:rPr>
          <w:rFonts w:eastAsia="Calibri"/>
          <w:sz w:val="8"/>
        </w:rPr>
        <w:t>resolutional</w:t>
      </w:r>
      <w:proofErr w:type="spellEnd"/>
      <w:r w:rsidRPr="00773E53">
        <w:rPr>
          <w:rFonts w:eastAsia="Calibri"/>
          <w:sz w:val="8"/>
        </w:rPr>
        <w:t xml:space="preserve"> wording the U.S. federal government is the agent, establish is the mechanism, and national health insurance is the object. This means that for teams affirming the resolution they must advocate that the government - defined as the three branches in Washington D.C. - establish a particular policy action which they ground in literature concerning the term of art national health insurance referring to a single-payer system in which the government provides universal health care using public taxes (</w:t>
      </w:r>
      <w:proofErr w:type="spellStart"/>
      <w:r w:rsidRPr="00773E53">
        <w:rPr>
          <w:rFonts w:eastAsia="Calibri"/>
          <w:sz w:val="8"/>
        </w:rPr>
        <w:t>Konish</w:t>
      </w:r>
      <w:proofErr w:type="spellEnd"/>
      <w:r w:rsidRPr="00773E53">
        <w:rPr>
          <w:rFonts w:eastAsia="Calibri"/>
          <w:sz w:val="8"/>
        </w:rPr>
        <w:t xml:space="preserve">, 2019). What happens when a team instead chooses to argue that insurance is not the same thing as care, and that marginalized people in the U.S. will continue to be disproportionately prone to poor health, injury, and death? What happens when this team refuses to simulate government action but instead propose a non-State method grounded in existing literature bases related to health care debates? According to proponents of traditional policy debate, the important benefits derived from the activity are destroyed. In order to prevent this debate apocalypse, traditional policy teams have ritually invested in the practice of negative teams reading a position that explicitly argues the affirmative team should lose for violating the traditional framework of debate. For them, debate stops providing decision making skills in policymaking and results in extreme, polarizing ideologies that dissolve debates into endless personal attacks and anti-intellectualism (Steinberg and Freeley, 2008). Contemporary Argumentation &amp; Debate 38 (2023) Clash of the Uncivilized 105 Despite this mounted effort to enforce a particular archival practice of knowledge in relation to particular controversies, critical/performance debate has continued to grow and evolve since the inception of Louisville’s Malcolm X Debate Society. In the wake of Louisville’s success, debate theorists and coaches continued their efforts to standardize their traditional view of debate through academic articles that presented the community with their arguments as to why critical/performance debate risked the very existence of the activity. Jeff Parcher (2004) argued that the community needed to be wary about the fractionalization of debate. He explained that he believed personal debates about privilege and personal identity would increase anger, hurt, and a loss of civility in the activity (p. 90). Solt (2004) concurred by arguing that critical/performance debate results in a focus on pathos, a lack of supporting evidence, and no real action. Instead of there being a fixed theory for interpreting the resolution, Solt describes an activity of chaos and unpredictable mix of theories used to skirt debates about policy simulation. (p. 51). Another criticism of critical/performance debate is that it produces conviction-based debate in which the debaters are only supposed to defend arguments they truly support. Debate theorists such as Star Muir (1993) and Casey Harrigan (2008) have instead argued for a model of switch side debate which forces debaters to consider the various sides of an argument relating to the resolution even if they disagree. For Harrigan, “switching sides and experimenting with possible arguments for and against controversial issues, in the end, makes students more likely to ground their beliefs in a reasoned form of critical thinking that is durable and unsusceptible to knee-jerk criticisms” (p. 40). It is clear to see that in this archiving of the legitimate practices of debate, critical/performance debate has been discounted as uncivil and destructive. Much of this discourse is rooted in Ancient Greek notions of rhetoric that privileges logos over pathos, a preference which has historically resulted in the devaluation of Black rhetorical traditions and linguistic practices (Gilyard and Banks, 2018; Gates, 1988). Paul Gilyard (2007) has explored the concept of Nommo - the African belief in the power of the word - to explain that applying European tools of rhetorical criticism are simply inadequate to represent Black rhetorical traditions. Nommo encompasses practices such as rhythm, call and response, </w:t>
      </w:r>
      <w:proofErr w:type="spellStart"/>
      <w:r w:rsidRPr="00773E53">
        <w:rPr>
          <w:rFonts w:eastAsia="Calibri"/>
          <w:sz w:val="8"/>
        </w:rPr>
        <w:t>stylin</w:t>
      </w:r>
      <w:proofErr w:type="spellEnd"/>
      <w:r w:rsidRPr="00773E53">
        <w:rPr>
          <w:rFonts w:eastAsia="Calibri"/>
          <w:sz w:val="8"/>
        </w:rPr>
        <w:t xml:space="preserve">’, improvisation, storytelling, lyrical code, and image making (p. 18). Building on these Black rhetorical traditions, Dr. Shanara Reid-Brinkley (2008) has pushed debate theorists to reckon with 106 Athanasopoulos &amp; Sugino Contemporary Argumentation &amp; Debate 38 (2023) the stylistic practices of Black debate and the parasitic nature of savior narratives proliferated by debate programs concerning Black inner-city youth. Reid-Brinkley explains that: The Louisville debaters [engaged] in two rhetorical strategies designed to disrupt the normativity of traditional debate practices: 1) the African American practice of </w:t>
      </w:r>
      <w:proofErr w:type="spellStart"/>
      <w:r w:rsidRPr="00773E53">
        <w:rPr>
          <w:rFonts w:eastAsia="Calibri"/>
          <w:sz w:val="8"/>
        </w:rPr>
        <w:t>signifyin</w:t>
      </w:r>
      <w:proofErr w:type="spellEnd"/>
      <w:r w:rsidRPr="00773E53">
        <w:rPr>
          <w:rFonts w:eastAsia="Calibri"/>
          <w:sz w:val="8"/>
        </w:rPr>
        <w:t xml:space="preserve">', and 2) genre violation as a means of using style and performance to combat the social ideologies that result in unequal power relations across race, gender, and class within the national policy debate community. It is these two rhetorical strategies that [made] Louisville’s rhetoric seem argumentative and confrontational. (p. 78). </w:t>
      </w:r>
      <w:r w:rsidRPr="00773E53">
        <w:rPr>
          <w:sz w:val="8"/>
        </w:rPr>
        <w:t>In violating the genre of traditional policy debate, Louisville opened up the possibility for</w:t>
      </w:r>
      <w:r w:rsidRPr="00D52636">
        <w:rPr>
          <w:rFonts w:eastAsia="Calibri"/>
          <w:b/>
          <w:sz w:val="16"/>
          <w:u w:val="single"/>
          <w:bdr w:val="none" w:sz="0" w:space="0" w:color="auto" w:frame="1"/>
        </w:rPr>
        <w:t xml:space="preserve"> </w:t>
      </w:r>
      <w:r w:rsidRPr="008B7D87">
        <w:rPr>
          <w:rFonts w:eastAsia="Calibri"/>
          <w:b/>
          <w:sz w:val="26"/>
          <w:highlight w:val="green"/>
          <w:u w:val="single"/>
          <w:bdr w:val="none" w:sz="0" w:space="0" w:color="auto" w:frame="1"/>
        </w:rPr>
        <w:t xml:space="preserve">a new stasis point centered around resistance to structures of domination </w:t>
      </w:r>
      <w:r w:rsidRPr="00773E53">
        <w:rPr>
          <w:sz w:val="8"/>
        </w:rPr>
        <w:t>through each topic and by placing the coveted norms of the activity up for debate in a way never previously encountered.</w:t>
      </w:r>
      <w:r w:rsidRPr="00773E53">
        <w:rPr>
          <w:rFonts w:eastAsia="Calibri"/>
          <w:sz w:val="8"/>
        </w:rPr>
        <w:t xml:space="preserve"> Louisville </w:t>
      </w:r>
      <w:proofErr w:type="gramStart"/>
      <w:r w:rsidRPr="00773E53">
        <w:rPr>
          <w:rFonts w:eastAsia="Calibri"/>
          <w:sz w:val="8"/>
        </w:rPr>
        <w:t>debate program</w:t>
      </w:r>
      <w:proofErr w:type="gramEnd"/>
      <w:r w:rsidRPr="00773E53">
        <w:rPr>
          <w:rFonts w:eastAsia="Calibri"/>
          <w:sz w:val="8"/>
        </w:rPr>
        <w:t xml:space="preserve"> director and communication scholar Tiffany Dillard-Knox (2014) explains that even in the twenty years since the inception of the program, traditional policy debate has refused to confront these alternative conceptions of debate and stylistic practices. Dillard-Knox has called for researchers of intercollegiate policy debate to broaden their research scopes, to begin to identify common methodologies employed by critical/performance teams, and to develop new mechanisms for evaluating what a good debate is (p. 76-77). Importantly, she also makes clear that while game theory has become the dominant way for understanding policy debate</w:t>
      </w:r>
      <w:r w:rsidRPr="00773E53">
        <w:rPr>
          <w:sz w:val="8"/>
        </w:rPr>
        <w:t>, the activity serves a dual purpose for marginalized students insofar as</w:t>
      </w:r>
      <w:r w:rsidRPr="005C1A21">
        <w:rPr>
          <w:rFonts w:eastAsia="Calibri"/>
          <w:b/>
          <w:sz w:val="12"/>
          <w:highlight w:val="green"/>
          <w:u w:val="single"/>
          <w:bdr w:val="none" w:sz="0" w:space="0" w:color="auto" w:frame="1"/>
        </w:rPr>
        <w:t xml:space="preserve"> </w:t>
      </w:r>
      <w:r w:rsidRPr="00773E53">
        <w:rPr>
          <w:sz w:val="8"/>
        </w:rPr>
        <w:t>debate is a way for them to survive and find ways to challenge their oppression</w:t>
      </w:r>
      <w:r w:rsidRPr="00773E53">
        <w:rPr>
          <w:rFonts w:eastAsia="Calibri"/>
          <w:sz w:val="8"/>
        </w:rPr>
        <w:t xml:space="preserve">. In regard to the skills produced by critical debate, scholars such as Jennifer Johnson (2016) and David Peterson (2014) argue debate has helped students explore multiple theories of resistance, has helped them navigate schooling institutions, and has brought </w:t>
      </w:r>
      <w:proofErr w:type="spellStart"/>
      <w:r w:rsidRPr="00773E53">
        <w:rPr>
          <w:rFonts w:eastAsia="Calibri"/>
          <w:sz w:val="8"/>
        </w:rPr>
        <w:t>togetsher</w:t>
      </w:r>
      <w:proofErr w:type="spellEnd"/>
      <w:r w:rsidRPr="00773E53">
        <w:rPr>
          <w:rFonts w:eastAsia="Calibri"/>
          <w:sz w:val="8"/>
        </w:rPr>
        <w:t xml:space="preserve"> communities of marginalized youth. Many of the progenitors of critical/performance debate have used their training to enter academia, law, social justice activism, and many have dedicated their lives to teaching high school students demonstrating the ways in which the knowledge produced in these rev v. rev debates have an immeasurable impact on its participants. Contemporary Argumentation &amp; Debate 38 (2023) Clash of the Uncivilized 107 In regard to concerns of conviction-based debate and increased personalization of arguments, rev v. rev debate as a conceptual framework offers a way to criticize these practices without simply reverting back to traditional policy debate. As former debater and national champion Rashad William Evans recounts in his online blog, in a 2015 online debate with Casey Harrigan, Harrigan argued that switch side debate was irredeemably racist and unethical. He aimed to prove the merits of his position, which stated that debaters should be prepared to defend arguments they may not truly believe. Evans responded by refusing to subscribe to a simple </w:t>
      </w:r>
      <w:proofErr w:type="spellStart"/>
      <w:r w:rsidRPr="00773E53">
        <w:rPr>
          <w:rFonts w:eastAsia="Calibri"/>
          <w:sz w:val="8"/>
        </w:rPr>
        <w:t>yesno</w:t>
      </w:r>
      <w:proofErr w:type="spellEnd"/>
      <w:r w:rsidRPr="00773E53">
        <w:rPr>
          <w:rFonts w:eastAsia="Calibri"/>
          <w:sz w:val="8"/>
        </w:rPr>
        <w:t xml:space="preserve"> debate concerning switch side debate. Instead, Evans conceptualizes an alternative vision of Black switch side debate by arguing that “Black debaters are the future and they will remake the world partially in an image of themselves. This requires that they theorize their Blackness across topics, resolutions and debates. This is the revolution we are waiting for” (2015, </w:t>
      </w:r>
      <w:proofErr w:type="spellStart"/>
      <w:r w:rsidRPr="00773E53">
        <w:rPr>
          <w:rFonts w:eastAsia="Calibri"/>
          <w:sz w:val="8"/>
        </w:rPr>
        <w:t>n.p.</w:t>
      </w:r>
      <w:proofErr w:type="spellEnd"/>
      <w:r w:rsidRPr="00773E53">
        <w:rPr>
          <w:rFonts w:eastAsia="Calibri"/>
          <w:sz w:val="8"/>
        </w:rPr>
        <w:t xml:space="preserve">). Evans’ argument flips the complaints of traditional policy debate on its head by highlighting how </w:t>
      </w:r>
      <w:r w:rsidRPr="00773E53">
        <w:rPr>
          <w:sz w:val="8"/>
        </w:rPr>
        <w:t>white debaters have based their interpretations of debate in their own convictions while masking it as objective. In other words, it is traditional white policy debate that has avoided engaging with radical Black thought due to an anti-intellectual and solipsistic investment in its established norms.</w:t>
      </w:r>
      <w:r w:rsidRPr="00773E53">
        <w:rPr>
          <w:rFonts w:eastAsia="Calibri"/>
          <w:sz w:val="8"/>
        </w:rPr>
        <w:t xml:space="preserve"> In fact, Evans highlights how a </w:t>
      </w:r>
      <w:r w:rsidRPr="008B7D87">
        <w:rPr>
          <w:rFonts w:eastAsia="Calibri"/>
          <w:b/>
          <w:sz w:val="26"/>
          <w:highlight w:val="green"/>
          <w:u w:val="single"/>
          <w:bdr w:val="none" w:sz="0" w:space="0" w:color="auto" w:frame="1"/>
        </w:rPr>
        <w:t xml:space="preserve">rev v. rev debate does not necessarily result in the rejection of governmental action, but </w:t>
      </w:r>
      <w:r w:rsidRPr="00773E53">
        <w:rPr>
          <w:rFonts w:eastAsia="Calibri"/>
          <w:sz w:val="8"/>
        </w:rPr>
        <w:t xml:space="preserve">that Black switch side debate </w:t>
      </w:r>
      <w:r w:rsidRPr="008B7D87">
        <w:rPr>
          <w:rFonts w:eastAsia="Calibri"/>
          <w:b/>
          <w:sz w:val="26"/>
          <w:highlight w:val="green"/>
          <w:u w:val="single"/>
          <w:bdr w:val="none" w:sz="0" w:space="0" w:color="auto" w:frame="1"/>
        </w:rPr>
        <w:t xml:space="preserve">offers a more nuanced engagement with policy that would require implementation through abnormal means, </w:t>
      </w:r>
      <w:r w:rsidRPr="00773E53">
        <w:rPr>
          <w:sz w:val="8"/>
        </w:rPr>
        <w:t xml:space="preserve">as opposed to the continuation of normative status quo mechanisms. As Reid-Brinkley (2019) argues, Black critical/performance debate has forced white individuals and institutions to respond to confrontations about the anti-Black and otherwise violent nature of its archival </w:t>
      </w:r>
      <w:proofErr w:type="gramStart"/>
      <w:r w:rsidRPr="00773E53">
        <w:rPr>
          <w:sz w:val="8"/>
        </w:rPr>
        <w:t xml:space="preserve">practices, </w:t>
      </w:r>
      <w:r w:rsidRPr="00773E53">
        <w:rPr>
          <w:rFonts w:eastAsia="Calibri"/>
          <w:sz w:val="8"/>
        </w:rPr>
        <w:t>and</w:t>
      </w:r>
      <w:proofErr w:type="gramEnd"/>
      <w:r w:rsidRPr="00773E53">
        <w:rPr>
          <w:rFonts w:eastAsia="Calibri"/>
          <w:sz w:val="8"/>
        </w:rPr>
        <w:t xml:space="preserve"> notably highlights the intense responses to Black voice immediately within a competitive zone. In this view we cannot measure the impact of critical debate in context of an instrumental goal of </w:t>
      </w:r>
      <w:proofErr w:type="gramStart"/>
      <w:r w:rsidRPr="00773E53">
        <w:rPr>
          <w:rFonts w:eastAsia="Calibri"/>
          <w:sz w:val="8"/>
        </w:rPr>
        <w:t>recognition, but</w:t>
      </w:r>
      <w:proofErr w:type="gramEnd"/>
      <w:r w:rsidRPr="00773E53">
        <w:rPr>
          <w:rFonts w:eastAsia="Calibri"/>
          <w:sz w:val="8"/>
        </w:rPr>
        <w:t xml:space="preserve"> instead understand this Black voice as producing deep interrogations of our social fabric both within debate and in U.S. society writ large (p. 231). Put another way, the success of Black debate cannot be measured by how close it gets to recognition from the traditional policy debate community, just as Black voice cannot be reduced to the passage of instrumental state reform. Black voice challenges the political trajectory of those goals and instead finds power in creating informal networks that exceed the operations of the state, of the university, of the governing bodies of policy debate. Fred Moten and Stefano Harney (2013) have previously explored how these informal networks function in a criminal relationship to these institutions, having to find ways to avoid their constraining logics and 108 Athanasopoulos &amp; Sugino Contemporary Argumentation &amp; Debate 38 (2023) provide support and care for marginalized people. </w:t>
      </w:r>
      <w:r w:rsidRPr="008B7D87">
        <w:rPr>
          <w:rFonts w:eastAsia="Calibri"/>
          <w:b/>
          <w:sz w:val="26"/>
          <w:highlight w:val="green"/>
          <w:u w:val="single"/>
          <w:bdr w:val="none" w:sz="0" w:space="0" w:color="auto" w:frame="1"/>
        </w:rPr>
        <w:t xml:space="preserve">We </w:t>
      </w:r>
      <w:r w:rsidRPr="00773E53">
        <w:rPr>
          <w:sz w:val="8"/>
        </w:rPr>
        <w:t>might instead ask ourselves how lives and practices deemed criminal and wayward actually</w:t>
      </w:r>
      <w:r w:rsidRPr="008B7D87">
        <w:rPr>
          <w:rFonts w:eastAsia="Calibri"/>
          <w:b/>
          <w:sz w:val="12"/>
          <w:highlight w:val="green"/>
          <w:u w:val="single"/>
          <w:bdr w:val="none" w:sz="0" w:space="0" w:color="auto" w:frame="1"/>
        </w:rPr>
        <w:t xml:space="preserve"> </w:t>
      </w:r>
      <w:r w:rsidRPr="008B7D87">
        <w:rPr>
          <w:rFonts w:eastAsia="Calibri"/>
          <w:b/>
          <w:sz w:val="26"/>
          <w:highlight w:val="green"/>
          <w:u w:val="single"/>
          <w:bdr w:val="none" w:sz="0" w:space="0" w:color="auto" w:frame="1"/>
        </w:rPr>
        <w:t>form the cornerstone of revolutionary practice and social life through its beautiful experiments</w:t>
      </w:r>
      <w:r w:rsidRPr="00773E53">
        <w:rPr>
          <w:rFonts w:eastAsia="Calibri"/>
          <w:sz w:val="8"/>
        </w:rPr>
        <w:t xml:space="preserve"> (Hartman, 2019). In other words, how can </w:t>
      </w:r>
      <w:r w:rsidRPr="00773E53">
        <w:rPr>
          <w:sz w:val="8"/>
        </w:rPr>
        <w:t>we explore the debate practices of the marginalized in a way that doesn’t establish an anti-Black and neoliberal narrative of the “ghetto kid gone good”?</w:t>
      </w:r>
      <w:r w:rsidRPr="00773E53">
        <w:rPr>
          <w:rFonts w:eastAsia="Calibri"/>
          <w:sz w:val="8"/>
        </w:rPr>
        <w:t xml:space="preserve"> How instead can </w:t>
      </w:r>
      <w:r w:rsidRPr="00773E53">
        <w:rPr>
          <w:sz w:val="8"/>
        </w:rPr>
        <w:t xml:space="preserve">we find the power in remaining ghetto, ratchet, radical, uncivilized? How do we shift from proving our respectability to the elite and instead center the vibrant social practices that exist within pathology? </w:t>
      </w:r>
      <w:r w:rsidRPr="00773E53">
        <w:rPr>
          <w:rFonts w:eastAsia="Calibri"/>
          <w:sz w:val="8"/>
        </w:rPr>
        <w:t xml:space="preserve">The next section of this essay attempts to answer these questions by exploring how alternative conceptions of social movements might be applied to critical/performance debate. By </w:t>
      </w:r>
      <w:proofErr w:type="gramStart"/>
      <w:r w:rsidRPr="00773E53">
        <w:rPr>
          <w:rFonts w:eastAsia="Calibri"/>
          <w:sz w:val="8"/>
        </w:rPr>
        <w:t>couching</w:t>
      </w:r>
      <w:proofErr w:type="gramEnd"/>
      <w:r w:rsidRPr="00773E53">
        <w:rPr>
          <w:rFonts w:eastAsia="Calibri"/>
          <w:sz w:val="8"/>
        </w:rPr>
        <w:t xml:space="preserve"> these practices in existing scholarship such as the fields of social movement theory and communication studies to name a few, we attempt to further articulate how </w:t>
      </w:r>
      <w:r w:rsidRPr="008B7D87">
        <w:rPr>
          <w:rFonts w:eastAsia="Calibri"/>
          <w:b/>
          <w:sz w:val="26"/>
          <w:highlight w:val="green"/>
          <w:u w:val="single"/>
          <w:bdr w:val="none" w:sz="0" w:space="0" w:color="auto" w:frame="1"/>
        </w:rPr>
        <w:t>rev v. rev debates offer a literature base over which fruitful clash can occur. In doing so, we challenge the overrepresentation of traditional policy debate as debate itself through a critical interrogation of traditional norms and practices.</w:t>
      </w:r>
      <w:r w:rsidRPr="00773E53">
        <w:rPr>
          <w:rFonts w:eastAsia="Calibri"/>
          <w:sz w:val="8"/>
        </w:rPr>
        <w:t xml:space="preserve"> </w:t>
      </w:r>
      <w:r w:rsidRPr="00773E53">
        <w:rPr>
          <w:sz w:val="8"/>
        </w:rPr>
        <w:t xml:space="preserve">We argue that </w:t>
      </w:r>
      <w:r w:rsidRPr="008B7D87">
        <w:rPr>
          <w:rStyle w:val="Emphasis"/>
          <w:highlight w:val="green"/>
        </w:rPr>
        <w:t>these norms are</w:t>
      </w:r>
      <w:r w:rsidRPr="00773E53">
        <w:rPr>
          <w:sz w:val="8"/>
        </w:rPr>
        <w:t xml:space="preserve"> not a result of a balanced social contract, but instead</w:t>
      </w:r>
      <w:r w:rsidRPr="008B7D87">
        <w:rPr>
          <w:rFonts w:eastAsia="Calibri"/>
          <w:b/>
          <w:sz w:val="10"/>
          <w:highlight w:val="green"/>
          <w:u w:val="single"/>
          <w:bdr w:val="none" w:sz="0" w:space="0" w:color="auto" w:frame="1"/>
        </w:rPr>
        <w:t xml:space="preserve"> </w:t>
      </w:r>
      <w:r w:rsidRPr="008B7D87">
        <w:rPr>
          <w:rFonts w:eastAsia="Calibri"/>
          <w:b/>
          <w:sz w:val="26"/>
          <w:highlight w:val="green"/>
          <w:u w:val="single"/>
          <w:bdr w:val="none" w:sz="0" w:space="0" w:color="auto" w:frame="1"/>
        </w:rPr>
        <w:t xml:space="preserve">an enforcement of anti-Black power as a way to impose </w:t>
      </w:r>
      <w:r w:rsidRPr="00773E53">
        <w:rPr>
          <w:sz w:val="8"/>
        </w:rPr>
        <w:t>these norms on the community. Through this process traditional policy debate produces</w:t>
      </w:r>
      <w:r w:rsidRPr="008B7D87">
        <w:rPr>
          <w:rFonts w:eastAsia="Calibri"/>
          <w:b/>
          <w:sz w:val="10"/>
          <w:highlight w:val="green"/>
          <w:u w:val="single"/>
          <w:bdr w:val="none" w:sz="0" w:space="0" w:color="auto" w:frame="1"/>
        </w:rPr>
        <w:t xml:space="preserve"> </w:t>
      </w:r>
      <w:r w:rsidRPr="008B7D87">
        <w:rPr>
          <w:rFonts w:eastAsia="Calibri"/>
          <w:b/>
          <w:sz w:val="26"/>
          <w:highlight w:val="green"/>
          <w:u w:val="single"/>
          <w:bdr w:val="none" w:sz="0" w:space="0" w:color="auto" w:frame="1"/>
        </w:rPr>
        <w:t xml:space="preserve">a narrow vision of education </w:t>
      </w:r>
      <w:r w:rsidRPr="00773E53">
        <w:rPr>
          <w:sz w:val="8"/>
        </w:rPr>
        <w:t>and the types of portable skills can be gained from the activity, because it can only find value in the sections of the library they have arbitrarily championed as the only sections worth examining</w:t>
      </w:r>
    </w:p>
    <w:p w14:paraId="50F8E421" w14:textId="77777777" w:rsidR="00BE4681" w:rsidRPr="008B7D87" w:rsidRDefault="00BE4681" w:rsidP="00BE4681">
      <w:pPr>
        <w:pStyle w:val="Heading3"/>
        <w:rPr>
          <w:rFonts w:eastAsia="Calibri"/>
          <w:bdr w:val="none" w:sz="0" w:space="0" w:color="auto" w:frame="1"/>
        </w:rPr>
      </w:pPr>
      <w:r>
        <w:rPr>
          <w:rFonts w:eastAsia="Calibri"/>
          <w:bdr w:val="none" w:sz="0" w:space="0" w:color="auto" w:frame="1"/>
        </w:rPr>
        <w:t>Role of the ballot</w:t>
      </w:r>
    </w:p>
    <w:p w14:paraId="77549ABB" w14:textId="77777777" w:rsidR="00BE4681" w:rsidRPr="00AB6CCF" w:rsidRDefault="00BE4681" w:rsidP="00BE4681">
      <w:pPr>
        <w:keepNext/>
        <w:keepLines/>
        <w:shd w:val="clear" w:color="auto" w:fill="FFFFFF"/>
        <w:spacing w:line="254" w:lineRule="auto"/>
        <w:outlineLvl w:val="3"/>
        <w:rPr>
          <w:rFonts w:ascii="Arial" w:eastAsia="Times New Roman" w:hAnsi="Arial" w:cs="Arial"/>
          <w:b/>
          <w:iCs/>
          <w:color w:val="222222"/>
          <w:sz w:val="20"/>
          <w:szCs w:val="20"/>
        </w:rPr>
      </w:pPr>
      <w:r>
        <w:rPr>
          <w:rFonts w:eastAsia="Times New Roman" w:cs="Times New Roman"/>
          <w:b/>
          <w:iCs/>
          <w:sz w:val="32"/>
        </w:rPr>
        <w:t xml:space="preserve">You giving us the ballot allows us to actualize our alt as the framework for what debate should look like. </w:t>
      </w:r>
    </w:p>
    <w:p w14:paraId="03C0E27C" w14:textId="77777777" w:rsidR="00BE4681" w:rsidRPr="00AB6CCF" w:rsidRDefault="00BE4681" w:rsidP="00BE4681">
      <w:pPr>
        <w:rPr>
          <w:rStyle w:val="Style13ptBold"/>
        </w:rPr>
      </w:pPr>
      <w:r w:rsidRPr="00AB6CCF">
        <w:rPr>
          <w:rStyle w:val="Style13ptBold"/>
          <w:highlight w:val="cyan"/>
        </w:rPr>
        <w:t>Reid-Brinkley 19</w:t>
      </w:r>
      <w:r w:rsidRPr="00AB6CCF">
        <w:rPr>
          <w:rStyle w:val="Style13ptBold"/>
        </w:rPr>
        <w:t> (Shanara R. Reid-Brinkley, June 2019. University of Pittsburgh, “Voice Dipped in Black: The Louisville project and the Birth of Black Argument in College Policy Debate”) B1ACK ZD</w:t>
      </w:r>
    </w:p>
    <w:p w14:paraId="19BD6DEA" w14:textId="77777777" w:rsidR="00BE4681" w:rsidRPr="00AB6CCF" w:rsidRDefault="00BE4681" w:rsidP="00BE4681">
      <w:pPr>
        <w:spacing w:after="0" w:line="254" w:lineRule="auto"/>
        <w:contextualSpacing/>
        <w:rPr>
          <w:rFonts w:eastAsia="Aptos"/>
          <w:color w:val="000000"/>
          <w:sz w:val="16"/>
          <w:szCs w:val="16"/>
        </w:rPr>
      </w:pPr>
      <w:r w:rsidRPr="00AB6CCF">
        <w:rPr>
          <w:rFonts w:eastAsia="Aptos"/>
          <w:color w:val="000000"/>
          <w:sz w:val="16"/>
          <w:szCs w:val="16"/>
        </w:rPr>
        <w:t xml:space="preserve">Although Louisville provides a clear justification for their policy statement (i.e., their </w:t>
      </w:r>
      <w:proofErr w:type="spellStart"/>
      <w:r w:rsidRPr="00AB6CCF">
        <w:rPr>
          <w:rFonts w:eastAsia="Aptos"/>
          <w:color w:val="000000"/>
          <w:sz w:val="16"/>
          <w:szCs w:val="16"/>
        </w:rPr>
        <w:t>sup port</w:t>
      </w:r>
      <w:proofErr w:type="spellEnd"/>
      <w:r w:rsidRPr="00AB6CCF">
        <w:rPr>
          <w:rFonts w:eastAsia="Aptos"/>
          <w:color w:val="000000"/>
          <w:sz w:val="16"/>
          <w:szCs w:val="16"/>
        </w:rPr>
        <w:t xml:space="preserve"> for a full withdrawal of the United States from NATO) this advocacy is not really the central tenet of their argument. US withdrawal from NATO is a rich metaphor for Louisville’s critique of the normative practices and procedures of the debate community. Louisville argues that a metaphorical interpretation of the resolution allows debaters to shift their focus to issues they have the agency to change. Coach Burch, integral to the development of Louisville’s practices, notes: </w:t>
      </w:r>
      <w:r w:rsidRPr="00AB6CCF">
        <w:rPr>
          <w:rFonts w:eastAsia="Aptos"/>
          <w:color w:val="000000"/>
          <w:sz w:val="20"/>
          <w:szCs w:val="20"/>
        </w:rPr>
        <w:t>“</w:t>
      </w:r>
      <w:r w:rsidRPr="00784342">
        <w:t>Instead of focusing our agency on the hypothetical situation of what the United States Federal Government should do, we should focus it on how we can utilize the space of debate to bring in more diverse voices</w:t>
      </w:r>
      <w:r w:rsidRPr="00AB6CCF">
        <w:rPr>
          <w:rFonts w:eastAsia="Aptos"/>
          <w:color w:val="000000"/>
          <w:sz w:val="20"/>
          <w:szCs w:val="20"/>
        </w:rPr>
        <w:t>” </w:t>
      </w:r>
      <w:r w:rsidRPr="00AB6CCF">
        <w:rPr>
          <w:rFonts w:eastAsia="Aptos"/>
          <w:color w:val="000000"/>
          <w:sz w:val="16"/>
          <w:szCs w:val="16"/>
        </w:rPr>
        <w:t xml:space="preserve">(interview, July 4, 2012). In the following excerpt, Jones explains the metaphor: But you see, I’m really just trying to change the halls of Congress; that meets on the </w:t>
      </w:r>
      <w:proofErr w:type="spellStart"/>
      <w:r w:rsidRPr="00AB6CCF">
        <w:rPr>
          <w:rFonts w:eastAsia="Aptos"/>
          <w:color w:val="000000"/>
          <w:sz w:val="16"/>
          <w:szCs w:val="16"/>
        </w:rPr>
        <w:t>capital</w:t>
      </w:r>
      <w:proofErr w:type="spellEnd"/>
      <w:r w:rsidRPr="00AB6CCF">
        <w:rPr>
          <w:rFonts w:eastAsia="Aptos"/>
          <w:color w:val="000000"/>
          <w:sz w:val="16"/>
          <w:szCs w:val="16"/>
        </w:rPr>
        <w:t xml:space="preserve"> hill of debate tournament </w:t>
      </w:r>
      <w:proofErr w:type="spellStart"/>
      <w:r w:rsidRPr="00AB6CCF">
        <w:rPr>
          <w:rFonts w:eastAsia="Aptos"/>
          <w:color w:val="000000"/>
          <w:sz w:val="16"/>
          <w:szCs w:val="16"/>
        </w:rPr>
        <w:t>tabrooms</w:t>
      </w:r>
      <w:proofErr w:type="spellEnd"/>
      <w:r w:rsidRPr="00AB6CCF">
        <w:rPr>
          <w:rFonts w:eastAsia="Aptos"/>
          <w:color w:val="000000"/>
          <w:sz w:val="16"/>
          <w:szCs w:val="16"/>
        </w:rPr>
        <w:t xml:space="preserve"> where pieces of legislation or ballots signed by judges enact the policies of our community. </w:t>
      </w:r>
      <w:r w:rsidRPr="00AB6CCF">
        <w:rPr>
          <w:rStyle w:val="Emphasis"/>
          <w:highlight w:val="cyan"/>
        </w:rPr>
        <w:t>My words right here, right now can’t change the State, but they can change the state of debate</w:t>
      </w:r>
      <w:r w:rsidRPr="00AB6CCF">
        <w:rPr>
          <w:rFonts w:eastAsia="Aptos"/>
          <w:color w:val="000000"/>
          <w:sz w:val="16"/>
          <w:szCs w:val="16"/>
        </w:rPr>
        <w:t xml:space="preserve">. The University of Louisville enacts a full withdrawal from the traditional norms and procedures of this debate activity; because </w:t>
      </w:r>
      <w:r w:rsidRPr="00AB6CCF">
        <w:rPr>
          <w:rStyle w:val="Emphasis"/>
        </w:rPr>
        <w:t>this institution, like every other institution in society, has also grown from the roots of racism. Seemingly neutral practices and policies have exclusionary effects</w:t>
      </w:r>
      <w:r w:rsidRPr="00AB6CCF">
        <w:rPr>
          <w:rFonts w:eastAsia="Aptos"/>
          <w:color w:val="000000"/>
          <w:sz w:val="16"/>
          <w:szCs w:val="16"/>
        </w:rPr>
        <w:t xml:space="preserve"> on different groups for different reasons. These practices have a long and perpetuating history.; (2004b) (p. 228) Signifying on American democratic institutional symbols, Jones points to the parallels in power structures between the federal government and the debate communities decision-making processes. The “halls of Congress” represent the halls of debate tournaments. “Capitol Hill,” where laws are enacted, is a metaphor for debate tournament tab rooms where opponents and judges are assigned and wins and losses recorded. Ballots, or “pieces of legislation,” represent the assigned judge’s vote for one team over the other. In fact, debaters often argue that the “impacts” they identify or the solvency for their plan happens “once the judge signs the ballot,” as if assigning a winner or loser actually results in the passage of</w:t>
      </w:r>
      <w:r w:rsidRPr="00AB6CCF">
        <w:rPr>
          <w:rFonts w:eastAsia="Aptos"/>
          <w:color w:val="000000"/>
          <w:sz w:val="20"/>
          <w:szCs w:val="20"/>
        </w:rPr>
        <w:t xml:space="preserve"> </w:t>
      </w:r>
      <w:r w:rsidRPr="00AB6CCF">
        <w:t>a governmental policy. Jones argues that it is </w:t>
      </w:r>
      <w:r w:rsidRPr="00AB6CCF">
        <w:rPr>
          <w:rStyle w:val="Emphasis"/>
          <w:highlight w:val="cyan"/>
        </w:rPr>
        <w:t>the ballot that is the most significant tool in influencing the practices and procedures of the community</w:t>
      </w:r>
      <w:r w:rsidRPr="00AB6CCF">
        <w:t>. In other words</w:t>
      </w:r>
      <w:r w:rsidRPr="00AB6CCF">
        <w:rPr>
          <w:rStyle w:val="Emphasis"/>
          <w:highlight w:val="cyan"/>
        </w:rPr>
        <w:t>, the competitive nature of debate guarantees that teams and coaches remain responsive to trends</w:t>
      </w:r>
      <w:r w:rsidRPr="00AB6CCF">
        <w:rPr>
          <w:rFonts w:eastAsia="Aptos"/>
          <w:b/>
          <w:bCs/>
          <w:color w:val="000000"/>
          <w:sz w:val="20"/>
          <w:szCs w:val="20"/>
          <w:u w:val="single"/>
        </w:rPr>
        <w:t> </w:t>
      </w:r>
      <w:r w:rsidRPr="00AB6CCF">
        <w:rPr>
          <w:rFonts w:eastAsia="Aptos"/>
          <w:color w:val="000000"/>
          <w:sz w:val="16"/>
          <w:szCs w:val="16"/>
        </w:rPr>
        <w:t xml:space="preserve">among the judging pool. Ultimately, debate competition is a run to capture or win the judges’ ballot. </w:t>
      </w:r>
      <w:r w:rsidRPr="00AB6CCF">
        <w:rPr>
          <w:rStyle w:val="Emphasis"/>
          <w:highlight w:val="cyan"/>
        </w:rPr>
        <w:t>The ballot “enact[s] the policies” of the debate “community,” making the space of competition an immanent plane of community change.</w:t>
      </w:r>
      <w:r w:rsidRPr="00AB6CCF">
        <w:rPr>
          <w:rFonts w:eastAsia="Aptos"/>
          <w:color w:val="000000"/>
          <w:sz w:val="16"/>
          <w:szCs w:val="16"/>
        </w:rPr>
        <w:t xml:space="preserve"> Before Louisville, the debate community had dealt with issues of diversity and inclusion within itself outside of tournament competition. Di rectors, coaches, assistants, and debaters engaged in outreach and recruitment practices designed to diversify the debate community did so in collaborative adult-driven institutions versus competitive settings where stakeholders were encouraged to dialogue </w:t>
      </w:r>
      <w:proofErr w:type="spellStart"/>
      <w:r w:rsidRPr="00AB6CCF">
        <w:rPr>
          <w:rFonts w:eastAsia="Aptos"/>
          <w:color w:val="000000"/>
          <w:sz w:val="16"/>
          <w:szCs w:val="16"/>
        </w:rPr>
        <w:t>with out</w:t>
      </w:r>
      <w:proofErr w:type="spellEnd"/>
      <w:r w:rsidRPr="00AB6CCF">
        <w:rPr>
          <w:rFonts w:eastAsia="Aptos"/>
          <w:color w:val="000000"/>
          <w:sz w:val="16"/>
          <w:szCs w:val="16"/>
        </w:rPr>
        <w:t xml:space="preserve"> concern for winners or losers. Green’s argument during tournament competition violates the tradition of discussing issues of inclusion in the community’s institutional halls, and decidedly outside of competitive debate rounds</w:t>
      </w:r>
      <w:r w:rsidRPr="00AB6CCF">
        <w:rPr>
          <w:rStyle w:val="Emphasis"/>
        </w:rPr>
        <w:t>: Racism is one of the leading exports of the United States Federal Government</w:t>
      </w:r>
      <w:r w:rsidRPr="00AB6CCF">
        <w:rPr>
          <w:rFonts w:eastAsia="Aptos"/>
          <w:color w:val="000000"/>
          <w:sz w:val="16"/>
          <w:szCs w:val="16"/>
        </w:rPr>
        <w:t xml:space="preserve"> and it exports it on to other countries. It doesn’t acknowledge its problems at home </w:t>
      </w:r>
      <w:r w:rsidRPr="00AB6CCF">
        <w:rPr>
          <w:rStyle w:val="Emphasis"/>
        </w:rPr>
        <w:t>and the debate community replicates those values by playing in this fantasy world that we cannot change. By sitting silent, by not acknowledging, or addressing the problems within this community. It is easy for us to say that there are problems, racism and sexism, but the problem comes when we recognize those systemic issues and do nothing to change our methods of how we challenge those problems.</w:t>
      </w:r>
      <w:r w:rsidRPr="00AB6CCF">
        <w:rPr>
          <w:rFonts w:eastAsia="Aptos"/>
          <w:color w:val="000000"/>
          <w:sz w:val="16"/>
          <w:szCs w:val="16"/>
        </w:rPr>
        <w:t xml:space="preserve"> (Green 2004b) Green </w:t>
      </w:r>
      <w:r w:rsidRPr="00AB6CCF">
        <w:rPr>
          <w:rStyle w:val="Emphasis"/>
        </w:rPr>
        <w:t>hold</w:t>
      </w:r>
      <w:r w:rsidRPr="00AB6CCF">
        <w:rPr>
          <w:rFonts w:eastAsia="Aptos"/>
          <w:color w:val="000000"/>
          <w:sz w:val="16"/>
          <w:szCs w:val="16"/>
        </w:rPr>
        <w:t xml:space="preserve">s the community accountable for its failure to significantly increase diversity and inclusion. In doing so, she also holds </w:t>
      </w:r>
      <w:r w:rsidRPr="00AB6CCF">
        <w:rPr>
          <w:rStyle w:val="Emphasis"/>
        </w:rPr>
        <w:t>teams accountable for their methodological choices</w:t>
      </w:r>
      <w:r w:rsidRPr="00AB6CCF">
        <w:rPr>
          <w:rFonts w:eastAsia="Aptos"/>
          <w:color w:val="000000"/>
          <w:sz w:val="16"/>
          <w:szCs w:val="16"/>
        </w:rPr>
        <w:t>, forcing other teams and judges to consider whether or not the</w:t>
      </w:r>
      <w:r w:rsidRPr="00AB6CCF">
        <w:rPr>
          <w:rFonts w:eastAsia="Aptos"/>
          <w:color w:val="000000"/>
          <w:sz w:val="20"/>
          <w:szCs w:val="20"/>
        </w:rPr>
        <w:t> </w:t>
      </w:r>
      <w:r w:rsidRPr="00AB6CCF">
        <w:rPr>
          <w:sz w:val="16"/>
        </w:rPr>
        <w:t>traditional ways of engaging in competition results in an environment hostile to those debate bodies marked by race, gender, class, and sexual difference.</w:t>
      </w:r>
      <w:r w:rsidRPr="00AB6CCF">
        <w:rPr>
          <w:rFonts w:eastAsia="Aptos"/>
          <w:color w:val="000000"/>
          <w:sz w:val="20"/>
          <w:szCs w:val="20"/>
        </w:rPr>
        <w:t> </w:t>
      </w:r>
      <w:r w:rsidRPr="00AB6CCF">
        <w:rPr>
          <w:rFonts w:eastAsia="Aptos"/>
          <w:color w:val="000000"/>
          <w:sz w:val="16"/>
          <w:szCs w:val="16"/>
        </w:rPr>
        <w:t>That Louisville chooses to engage the issue of structural racism during competition was particularly discomforting even for those who support diversity efforts in debate. At the beginning of this chapter, I quoted Joseph Zompetti arguing that the debate round is an inappropriate space for the discussion, and that they might more beneficially take place along with structural change in the AFA, NDT, or CEDA (</w:t>
      </w:r>
      <w:proofErr w:type="spellStart"/>
      <w:r w:rsidRPr="00AB6CCF">
        <w:rPr>
          <w:rFonts w:eastAsia="Aptos"/>
          <w:color w:val="000000"/>
          <w:sz w:val="16"/>
          <w:szCs w:val="16"/>
        </w:rPr>
        <w:t>Zompetti</w:t>
      </w:r>
      <w:proofErr w:type="spellEnd"/>
      <w:r w:rsidRPr="00AB6CCF">
        <w:rPr>
          <w:rFonts w:eastAsia="Aptos"/>
          <w:color w:val="000000"/>
          <w:sz w:val="16"/>
          <w:szCs w:val="16"/>
        </w:rPr>
        <w:t xml:space="preserve"> 2004b).</w:t>
      </w:r>
    </w:p>
    <w:p w14:paraId="132E6CB2" w14:textId="77777777" w:rsidR="00BE4681" w:rsidRDefault="00BE4681" w:rsidP="00BE4681"/>
    <w:p w14:paraId="770CB576" w14:textId="77777777" w:rsidR="00BE4681" w:rsidRPr="009E388E" w:rsidRDefault="00BE4681" w:rsidP="00BE4681">
      <w:pPr>
        <w:pStyle w:val="Heading3"/>
        <w:rPr>
          <w:rFonts w:eastAsia="Calibri"/>
        </w:rPr>
      </w:pPr>
      <w:r>
        <w:rPr>
          <w:rFonts w:eastAsia="Calibri"/>
        </w:rPr>
        <w:t>Framing</w:t>
      </w:r>
    </w:p>
    <w:p w14:paraId="3D9A770A" w14:textId="77777777" w:rsidR="00BE4681" w:rsidRDefault="00BE4681" w:rsidP="00BE4681">
      <w:pPr>
        <w:pStyle w:val="Heading4"/>
      </w:pPr>
      <w:r>
        <w:t xml:space="preserve">1.You should overcorrect for normativity analysis as your engagement in this space that places this legal normativity as superior places you as cognitively resistant to challenges to that system and thus to counteract this you should overcorrect by evaluating our normativity arguments with more weight than any other arguments in this debate. </w:t>
      </w:r>
    </w:p>
    <w:p w14:paraId="69D5882E" w14:textId="77777777" w:rsidR="00BE4681" w:rsidRDefault="00BE4681" w:rsidP="00BE4681"/>
    <w:p w14:paraId="166AA60C" w14:textId="77777777" w:rsidR="00A47CEF" w:rsidRPr="00A47CEF" w:rsidRDefault="00BE4681" w:rsidP="00A47CEF">
      <w:pPr>
        <w:pStyle w:val="Heading4"/>
        <w:rPr>
          <w:rFonts w:eastAsia="Times New Roman" w:cs="Times New Roman"/>
        </w:rPr>
      </w:pPr>
      <w:r>
        <w:t xml:space="preserve">2. </w:t>
      </w:r>
      <w:r w:rsidR="00A47CEF" w:rsidRPr="00A47CEF">
        <w:rPr>
          <w:rFonts w:eastAsia="Times New Roman" w:cs="Times New Roman"/>
        </w:rPr>
        <w:t>You can agree with everything the aff argues in this debate and still vote neg because your ballot does not enact their plan. Alt solves aff better because our model of debate creates a version of the plan that can actually extend outside the debate round-you reject the aff to make a better version of it.</w:t>
      </w:r>
    </w:p>
    <w:p w14:paraId="3FD64CD7" w14:textId="1470D0AF" w:rsidR="00BE4681" w:rsidRPr="00B1315A" w:rsidRDefault="00BE4681" w:rsidP="00BE4681">
      <w:pPr>
        <w:pStyle w:val="Heading4"/>
      </w:pPr>
    </w:p>
    <w:p w14:paraId="1B4E9ED0" w14:textId="77777777" w:rsidR="00BE4681" w:rsidRDefault="00BE4681" w:rsidP="00BE4681"/>
    <w:p w14:paraId="322F48B6" w14:textId="77777777" w:rsidR="00BE4681" w:rsidRDefault="00BE4681" w:rsidP="00BE4681">
      <w:pPr>
        <w:pStyle w:val="Heading2"/>
      </w:pPr>
      <w:r>
        <w:t>Off</w:t>
      </w:r>
    </w:p>
    <w:p w14:paraId="5B053BF7" w14:textId="77777777" w:rsidR="00BE4681" w:rsidRDefault="00BE4681" w:rsidP="00BE4681">
      <w:pPr>
        <w:pStyle w:val="Heading3"/>
      </w:pPr>
      <w:r>
        <w:t>FW</w:t>
      </w:r>
    </w:p>
    <w:p w14:paraId="72DA685D" w14:textId="77777777" w:rsidR="00BE4681" w:rsidRDefault="00BE4681" w:rsidP="00BE4681">
      <w:pPr>
        <w:pStyle w:val="Heading4"/>
      </w:pPr>
      <w:proofErr w:type="spellStart"/>
      <w:r>
        <w:t>Interp</w:t>
      </w:r>
      <w:proofErr w:type="spellEnd"/>
      <w:r>
        <w:t xml:space="preserve">-Affirmatives should put forward modes of collective resistance against oppressive structures able to be done by the debate community and negs should have the </w:t>
      </w:r>
      <w:proofErr w:type="spellStart"/>
      <w:r>
        <w:t>burder</w:t>
      </w:r>
      <w:proofErr w:type="spellEnd"/>
      <w:r>
        <w:t xml:space="preserve"> of rejoinder- to prove why x action would be bad to take, this would create a model of debate centered on taking action on things we can actually do not just putting forward bullshit policies that will never actually happen. </w:t>
      </w:r>
    </w:p>
    <w:p w14:paraId="3FE2BEBB" w14:textId="77777777" w:rsidR="00BE4681" w:rsidRPr="004A44C7" w:rsidRDefault="00BE4681" w:rsidP="00BE4681">
      <w:pPr>
        <w:pStyle w:val="Heading4"/>
      </w:pPr>
      <w:r>
        <w:t>Violation; the aff has not put forward a model that we as a debate community can do and thus because the aff can never materialize its solvency you reject the team</w:t>
      </w:r>
    </w:p>
    <w:p w14:paraId="78BBEB04" w14:textId="77777777" w:rsidR="00BE4681" w:rsidRDefault="00BE4681" w:rsidP="00BE4681"/>
    <w:p w14:paraId="5C33E58C" w14:textId="77777777" w:rsidR="00BE4681" w:rsidRDefault="00BE4681" w:rsidP="00BE4681">
      <w:pPr>
        <w:pStyle w:val="Heading2"/>
      </w:pPr>
      <w:r w:rsidRPr="0086627A">
        <w:t>Case</w:t>
      </w:r>
      <w:r>
        <w:t>-2 mins</w:t>
      </w:r>
    </w:p>
    <w:p w14:paraId="0536398F" w14:textId="77777777" w:rsidR="00BE4681" w:rsidRDefault="00BE4681" w:rsidP="00BE4681">
      <w:pPr>
        <w:keepNext/>
        <w:keepLines/>
        <w:spacing w:before="40" w:after="0" w:line="256" w:lineRule="auto"/>
        <w:outlineLvl w:val="3"/>
        <w:rPr>
          <w:rFonts w:eastAsia="Times New Roman" w:cs="Times New Roman"/>
          <w:b/>
          <w:iCs/>
          <w:sz w:val="32"/>
        </w:rPr>
      </w:pPr>
      <w:r w:rsidRPr="002B2FE0">
        <w:rPr>
          <w:rFonts w:eastAsia="Times New Roman" w:cs="Times New Roman"/>
          <w:b/>
          <w:iCs/>
          <w:sz w:val="32"/>
        </w:rPr>
        <w:t xml:space="preserve">1. Flatten DA- </w:t>
      </w:r>
      <w:r>
        <w:rPr>
          <w:rFonts w:eastAsia="Times New Roman" w:cs="Times New Roman"/>
          <w:b/>
          <w:iCs/>
          <w:sz w:val="32"/>
        </w:rPr>
        <w:t xml:space="preserve">To sustain profit margins extensions of labor law displace poor conditions onto the global south-it’s a zero sum game- You should reject the affs neoliberal capitalist logics because it sacrifices workers in the global south. </w:t>
      </w:r>
    </w:p>
    <w:p w14:paraId="0C4ADCDF" w14:textId="77777777" w:rsidR="00BE4681" w:rsidRPr="0051766F" w:rsidRDefault="00BE4681" w:rsidP="00BE4681">
      <w:pPr>
        <w:rPr>
          <w:rStyle w:val="Style13ptBold"/>
        </w:rPr>
      </w:pPr>
      <w:r w:rsidRPr="0051766F">
        <w:rPr>
          <w:rStyle w:val="Style13ptBold"/>
          <w:highlight w:val="cyan"/>
        </w:rPr>
        <w:t>Felder</w:t>
      </w:r>
      <w:r w:rsidRPr="0051766F">
        <w:rPr>
          <w:rStyle w:val="Style13ptBold"/>
        </w:rPr>
        <w:t xml:space="preserve">, G., </w:t>
      </w:r>
      <w:r w:rsidRPr="0051766F">
        <w:rPr>
          <w:rStyle w:val="Style13ptBold"/>
          <w:highlight w:val="cyan"/>
        </w:rPr>
        <w:t>Ganeson</w:t>
      </w:r>
      <w:r w:rsidRPr="0051766F">
        <w:rPr>
          <w:rStyle w:val="Style13ptBold"/>
        </w:rPr>
        <w:t xml:space="preserve">, K., </w:t>
      </w:r>
      <w:r w:rsidRPr="0051766F">
        <w:rPr>
          <w:rStyle w:val="Style13ptBold"/>
          <w:highlight w:val="cyan"/>
        </w:rPr>
        <w:t>Jehli</w:t>
      </w:r>
      <w:r w:rsidRPr="0051766F">
        <w:rPr>
          <w:rStyle w:val="Style13ptBold"/>
        </w:rPr>
        <w:t xml:space="preserve">, M., </w:t>
      </w:r>
      <w:r w:rsidRPr="0051766F">
        <w:rPr>
          <w:rStyle w:val="Style13ptBold"/>
          <w:highlight w:val="cyan"/>
        </w:rPr>
        <w:t>&amp;</w:t>
      </w:r>
      <w:r w:rsidRPr="0051766F">
        <w:rPr>
          <w:rStyle w:val="Style13ptBold"/>
        </w:rPr>
        <w:t xml:space="preserve"> </w:t>
      </w:r>
      <w:r w:rsidRPr="0051766F">
        <w:rPr>
          <w:rStyle w:val="Style13ptBold"/>
          <w:highlight w:val="cyan"/>
        </w:rPr>
        <w:t>Wagner</w:t>
      </w:r>
      <w:r w:rsidRPr="0051766F">
        <w:rPr>
          <w:rStyle w:val="Style13ptBold"/>
        </w:rPr>
        <w:t>, P. (20</w:t>
      </w:r>
      <w:r w:rsidRPr="0051766F">
        <w:rPr>
          <w:rStyle w:val="Style13ptBold"/>
          <w:highlight w:val="cyan"/>
        </w:rPr>
        <w:t>25</w:t>
      </w:r>
      <w:r w:rsidRPr="0051766F">
        <w:rPr>
          <w:rStyle w:val="Style13ptBold"/>
        </w:rPr>
        <w:t xml:space="preserve">). The trade and </w:t>
      </w:r>
      <w:proofErr w:type="spellStart"/>
      <w:r w:rsidRPr="0051766F">
        <w:rPr>
          <w:rStyle w:val="Style13ptBold"/>
        </w:rPr>
        <w:t>labour</w:t>
      </w:r>
      <w:proofErr w:type="spellEnd"/>
      <w:r w:rsidRPr="0051766F">
        <w:rPr>
          <w:rStyle w:val="Style13ptBold"/>
        </w:rPr>
        <w:t xml:space="preserve"> nexus. In Cambridge University Press eBooks (pp. 291–315). https://doi.org/10.1017/9781009484640.014</w:t>
      </w:r>
    </w:p>
    <w:p w14:paraId="2F081A26" w14:textId="77777777" w:rsidR="00BE4681" w:rsidRPr="0051766F" w:rsidRDefault="00BE4681" w:rsidP="00BE4681">
      <w:pPr>
        <w:rPr>
          <w:sz w:val="16"/>
          <w:u w:val="single"/>
        </w:rPr>
      </w:pPr>
      <w:r w:rsidRPr="0051766F">
        <w:rPr>
          <w:sz w:val="16"/>
          <w:u w:val="single"/>
        </w:rPr>
        <w:t xml:space="preserve">(***Edited for Language- the usage of the terminology “low skilled laborers” is used to uphold colonial labor law that dehumanizes workers in the global south to justify the displacement of poor working conditions- thus we replaced the terminology with “workers in the global south” to refrain from upholding colonial labor law’s dehumanizing distinctions) </w:t>
      </w:r>
    </w:p>
    <w:p w14:paraId="64DFF40D" w14:textId="77777777" w:rsidR="00BE4681" w:rsidRPr="002B2FE0" w:rsidRDefault="00BE4681" w:rsidP="00BE4681">
      <w:pPr>
        <w:rPr>
          <w:sz w:val="10"/>
        </w:rPr>
      </w:pPr>
      <w:r w:rsidRPr="00D8166D">
        <w:rPr>
          <w:sz w:val="10"/>
        </w:rPr>
        <w:t xml:space="preserve">Since the 1990s, preferential trade agreements (PTAs) have proliferated, increasing international market access and reducing trade barriers. Stasis at the World Trade </w:t>
      </w:r>
      <w:proofErr w:type="spellStart"/>
      <w:r w:rsidRPr="00D8166D">
        <w:rPr>
          <w:sz w:val="10"/>
        </w:rPr>
        <w:t>Organisation</w:t>
      </w:r>
      <w:proofErr w:type="spellEnd"/>
      <w:r w:rsidRPr="00D8166D">
        <w:rPr>
          <w:sz w:val="10"/>
        </w:rPr>
        <w:t xml:space="preserve"> (WTO) following the collapse of the Doha Development Round in 2001 has only amplified this trend, contributing to a marked shift away from multilateralism towards regionalism. Preferential trade agreements are now a principal supranational forum through which countries engage in trade and, in recent years, have evolved to include a wide range of non-traditional trade issues. This chapter focuses on </w:t>
      </w:r>
      <w:proofErr w:type="spellStart"/>
      <w:r w:rsidRPr="00D8166D">
        <w:rPr>
          <w:sz w:val="10"/>
        </w:rPr>
        <w:t>labour</w:t>
      </w:r>
      <w:proofErr w:type="spellEnd"/>
      <w:r w:rsidRPr="00D8166D">
        <w:rPr>
          <w:sz w:val="10"/>
        </w:rPr>
        <w:t xml:space="preserve"> provisions in PTAs. Trade and </w:t>
      </w:r>
      <w:proofErr w:type="spellStart"/>
      <w:r w:rsidRPr="00D8166D">
        <w:rPr>
          <w:sz w:val="10"/>
        </w:rPr>
        <w:t>labour</w:t>
      </w:r>
      <w:proofErr w:type="spellEnd"/>
      <w:r w:rsidRPr="00D8166D">
        <w:rPr>
          <w:sz w:val="10"/>
        </w:rPr>
        <w:t xml:space="preserve"> have an inherent tension due to the mixed effects that trade can potentially have on the </w:t>
      </w:r>
      <w:r w:rsidRPr="00EF21AC">
        <w:rPr>
          <w:rStyle w:val="Emphasis"/>
          <w:highlight w:val="cyan"/>
        </w:rPr>
        <w:t xml:space="preserve">domestic </w:t>
      </w:r>
      <w:proofErr w:type="spellStart"/>
      <w:r w:rsidRPr="00EF21AC">
        <w:rPr>
          <w:rStyle w:val="Emphasis"/>
          <w:highlight w:val="cyan"/>
        </w:rPr>
        <w:t>labour</w:t>
      </w:r>
      <w:proofErr w:type="spellEnd"/>
      <w:r w:rsidRPr="00EF21AC">
        <w:rPr>
          <w:rStyle w:val="Emphasis"/>
          <w:highlight w:val="cyan"/>
        </w:rPr>
        <w:t xml:space="preserve"> </w:t>
      </w:r>
      <w:r w:rsidRPr="008D6637">
        <w:rPr>
          <w:rStyle w:val="Emphasis"/>
          <w:highlight w:val="cyan"/>
        </w:rPr>
        <w:t>market. On</w:t>
      </w:r>
      <w:r w:rsidRPr="00D8166D">
        <w:rPr>
          <w:sz w:val="10"/>
        </w:rPr>
        <w:t xml:space="preserve"> the </w:t>
      </w:r>
      <w:r w:rsidRPr="008D6637">
        <w:rPr>
          <w:rStyle w:val="Emphasis"/>
          <w:highlight w:val="cyan"/>
        </w:rPr>
        <w:t>one hand,</w:t>
      </w:r>
      <w:r w:rsidRPr="00D8166D">
        <w:rPr>
          <w:sz w:val="10"/>
        </w:rPr>
        <w:t xml:space="preserve"> exports can </w:t>
      </w:r>
      <w:r w:rsidRPr="00EF21AC">
        <w:rPr>
          <w:rStyle w:val="Emphasis"/>
          <w:highlight w:val="cyan"/>
        </w:rPr>
        <w:t>create new job opportunities, increase wages, and improve working conditions</w:t>
      </w:r>
      <w:r w:rsidRPr="00D8166D">
        <w:rPr>
          <w:sz w:val="10"/>
        </w:rPr>
        <w:t xml:space="preserve">. </w:t>
      </w:r>
      <w:r w:rsidRPr="00EF21AC">
        <w:rPr>
          <w:rStyle w:val="Emphasis"/>
          <w:highlight w:val="cyan"/>
        </w:rPr>
        <w:t>On the other hand</w:t>
      </w:r>
      <w:r w:rsidRPr="00D8166D">
        <w:rPr>
          <w:sz w:val="10"/>
        </w:rPr>
        <w:t xml:space="preserve">, import competition can </w:t>
      </w:r>
      <w:r w:rsidRPr="008D6637">
        <w:rPr>
          <w:rStyle w:val="Emphasis"/>
          <w:highlight w:val="cyan"/>
        </w:rPr>
        <w:t xml:space="preserve">lead to job </w:t>
      </w:r>
      <w:r w:rsidRPr="00666381">
        <w:rPr>
          <w:rStyle w:val="Emphasis"/>
          <w:highlight w:val="cyan"/>
        </w:rPr>
        <w:t>losses</w:t>
      </w:r>
      <w:r w:rsidRPr="00D8166D">
        <w:rPr>
          <w:sz w:val="10"/>
        </w:rPr>
        <w:t xml:space="preserve"> in competing industries </w:t>
      </w:r>
      <w:r w:rsidRPr="00666381">
        <w:rPr>
          <w:rStyle w:val="Emphasis"/>
          <w:highlight w:val="cyan"/>
        </w:rPr>
        <w:t>and</w:t>
      </w:r>
      <w:r w:rsidRPr="00D8166D">
        <w:rPr>
          <w:sz w:val="10"/>
        </w:rPr>
        <w:t xml:space="preserve"> put </w:t>
      </w:r>
      <w:r w:rsidRPr="00EF21AC">
        <w:rPr>
          <w:rStyle w:val="Emphasis"/>
          <w:highlight w:val="cyan"/>
        </w:rPr>
        <w:t xml:space="preserve">downward pressure on wages and working conditions, particularly for </w:t>
      </w:r>
      <w:r w:rsidRPr="00D8166D">
        <w:rPr>
          <w:strike/>
          <w:sz w:val="10"/>
        </w:rPr>
        <w:t>low-skilled workers.</w:t>
      </w:r>
      <w:r>
        <w:rPr>
          <w:rStyle w:val="Emphasis"/>
          <w:highlight w:val="cyan"/>
        </w:rPr>
        <w:t>[workers in the global south</w:t>
      </w:r>
      <w:r w:rsidRPr="00666381">
        <w:rPr>
          <w:rStyle w:val="Emphasis"/>
          <w:highlight w:val="cyan"/>
        </w:rPr>
        <w:t>]</w:t>
      </w:r>
      <w:r w:rsidRPr="00D8166D">
        <w:rPr>
          <w:sz w:val="10"/>
        </w:rPr>
        <w:t xml:space="preserve"> Additionally, </w:t>
      </w:r>
      <w:proofErr w:type="spellStart"/>
      <w:r w:rsidRPr="00D8166D">
        <w:rPr>
          <w:sz w:val="10"/>
        </w:rPr>
        <w:t>globalisation</w:t>
      </w:r>
      <w:proofErr w:type="spellEnd"/>
      <w:r w:rsidRPr="00D8166D">
        <w:rPr>
          <w:sz w:val="10"/>
        </w:rPr>
        <w:t xml:space="preserve"> and increased competition from foreign workers can lead to a </w:t>
      </w:r>
      <w:r w:rsidRPr="00EF21AC">
        <w:rPr>
          <w:rStyle w:val="Emphasis"/>
          <w:highlight w:val="cyan"/>
        </w:rPr>
        <w:t xml:space="preserve">race to the bottom in terms of </w:t>
      </w:r>
      <w:proofErr w:type="spellStart"/>
      <w:r w:rsidRPr="00EF21AC">
        <w:rPr>
          <w:rStyle w:val="Emphasis"/>
          <w:highlight w:val="cyan"/>
        </w:rPr>
        <w:t>labour</w:t>
      </w:r>
      <w:proofErr w:type="spellEnd"/>
      <w:r w:rsidRPr="00EF21AC">
        <w:rPr>
          <w:rStyle w:val="Emphasis"/>
          <w:highlight w:val="cyan"/>
        </w:rPr>
        <w:t xml:space="preserve"> standards, as companies look to cut costs and increase profits.</w:t>
      </w:r>
      <w:r w:rsidRPr="00D8166D">
        <w:rPr>
          <w:sz w:val="10"/>
        </w:rPr>
        <w:t xml:space="preserve"> Ultimately, the impact of trade on </w:t>
      </w:r>
      <w:proofErr w:type="spellStart"/>
      <w:r w:rsidRPr="00D8166D">
        <w:rPr>
          <w:sz w:val="10"/>
        </w:rPr>
        <w:t>labour</w:t>
      </w:r>
      <w:proofErr w:type="spellEnd"/>
      <w:r w:rsidRPr="00D8166D">
        <w:rPr>
          <w:sz w:val="10"/>
        </w:rPr>
        <w:t xml:space="preserve"> depends on several factors, including the specific sectors and countries involved, </w:t>
      </w:r>
      <w:proofErr w:type="spellStart"/>
      <w:r w:rsidRPr="00D8166D">
        <w:rPr>
          <w:sz w:val="10"/>
        </w:rPr>
        <w:t>labour</w:t>
      </w:r>
      <w:proofErr w:type="spellEnd"/>
      <w:r w:rsidRPr="00D8166D">
        <w:rPr>
          <w:sz w:val="10"/>
        </w:rPr>
        <w:t xml:space="preserve"> market flexibility, the state of the global economy, and the presence or absence of strong and enforced domestic </w:t>
      </w:r>
      <w:proofErr w:type="spellStart"/>
      <w:r w:rsidRPr="00D8166D">
        <w:rPr>
          <w:sz w:val="10"/>
        </w:rPr>
        <w:t>labour</w:t>
      </w:r>
      <w:proofErr w:type="spellEnd"/>
      <w:r w:rsidRPr="00D8166D">
        <w:rPr>
          <w:sz w:val="10"/>
        </w:rPr>
        <w:t xml:space="preserve"> regulations. Given these complex dynamics, investigating the impact of trade agreements on </w:t>
      </w:r>
      <w:proofErr w:type="spellStart"/>
      <w:r w:rsidRPr="00D8166D">
        <w:rPr>
          <w:sz w:val="10"/>
        </w:rPr>
        <w:t>labour</w:t>
      </w:r>
      <w:proofErr w:type="spellEnd"/>
      <w:r w:rsidRPr="00D8166D">
        <w:rPr>
          <w:sz w:val="10"/>
        </w:rPr>
        <w:t xml:space="preserve"> standards and the optimal formulation of </w:t>
      </w:r>
      <w:proofErr w:type="spellStart"/>
      <w:r w:rsidRPr="00D8166D">
        <w:rPr>
          <w:sz w:val="10"/>
        </w:rPr>
        <w:t>labour</w:t>
      </w:r>
      <w:proofErr w:type="spellEnd"/>
      <w:r w:rsidRPr="00D8166D">
        <w:rPr>
          <w:sz w:val="10"/>
        </w:rPr>
        <w:t xml:space="preserve"> provisions in order to improve the status quo are important areas of enquiry that warrant attention. This chapter is structured as follows. The first section starts with a general mapping of trends in </w:t>
      </w:r>
      <w:proofErr w:type="spellStart"/>
      <w:r w:rsidRPr="00D8166D">
        <w:rPr>
          <w:sz w:val="10"/>
        </w:rPr>
        <w:t>labour</w:t>
      </w:r>
      <w:proofErr w:type="spellEnd"/>
      <w:r w:rsidRPr="00D8166D">
        <w:rPr>
          <w:sz w:val="10"/>
        </w:rPr>
        <w:t xml:space="preserve"> provisions in PTAs on two levels: internationally and regionally. On the international level, it examines the role of international </w:t>
      </w:r>
      <w:proofErr w:type="spellStart"/>
      <w:r w:rsidRPr="00D8166D">
        <w:rPr>
          <w:sz w:val="10"/>
        </w:rPr>
        <w:t>organisations</w:t>
      </w:r>
      <w:proofErr w:type="spellEnd"/>
      <w:r w:rsidRPr="00D8166D">
        <w:rPr>
          <w:sz w:val="10"/>
        </w:rPr>
        <w:t xml:space="preserve"> such as the General Agreement on Tariffs and Trade (GATT), WTO, and, in particular, the International </w:t>
      </w:r>
      <w:proofErr w:type="spellStart"/>
      <w:r w:rsidRPr="00D8166D">
        <w:rPr>
          <w:sz w:val="10"/>
        </w:rPr>
        <w:t>Labour</w:t>
      </w:r>
      <w:proofErr w:type="spellEnd"/>
      <w:r w:rsidRPr="00D8166D">
        <w:rPr>
          <w:sz w:val="10"/>
        </w:rPr>
        <w:t xml:space="preserve"> Organization (ILO), in relation to </w:t>
      </w:r>
      <w:proofErr w:type="spellStart"/>
      <w:r w:rsidRPr="00D8166D">
        <w:rPr>
          <w:sz w:val="10"/>
        </w:rPr>
        <w:t>labour</w:t>
      </w:r>
      <w:proofErr w:type="spellEnd"/>
      <w:r w:rsidRPr="00D8166D">
        <w:rPr>
          <w:sz w:val="10"/>
        </w:rPr>
        <w:t xml:space="preserve"> provisions in PTAs. On the regional level, we examine how different regions approach the issue of trade and </w:t>
      </w:r>
      <w:proofErr w:type="spellStart"/>
      <w:r w:rsidRPr="00D8166D">
        <w:rPr>
          <w:sz w:val="10"/>
        </w:rPr>
        <w:t>labour</w:t>
      </w:r>
      <w:proofErr w:type="spellEnd"/>
      <w:r w:rsidRPr="00D8166D">
        <w:rPr>
          <w:sz w:val="10"/>
        </w:rPr>
        <w:t xml:space="preserve"> in their design of PTAs and how they differ in significant ways. After taking stock of the current state of play, the second section evaluates the successes or failures of past practices, focusing on four main points: </w:t>
      </w:r>
      <w:proofErr w:type="spellStart"/>
      <w:r w:rsidRPr="00D8166D">
        <w:rPr>
          <w:sz w:val="10"/>
        </w:rPr>
        <w:t>i</w:t>
      </w:r>
      <w:proofErr w:type="spellEnd"/>
      <w:r w:rsidRPr="00D8166D">
        <w:rPr>
          <w:sz w:val="10"/>
        </w:rPr>
        <w:t xml:space="preserve">) enforcement mechanisms of </w:t>
      </w:r>
      <w:proofErr w:type="spellStart"/>
      <w:r w:rsidRPr="00D8166D">
        <w:rPr>
          <w:sz w:val="10"/>
        </w:rPr>
        <w:t>labour</w:t>
      </w:r>
      <w:proofErr w:type="spellEnd"/>
      <w:r w:rsidRPr="00D8166D">
        <w:rPr>
          <w:sz w:val="10"/>
        </w:rPr>
        <w:t xml:space="preserve"> provisions in PTAs, ii) a textual interpretation issue concerning the phrase ‘manner affecting trade’, iii) the possibility of the </w:t>
      </w:r>
      <w:r w:rsidRPr="0051766F">
        <w:rPr>
          <w:rStyle w:val="Emphasis"/>
          <w:highlight w:val="cyan"/>
        </w:rPr>
        <w:t xml:space="preserve">expansion of </w:t>
      </w:r>
      <w:proofErr w:type="spellStart"/>
      <w:r w:rsidRPr="0051766F">
        <w:rPr>
          <w:rStyle w:val="Emphasis"/>
          <w:highlight w:val="cyan"/>
        </w:rPr>
        <w:t>labour</w:t>
      </w:r>
      <w:proofErr w:type="spellEnd"/>
      <w:r w:rsidRPr="0051766F">
        <w:rPr>
          <w:rStyle w:val="Emphasis"/>
          <w:highlight w:val="cyan"/>
        </w:rPr>
        <w:t xml:space="preserve"> rights</w:t>
      </w:r>
      <w:r w:rsidRPr="00D8166D">
        <w:rPr>
          <w:sz w:val="10"/>
        </w:rPr>
        <w:t xml:space="preserve"> in PTAs to accommodate future trends in </w:t>
      </w:r>
      <w:proofErr w:type="spellStart"/>
      <w:r w:rsidRPr="00D8166D">
        <w:rPr>
          <w:sz w:val="10"/>
        </w:rPr>
        <w:t>labour</w:t>
      </w:r>
      <w:proofErr w:type="spellEnd"/>
      <w:r w:rsidRPr="00D8166D">
        <w:rPr>
          <w:sz w:val="10"/>
        </w:rPr>
        <w:t xml:space="preserve">, and iv) the different approaches between developed and developing countries in their inclusion of </w:t>
      </w:r>
      <w:proofErr w:type="spellStart"/>
      <w:r w:rsidRPr="00D8166D">
        <w:rPr>
          <w:sz w:val="10"/>
        </w:rPr>
        <w:t>labour</w:t>
      </w:r>
      <w:proofErr w:type="spellEnd"/>
      <w:r w:rsidRPr="00D8166D">
        <w:rPr>
          <w:sz w:val="10"/>
        </w:rPr>
        <w:t xml:space="preserve"> provisions in PTAs. The chapter then concludes with recommendations for </w:t>
      </w:r>
      <w:proofErr w:type="spellStart"/>
      <w:r w:rsidRPr="00D8166D">
        <w:rPr>
          <w:sz w:val="10"/>
        </w:rPr>
        <w:t>labour</w:t>
      </w:r>
      <w:proofErr w:type="spellEnd"/>
      <w:r w:rsidRPr="00D8166D">
        <w:rPr>
          <w:sz w:val="10"/>
        </w:rPr>
        <w:t xml:space="preserve"> provisions in future PTAs, in both formulation and compliance. 13.2 Current State of Play Advocates of free trade often claim that it allows individuals and workers to benefit from a system that offers a greater choice of goods for cheaper prices. This stems from the principle of comparative advantage famously posited by David Ricardo, where maximum efficiency can be obtained when countries of differing factor abundance use their comparative advantage to trade goods that </w:t>
      </w:r>
      <w:proofErr w:type="spellStart"/>
      <w:r w:rsidRPr="00D8166D">
        <w:rPr>
          <w:sz w:val="10"/>
        </w:rPr>
        <w:t>utilise</w:t>
      </w:r>
      <w:proofErr w:type="spellEnd"/>
      <w:r w:rsidRPr="00D8166D">
        <w:rPr>
          <w:sz w:val="10"/>
        </w:rPr>
        <w:t xml:space="preserve"> their abundant factors (Ricardo Reference Ricardo1817). Since economies will be open to more competition, this creates a plethora of other benefits, such as a dynamic business climate, increased investments, knowledge transfer from foreign companies, and job creation. Indeed, several studies have shown that trade does in fact encourage economic growth (e.g. Edwards Reference Edwards1993; Krueger Reference Krueger1998; Frankel and Romer Reference Frankel and Romer1999). Regarding PTAs in particular, Baier et al. (Reference Baier, Bergstrand and Mariutto2014) note that PTAs can have a positive effect on increasing trade flows between member countries but note that the overall impact on trade and economic growth varies depending on size, distance, and level of development of the countries involved. However, recent research also points to the </w:t>
      </w:r>
      <w:r w:rsidRPr="00666381">
        <w:rPr>
          <w:rStyle w:val="Emphasis"/>
          <w:highlight w:val="cyan"/>
        </w:rPr>
        <w:t>increasing</w:t>
      </w:r>
      <w:r w:rsidRPr="00D8166D">
        <w:rPr>
          <w:sz w:val="10"/>
        </w:rPr>
        <w:t xml:space="preserve"> costs of trade. </w:t>
      </w:r>
      <w:r w:rsidRPr="00666381">
        <w:rPr>
          <w:rStyle w:val="Emphasis"/>
          <w:highlight w:val="cyan"/>
        </w:rPr>
        <w:t>Inequality</w:t>
      </w:r>
      <w:r w:rsidRPr="00D8166D">
        <w:rPr>
          <w:sz w:val="10"/>
        </w:rPr>
        <w:t xml:space="preserve"> within countries has been found to increase </w:t>
      </w:r>
      <w:r w:rsidRPr="00666381">
        <w:rPr>
          <w:rStyle w:val="Emphasis"/>
          <w:highlight w:val="cyan"/>
        </w:rPr>
        <w:t>with</w:t>
      </w:r>
      <w:r w:rsidRPr="00D8166D">
        <w:rPr>
          <w:sz w:val="10"/>
        </w:rPr>
        <w:t xml:space="preserve"> the expansion of trade (Ghose Reference Ghose2001; </w:t>
      </w:r>
      <w:proofErr w:type="spellStart"/>
      <w:r w:rsidRPr="00D8166D">
        <w:rPr>
          <w:sz w:val="10"/>
        </w:rPr>
        <w:t>Helpman</w:t>
      </w:r>
      <w:proofErr w:type="spellEnd"/>
      <w:r w:rsidRPr="00D8166D">
        <w:rPr>
          <w:sz w:val="10"/>
        </w:rPr>
        <w:t xml:space="preserve"> Reference Helpman2016; </w:t>
      </w:r>
      <w:proofErr w:type="spellStart"/>
      <w:r w:rsidRPr="00D8166D">
        <w:rPr>
          <w:sz w:val="10"/>
        </w:rPr>
        <w:t>Pavcnik</w:t>
      </w:r>
      <w:proofErr w:type="spellEnd"/>
      <w:r w:rsidRPr="00D8166D">
        <w:rPr>
          <w:sz w:val="10"/>
        </w:rPr>
        <w:t xml:space="preserve"> Reference Pavcnik2017), and unsatisfactory </w:t>
      </w:r>
      <w:proofErr w:type="spellStart"/>
      <w:r w:rsidRPr="00D8166D">
        <w:rPr>
          <w:sz w:val="10"/>
        </w:rPr>
        <w:t>labour</w:t>
      </w:r>
      <w:proofErr w:type="spellEnd"/>
      <w:r w:rsidRPr="00D8166D">
        <w:rPr>
          <w:sz w:val="10"/>
        </w:rPr>
        <w:t xml:space="preserve"> conditions in developing countries have been linked to trade </w:t>
      </w:r>
      <w:proofErr w:type="spellStart"/>
      <w:r w:rsidRPr="00666381">
        <w:rPr>
          <w:rStyle w:val="Emphasis"/>
          <w:highlight w:val="cyan"/>
        </w:rPr>
        <w:t>liberalisation</w:t>
      </w:r>
      <w:proofErr w:type="spellEnd"/>
      <w:r w:rsidRPr="00D8166D">
        <w:rPr>
          <w:sz w:val="10"/>
        </w:rPr>
        <w:t xml:space="preserve"> via the well-known concept of the ‘race to the bottom’ enabled by </w:t>
      </w:r>
      <w:r w:rsidRPr="00666381">
        <w:rPr>
          <w:rStyle w:val="Emphasis"/>
          <w:highlight w:val="cyan"/>
        </w:rPr>
        <w:t>international trade</w:t>
      </w:r>
      <w:r w:rsidRPr="00D8166D">
        <w:rPr>
          <w:sz w:val="10"/>
        </w:rPr>
        <w:t xml:space="preserve"> and foreign investment (Davies and </w:t>
      </w:r>
      <w:proofErr w:type="spellStart"/>
      <w:r w:rsidRPr="00D8166D">
        <w:rPr>
          <w:sz w:val="10"/>
        </w:rPr>
        <w:t>Vadlamanatti</w:t>
      </w:r>
      <w:proofErr w:type="spellEnd"/>
      <w:r w:rsidRPr="00D8166D">
        <w:rPr>
          <w:sz w:val="10"/>
        </w:rPr>
        <w:t xml:space="preserve"> Reference Davies and Vadlamannati2013; Anner Reference Anner2018; Wang Reference Wang2018). Given that trade is an issue that transcends borders and </w:t>
      </w:r>
      <w:r w:rsidRPr="00666381">
        <w:rPr>
          <w:rStyle w:val="Emphasis"/>
          <w:highlight w:val="cyan"/>
        </w:rPr>
        <w:t>involves power asymmetries</w:t>
      </w:r>
      <w:r w:rsidRPr="00D8166D">
        <w:rPr>
          <w:sz w:val="10"/>
        </w:rPr>
        <w:t xml:space="preserve"> among private and public actors between trading partners, the debate concerning whether trade is ultimately beneficial or harmful raises interesting questions that must be addressed when considering future </w:t>
      </w:r>
      <w:proofErr w:type="spellStart"/>
      <w:r w:rsidRPr="00D8166D">
        <w:rPr>
          <w:sz w:val="10"/>
        </w:rPr>
        <w:t>labour</w:t>
      </w:r>
      <w:proofErr w:type="spellEnd"/>
      <w:r w:rsidRPr="00D8166D">
        <w:rPr>
          <w:sz w:val="10"/>
        </w:rPr>
        <w:t xml:space="preserve"> provisions. Which (if any) international institutions are the proper forum to protect </w:t>
      </w:r>
      <w:proofErr w:type="spellStart"/>
      <w:r w:rsidRPr="00D8166D">
        <w:rPr>
          <w:sz w:val="10"/>
        </w:rPr>
        <w:t>labour</w:t>
      </w:r>
      <w:proofErr w:type="spellEnd"/>
      <w:r w:rsidRPr="00D8166D">
        <w:rPr>
          <w:sz w:val="10"/>
        </w:rPr>
        <w:t xml:space="preserve"> rights and ensure a more equitable global economy? Should PTAs include </w:t>
      </w:r>
      <w:proofErr w:type="spellStart"/>
      <w:r w:rsidRPr="00D8166D">
        <w:rPr>
          <w:sz w:val="10"/>
        </w:rPr>
        <w:t>labour</w:t>
      </w:r>
      <w:proofErr w:type="spellEnd"/>
      <w:r w:rsidRPr="00D8166D">
        <w:rPr>
          <w:sz w:val="10"/>
        </w:rPr>
        <w:t xml:space="preserve"> provisions, or should those remain strictly under the purview of the ILO? Are </w:t>
      </w:r>
      <w:proofErr w:type="spellStart"/>
      <w:r w:rsidRPr="00D8166D">
        <w:rPr>
          <w:sz w:val="10"/>
        </w:rPr>
        <w:t>labour</w:t>
      </w:r>
      <w:proofErr w:type="spellEnd"/>
      <w:r w:rsidRPr="00D8166D">
        <w:rPr>
          <w:sz w:val="10"/>
        </w:rPr>
        <w:t xml:space="preserve"> provisions in PTAs consistent with other international rules? Additionally, what has worked and what has not worked in </w:t>
      </w:r>
      <w:proofErr w:type="spellStart"/>
      <w:r w:rsidRPr="00D8166D">
        <w:rPr>
          <w:sz w:val="10"/>
        </w:rPr>
        <w:t>labour</w:t>
      </w:r>
      <w:proofErr w:type="spellEnd"/>
      <w:r w:rsidRPr="00D8166D">
        <w:rPr>
          <w:sz w:val="10"/>
        </w:rPr>
        <w:t xml:space="preserve"> chapter templates and what are the potential avenues for improvement or expansion of </w:t>
      </w:r>
      <w:proofErr w:type="spellStart"/>
      <w:r w:rsidRPr="00D8166D">
        <w:rPr>
          <w:sz w:val="10"/>
        </w:rPr>
        <w:t>labour</w:t>
      </w:r>
      <w:proofErr w:type="spellEnd"/>
      <w:r w:rsidRPr="00D8166D">
        <w:rPr>
          <w:sz w:val="10"/>
        </w:rPr>
        <w:t xml:space="preserve"> provisions in PTAs? 13.2.1 Developments on the International Level (GATT, WTO, and ILO) and Their Relationship with </w:t>
      </w:r>
      <w:proofErr w:type="spellStart"/>
      <w:r w:rsidRPr="00D8166D">
        <w:rPr>
          <w:sz w:val="10"/>
        </w:rPr>
        <w:t>Labour</w:t>
      </w:r>
      <w:proofErr w:type="spellEnd"/>
      <w:r w:rsidRPr="00D8166D">
        <w:rPr>
          <w:sz w:val="10"/>
        </w:rPr>
        <w:t xml:space="preserve"> Provisions in PTAs Preferential trade agreements are not the only treaties dealing with </w:t>
      </w:r>
      <w:proofErr w:type="spellStart"/>
      <w:r w:rsidRPr="00D8166D">
        <w:rPr>
          <w:sz w:val="10"/>
        </w:rPr>
        <w:t>labour</w:t>
      </w:r>
      <w:proofErr w:type="spellEnd"/>
      <w:r w:rsidRPr="00D8166D">
        <w:rPr>
          <w:sz w:val="10"/>
        </w:rPr>
        <w:t xml:space="preserve"> issues. The most prominent international </w:t>
      </w:r>
      <w:proofErr w:type="spellStart"/>
      <w:r w:rsidRPr="00D8166D">
        <w:rPr>
          <w:sz w:val="10"/>
        </w:rPr>
        <w:t>organisations</w:t>
      </w:r>
      <w:proofErr w:type="spellEnd"/>
      <w:r w:rsidRPr="00D8166D">
        <w:rPr>
          <w:sz w:val="10"/>
        </w:rPr>
        <w:t xml:space="preserve"> with an interest in </w:t>
      </w:r>
      <w:proofErr w:type="spellStart"/>
      <w:r w:rsidRPr="00D8166D">
        <w:rPr>
          <w:sz w:val="10"/>
        </w:rPr>
        <w:t>labour</w:t>
      </w:r>
      <w:proofErr w:type="spellEnd"/>
      <w:r w:rsidRPr="00D8166D">
        <w:rPr>
          <w:sz w:val="10"/>
        </w:rPr>
        <w:t xml:space="preserve"> issues are the WTO and the ILO. This section outlines the role of these two </w:t>
      </w:r>
      <w:proofErr w:type="spellStart"/>
      <w:r w:rsidRPr="00D8166D">
        <w:rPr>
          <w:sz w:val="10"/>
        </w:rPr>
        <w:t>organisations</w:t>
      </w:r>
      <w:proofErr w:type="spellEnd"/>
      <w:r w:rsidRPr="00D8166D">
        <w:rPr>
          <w:sz w:val="10"/>
        </w:rPr>
        <w:t xml:space="preserve"> and highlights the ways in which they are compatible in advancing workers’ rights </w:t>
      </w:r>
      <w:r w:rsidRPr="0051766F">
        <w:rPr>
          <w:rStyle w:val="Emphasis"/>
          <w:highlight w:val="cyan"/>
        </w:rPr>
        <w:t>in</w:t>
      </w:r>
      <w:r w:rsidRPr="00D8166D">
        <w:rPr>
          <w:sz w:val="10"/>
        </w:rPr>
        <w:t xml:space="preserve"> trade. The United States (US) and the former European Economic Community/European Community sought to include </w:t>
      </w:r>
      <w:proofErr w:type="spellStart"/>
      <w:r w:rsidRPr="00D8166D">
        <w:rPr>
          <w:sz w:val="10"/>
        </w:rPr>
        <w:t>labour</w:t>
      </w:r>
      <w:proofErr w:type="spellEnd"/>
      <w:r w:rsidRPr="00D8166D">
        <w:rPr>
          <w:sz w:val="10"/>
        </w:rPr>
        <w:t xml:space="preserve"> standards in both the GATT and the WTO agreements. In 1953, for instance, the US State Department proposed an ‘unfair </w:t>
      </w:r>
      <w:proofErr w:type="spellStart"/>
      <w:r w:rsidRPr="00D8166D">
        <w:rPr>
          <w:sz w:val="10"/>
        </w:rPr>
        <w:t>labour</w:t>
      </w:r>
      <w:proofErr w:type="spellEnd"/>
      <w:r w:rsidRPr="00D8166D">
        <w:rPr>
          <w:sz w:val="10"/>
        </w:rPr>
        <w:t xml:space="preserve"> clause’ to the GATT, but the member countries could not reach a consensus on its definition (Cottier and </w:t>
      </w:r>
      <w:proofErr w:type="spellStart"/>
      <w:r w:rsidRPr="00D8166D">
        <w:rPr>
          <w:sz w:val="10"/>
        </w:rPr>
        <w:t>Caplazi</w:t>
      </w:r>
      <w:proofErr w:type="spellEnd"/>
      <w:r w:rsidRPr="00D8166D">
        <w:rPr>
          <w:sz w:val="10"/>
        </w:rPr>
        <w:t xml:space="preserve"> Reference Cottier, </w:t>
      </w:r>
      <w:proofErr w:type="spellStart"/>
      <w:r w:rsidRPr="00D8166D">
        <w:rPr>
          <w:sz w:val="10"/>
        </w:rPr>
        <w:t>Caplazi</w:t>
      </w:r>
      <w:proofErr w:type="spellEnd"/>
      <w:r w:rsidRPr="00D8166D">
        <w:rPr>
          <w:sz w:val="10"/>
        </w:rPr>
        <w:t xml:space="preserve">, Geiser, Schmid and Walter-Busch1998). In 1994, the European Parliament proposed to broaden Article XX(e) of the GATT by including child </w:t>
      </w:r>
      <w:proofErr w:type="spellStart"/>
      <w:r w:rsidRPr="00D8166D">
        <w:rPr>
          <w:sz w:val="10"/>
        </w:rPr>
        <w:t>labour</w:t>
      </w:r>
      <w:proofErr w:type="spellEnd"/>
      <w:r w:rsidRPr="00D8166D">
        <w:rPr>
          <w:sz w:val="10"/>
        </w:rPr>
        <w:t xml:space="preserve"> as well as the infringement of the principle of freedom of association and collective bargaining (FACB) (Waer Reference Waer1996). However, these attempts failed mainly due to the opposition of India and other </w:t>
      </w:r>
      <w:r w:rsidRPr="00666381">
        <w:rPr>
          <w:rStyle w:val="Emphasis"/>
          <w:highlight w:val="cyan"/>
        </w:rPr>
        <w:t>developing countries</w:t>
      </w:r>
      <w:r w:rsidRPr="00D8166D">
        <w:rPr>
          <w:sz w:val="10"/>
        </w:rPr>
        <w:t xml:space="preserve">, who opposed the inclusion of </w:t>
      </w:r>
      <w:proofErr w:type="spellStart"/>
      <w:r w:rsidRPr="00D8166D">
        <w:rPr>
          <w:sz w:val="10"/>
        </w:rPr>
        <w:t>labour</w:t>
      </w:r>
      <w:proofErr w:type="spellEnd"/>
      <w:r w:rsidRPr="00D8166D">
        <w:rPr>
          <w:sz w:val="10"/>
        </w:rPr>
        <w:t xml:space="preserve"> clauses at the WTO on the grounds that they represent ‘protectionism in its new garb’ (Kolben Reference Kolben2006: 237; see also Hepple Reference Hepple2005: 130; Bhagwati Reference Bhagwati1995; Staiger Reference Staiger2003; McCrudden and Davies Reference McCrudden and Davies2000). India’s </w:t>
      </w:r>
      <w:r w:rsidRPr="00666381">
        <w:rPr>
          <w:rStyle w:val="Emphasis"/>
          <w:highlight w:val="cyan"/>
        </w:rPr>
        <w:t xml:space="preserve">government, business interests, and even </w:t>
      </w:r>
      <w:proofErr w:type="spellStart"/>
      <w:r w:rsidRPr="00666381">
        <w:rPr>
          <w:rStyle w:val="Emphasis"/>
          <w:highlight w:val="cyan"/>
        </w:rPr>
        <w:t>labour</w:t>
      </w:r>
      <w:proofErr w:type="spellEnd"/>
      <w:r w:rsidRPr="00666381">
        <w:rPr>
          <w:rStyle w:val="Emphasis"/>
          <w:highlight w:val="cyan"/>
        </w:rPr>
        <w:t xml:space="preserve"> and civil society </w:t>
      </w:r>
      <w:proofErr w:type="spellStart"/>
      <w:r w:rsidRPr="00666381">
        <w:rPr>
          <w:rStyle w:val="Emphasis"/>
          <w:highlight w:val="cyan"/>
        </w:rPr>
        <w:t>organisations</w:t>
      </w:r>
      <w:proofErr w:type="spellEnd"/>
      <w:r w:rsidRPr="00666381">
        <w:rPr>
          <w:rStyle w:val="Emphasis"/>
          <w:highlight w:val="cyan"/>
        </w:rPr>
        <w:t xml:space="preserve"> actively worked against including or expanding </w:t>
      </w:r>
      <w:proofErr w:type="spellStart"/>
      <w:r w:rsidRPr="00666381">
        <w:rPr>
          <w:rStyle w:val="Emphasis"/>
          <w:highlight w:val="cyan"/>
        </w:rPr>
        <w:t>labour</w:t>
      </w:r>
      <w:proofErr w:type="spellEnd"/>
      <w:r w:rsidRPr="00666381">
        <w:rPr>
          <w:rStyle w:val="Emphasis"/>
          <w:highlight w:val="cyan"/>
        </w:rPr>
        <w:t xml:space="preserve"> clauses,</w:t>
      </w:r>
      <w:r w:rsidRPr="00D8166D">
        <w:rPr>
          <w:sz w:val="10"/>
        </w:rPr>
        <w:t xml:space="preserve"> </w:t>
      </w:r>
      <w:proofErr w:type="spellStart"/>
      <w:r w:rsidRPr="00D8166D">
        <w:rPr>
          <w:sz w:val="10"/>
        </w:rPr>
        <w:t>organising</w:t>
      </w:r>
      <w:proofErr w:type="spellEnd"/>
      <w:r w:rsidRPr="00D8166D">
        <w:rPr>
          <w:sz w:val="10"/>
        </w:rPr>
        <w:t xml:space="preserve"> opposition among developing nations. Moreover, scholars have </w:t>
      </w:r>
      <w:proofErr w:type="spellStart"/>
      <w:r w:rsidRPr="00D8166D">
        <w:rPr>
          <w:sz w:val="10"/>
        </w:rPr>
        <w:t>criticised</w:t>
      </w:r>
      <w:proofErr w:type="spellEnd"/>
      <w:r w:rsidRPr="00D8166D">
        <w:rPr>
          <w:sz w:val="10"/>
        </w:rPr>
        <w:t xml:space="preserve"> the inclusion of non-trade issues (NTIs) at the WTO and in PTAs (and the agreements themselves, generally) </w:t>
      </w:r>
      <w:r w:rsidRPr="00666381">
        <w:rPr>
          <w:rStyle w:val="Emphasis"/>
          <w:highlight w:val="cyan"/>
        </w:rPr>
        <w:t>as tools of neocolonialism</w:t>
      </w:r>
      <w:r w:rsidRPr="00D8166D">
        <w:rPr>
          <w:sz w:val="10"/>
        </w:rPr>
        <w:t xml:space="preserve"> and a means for enforcing foreign, Western norms on other parties to the agreements (Bhala Reference Bhala2007; Villalta Puig and </w:t>
      </w:r>
      <w:proofErr w:type="spellStart"/>
      <w:r w:rsidRPr="00D8166D">
        <w:rPr>
          <w:sz w:val="10"/>
        </w:rPr>
        <w:t>Ohiocheoya</w:t>
      </w:r>
      <w:proofErr w:type="spellEnd"/>
      <w:r w:rsidRPr="00D8166D">
        <w:rPr>
          <w:sz w:val="10"/>
        </w:rPr>
        <w:t xml:space="preserve"> Reference Villalta Puig and Ohiocheoya2011). At the 1996 Singapore Ministerial Conference, WTO Members formally conferred on the ILO authority over </w:t>
      </w:r>
      <w:proofErr w:type="spellStart"/>
      <w:r w:rsidRPr="00D8166D">
        <w:rPr>
          <w:sz w:val="10"/>
        </w:rPr>
        <w:t>labour</w:t>
      </w:r>
      <w:proofErr w:type="spellEnd"/>
      <w:r w:rsidRPr="00D8166D">
        <w:rPr>
          <w:sz w:val="10"/>
        </w:rPr>
        <w:t xml:space="preserve"> standards in its Declaration: ‘We renew our commitment to the observance of internationally recognized core </w:t>
      </w:r>
      <w:proofErr w:type="spellStart"/>
      <w:r w:rsidRPr="00D8166D">
        <w:rPr>
          <w:sz w:val="10"/>
        </w:rPr>
        <w:t>labour</w:t>
      </w:r>
      <w:proofErr w:type="spellEnd"/>
      <w:r w:rsidRPr="00D8166D">
        <w:rPr>
          <w:sz w:val="10"/>
        </w:rPr>
        <w:t xml:space="preserve"> standards. The International </w:t>
      </w:r>
      <w:proofErr w:type="spellStart"/>
      <w:r w:rsidRPr="00D8166D">
        <w:rPr>
          <w:sz w:val="10"/>
        </w:rPr>
        <w:t>Labour</w:t>
      </w:r>
      <w:proofErr w:type="spellEnd"/>
      <w:r w:rsidRPr="00D8166D">
        <w:rPr>
          <w:sz w:val="10"/>
        </w:rPr>
        <w:t xml:space="preserve"> Organization (ILO) is the competent body to set and deal with these standards, and we affirm our support for its work in promoting them … We </w:t>
      </w:r>
      <w:r w:rsidRPr="00666381">
        <w:rPr>
          <w:rStyle w:val="Emphasis"/>
          <w:highlight w:val="cyan"/>
        </w:rPr>
        <w:t xml:space="preserve">reject the use of </w:t>
      </w:r>
      <w:proofErr w:type="spellStart"/>
      <w:r w:rsidRPr="00666381">
        <w:rPr>
          <w:rStyle w:val="Emphasis"/>
          <w:highlight w:val="cyan"/>
        </w:rPr>
        <w:t>labour</w:t>
      </w:r>
      <w:proofErr w:type="spellEnd"/>
      <w:r w:rsidRPr="00666381">
        <w:rPr>
          <w:rStyle w:val="Emphasis"/>
          <w:highlight w:val="cyan"/>
        </w:rPr>
        <w:t xml:space="preserve"> standards for protectionist purposes</w:t>
      </w:r>
      <w:r w:rsidRPr="00D8166D">
        <w:rPr>
          <w:sz w:val="10"/>
        </w:rPr>
        <w:t xml:space="preserve">, and agree that the comparative advantage of countries, particularly </w:t>
      </w:r>
      <w:proofErr w:type="gramStart"/>
      <w:r w:rsidRPr="00D8166D">
        <w:rPr>
          <w:sz w:val="10"/>
        </w:rPr>
        <w:t>low-wage</w:t>
      </w:r>
      <w:proofErr w:type="gramEnd"/>
      <w:r w:rsidRPr="00D8166D">
        <w:rPr>
          <w:sz w:val="10"/>
        </w:rPr>
        <w:t xml:space="preserve"> developing countries, must in no way be put into question…’. (WTO 1996). Again in 1999, leading up to the third WTO Ministerial Conference in Seattle, both the US and the European Communities proposed a joint ILO/WTO working forum (WTO 1999a, 1999b). This forum would serve as a formal mechanism within the WTO to foster dialogue and research on </w:t>
      </w:r>
      <w:proofErr w:type="spellStart"/>
      <w:r w:rsidRPr="00D8166D">
        <w:rPr>
          <w:sz w:val="10"/>
        </w:rPr>
        <w:t>labour</w:t>
      </w:r>
      <w:proofErr w:type="spellEnd"/>
      <w:r w:rsidRPr="00D8166D">
        <w:rPr>
          <w:sz w:val="10"/>
        </w:rPr>
        <w:t xml:space="preserve"> issues and strengthen the ILO by granting it observer status at the WTO. However, despite the proposed forum, </w:t>
      </w:r>
      <w:proofErr w:type="spellStart"/>
      <w:r w:rsidRPr="00D8166D">
        <w:rPr>
          <w:sz w:val="10"/>
        </w:rPr>
        <w:t>labour</w:t>
      </w:r>
      <w:proofErr w:type="spellEnd"/>
      <w:r w:rsidRPr="00D8166D">
        <w:rPr>
          <w:sz w:val="10"/>
        </w:rPr>
        <w:t xml:space="preserve"> unions and </w:t>
      </w:r>
      <w:proofErr w:type="spellStart"/>
      <w:r w:rsidRPr="00D8166D">
        <w:rPr>
          <w:sz w:val="10"/>
        </w:rPr>
        <w:t>antiglobalisation</w:t>
      </w:r>
      <w:proofErr w:type="spellEnd"/>
      <w:r w:rsidRPr="00D8166D">
        <w:rPr>
          <w:sz w:val="10"/>
        </w:rPr>
        <w:t xml:space="preserve"> protesters expressed concerns about the negative impacts of </w:t>
      </w:r>
      <w:proofErr w:type="spellStart"/>
      <w:r w:rsidRPr="00D8166D">
        <w:rPr>
          <w:sz w:val="10"/>
        </w:rPr>
        <w:t>globalisation</w:t>
      </w:r>
      <w:proofErr w:type="spellEnd"/>
      <w:r w:rsidRPr="00D8166D">
        <w:rPr>
          <w:sz w:val="10"/>
        </w:rPr>
        <w:t xml:space="preserve"> on workers’ rights, the environment, and human rights. The widespread protests were a turning point in the global debate on trade and </w:t>
      </w:r>
      <w:proofErr w:type="spellStart"/>
      <w:r w:rsidRPr="00D8166D">
        <w:rPr>
          <w:sz w:val="10"/>
        </w:rPr>
        <w:t>globalisation</w:t>
      </w:r>
      <w:proofErr w:type="spellEnd"/>
      <w:r w:rsidRPr="00D8166D">
        <w:rPr>
          <w:sz w:val="10"/>
        </w:rPr>
        <w:t xml:space="preserve"> and brought attention to growing public opposition to unfettered free trade, to the degree that the protests surrounding this conference were dubbed the ‘Battle in Seattle’. Since then, there has been little sustained effort to bring </w:t>
      </w:r>
      <w:proofErr w:type="spellStart"/>
      <w:r w:rsidRPr="00D8166D">
        <w:rPr>
          <w:sz w:val="10"/>
        </w:rPr>
        <w:t>labour</w:t>
      </w:r>
      <w:proofErr w:type="spellEnd"/>
      <w:r w:rsidRPr="00D8166D">
        <w:rPr>
          <w:sz w:val="10"/>
        </w:rPr>
        <w:t xml:space="preserve"> issues into the WTO agenda. The ILO figures prominently in the relationship between trade and </w:t>
      </w:r>
      <w:proofErr w:type="spellStart"/>
      <w:r w:rsidRPr="00D8166D">
        <w:rPr>
          <w:sz w:val="10"/>
        </w:rPr>
        <w:t>labour</w:t>
      </w:r>
      <w:proofErr w:type="spellEnd"/>
      <w:r w:rsidRPr="00D8166D">
        <w:rPr>
          <w:sz w:val="10"/>
        </w:rPr>
        <w:t xml:space="preserve"> given that its internationally </w:t>
      </w:r>
      <w:proofErr w:type="spellStart"/>
      <w:r w:rsidRPr="00D8166D">
        <w:rPr>
          <w:sz w:val="10"/>
        </w:rPr>
        <w:t>recognised</w:t>
      </w:r>
      <w:proofErr w:type="spellEnd"/>
      <w:r w:rsidRPr="00D8166D">
        <w:rPr>
          <w:sz w:val="10"/>
        </w:rPr>
        <w:t xml:space="preserve"> </w:t>
      </w:r>
      <w:proofErr w:type="spellStart"/>
      <w:r w:rsidRPr="00D8166D">
        <w:rPr>
          <w:sz w:val="10"/>
        </w:rPr>
        <w:t>labour</w:t>
      </w:r>
      <w:proofErr w:type="spellEnd"/>
      <w:r w:rsidRPr="00D8166D">
        <w:rPr>
          <w:sz w:val="10"/>
        </w:rPr>
        <w:t xml:space="preserve"> standards are often integrated into trade agreements. Most </w:t>
      </w:r>
      <w:proofErr w:type="spellStart"/>
      <w:r w:rsidRPr="00D8166D">
        <w:rPr>
          <w:sz w:val="10"/>
        </w:rPr>
        <w:t>labour</w:t>
      </w:r>
      <w:proofErr w:type="spellEnd"/>
      <w:r w:rsidRPr="00D8166D">
        <w:rPr>
          <w:sz w:val="10"/>
        </w:rPr>
        <w:t xml:space="preserve"> provisions in PTAs refer to the 1998 ILO Declaration on Fundamental Principles and Rights at Work and its follow-up, the ‘1998 ILO Declaration’, or the eight fundamental conventions and the ILO Decent Work Agenda (</w:t>
      </w:r>
      <w:proofErr w:type="spellStart"/>
      <w:r w:rsidRPr="00D8166D">
        <w:rPr>
          <w:sz w:val="10"/>
        </w:rPr>
        <w:t>Velut</w:t>
      </w:r>
      <w:proofErr w:type="spellEnd"/>
      <w:r w:rsidRPr="00D8166D">
        <w:rPr>
          <w:sz w:val="10"/>
        </w:rPr>
        <w:t xml:space="preserve"> et al. Reference </w:t>
      </w:r>
      <w:proofErr w:type="spellStart"/>
      <w:r w:rsidRPr="00D8166D">
        <w:rPr>
          <w:sz w:val="10"/>
        </w:rPr>
        <w:t>Velut</w:t>
      </w:r>
      <w:proofErr w:type="spellEnd"/>
      <w:r w:rsidRPr="00D8166D">
        <w:rPr>
          <w:sz w:val="10"/>
        </w:rPr>
        <w:t>, Baeza-</w:t>
      </w:r>
      <w:proofErr w:type="spellStart"/>
      <w:r w:rsidRPr="00D8166D">
        <w:rPr>
          <w:sz w:val="10"/>
        </w:rPr>
        <w:t>Breinbauer</w:t>
      </w:r>
      <w:proofErr w:type="spellEnd"/>
      <w:r w:rsidRPr="00D8166D">
        <w:rPr>
          <w:sz w:val="10"/>
        </w:rPr>
        <w:t xml:space="preserve">, </w:t>
      </w:r>
      <w:proofErr w:type="spellStart"/>
      <w:r w:rsidRPr="00D8166D">
        <w:rPr>
          <w:sz w:val="10"/>
        </w:rPr>
        <w:t>Bruijne</w:t>
      </w:r>
      <w:proofErr w:type="spellEnd"/>
      <w:r w:rsidRPr="00D8166D">
        <w:rPr>
          <w:sz w:val="10"/>
        </w:rPr>
        <w:t xml:space="preserve">, </w:t>
      </w:r>
      <w:proofErr w:type="spellStart"/>
      <w:r w:rsidRPr="00D8166D">
        <w:rPr>
          <w:sz w:val="10"/>
        </w:rPr>
        <w:t>Garnizova</w:t>
      </w:r>
      <w:proofErr w:type="spellEnd"/>
      <w:r w:rsidRPr="00D8166D">
        <w:rPr>
          <w:sz w:val="10"/>
        </w:rPr>
        <w:t xml:space="preserve">, Jones, Kolben, </w:t>
      </w:r>
      <w:proofErr w:type="spellStart"/>
      <w:r w:rsidRPr="00D8166D">
        <w:rPr>
          <w:sz w:val="10"/>
        </w:rPr>
        <w:t>Oules</w:t>
      </w:r>
      <w:proofErr w:type="spellEnd"/>
      <w:r w:rsidRPr="00D8166D">
        <w:rPr>
          <w:sz w:val="10"/>
        </w:rPr>
        <w:t xml:space="preserve">, </w:t>
      </w:r>
      <w:proofErr w:type="spellStart"/>
      <w:r w:rsidRPr="00D8166D">
        <w:rPr>
          <w:sz w:val="10"/>
        </w:rPr>
        <w:t>Rouas</w:t>
      </w:r>
      <w:proofErr w:type="spellEnd"/>
      <w:r w:rsidRPr="00D8166D">
        <w:rPr>
          <w:sz w:val="10"/>
        </w:rPr>
        <w:t xml:space="preserve">, Tigere Pittet and Zamparutti2022: 84). The 1998 ILO Declaration contains four fundamental principles regarding </w:t>
      </w:r>
      <w:proofErr w:type="spellStart"/>
      <w:r w:rsidRPr="00D8166D">
        <w:rPr>
          <w:sz w:val="10"/>
        </w:rPr>
        <w:t>labour</w:t>
      </w:r>
      <w:proofErr w:type="spellEnd"/>
      <w:r w:rsidRPr="00D8166D">
        <w:rPr>
          <w:sz w:val="10"/>
        </w:rPr>
        <w:t xml:space="preserve"> (ILO 1998): 1. Freedom of association and the effective recognition of the right to collective bargaining. 2. The elimination of all forms of forced or compulsory </w:t>
      </w:r>
      <w:proofErr w:type="spellStart"/>
      <w:r w:rsidRPr="00D8166D">
        <w:rPr>
          <w:sz w:val="10"/>
        </w:rPr>
        <w:t>labour</w:t>
      </w:r>
      <w:proofErr w:type="spellEnd"/>
      <w:r w:rsidRPr="00D8166D">
        <w:rPr>
          <w:sz w:val="10"/>
        </w:rPr>
        <w:t xml:space="preserve">. 3. The effective abolition of child </w:t>
      </w:r>
      <w:proofErr w:type="spellStart"/>
      <w:r w:rsidRPr="00D8166D">
        <w:rPr>
          <w:sz w:val="10"/>
        </w:rPr>
        <w:t>labour</w:t>
      </w:r>
      <w:proofErr w:type="spellEnd"/>
      <w:r w:rsidRPr="00D8166D">
        <w:rPr>
          <w:sz w:val="10"/>
        </w:rPr>
        <w:t xml:space="preserve">. 4. The elimination of discrimination in respect of employment and occupation. There are various manners in which ILO commitments are referenced in PTAs. Sometimes, parties only reaffirm their ILO-related obligations entailing no further legal obligations or choose to incorporate ILO commitments directly into PTAs, either through ‘best </w:t>
      </w:r>
      <w:proofErr w:type="spellStart"/>
      <w:r w:rsidRPr="00D8166D">
        <w:rPr>
          <w:sz w:val="10"/>
        </w:rPr>
        <w:t>endeavours’</w:t>
      </w:r>
      <w:proofErr w:type="spellEnd"/>
      <w:r w:rsidRPr="00D8166D">
        <w:rPr>
          <w:sz w:val="10"/>
        </w:rPr>
        <w:t xml:space="preserve"> clauses or by directly requiring parties to implement those standards in their domestic legislation (Agustí-</w:t>
      </w:r>
      <w:proofErr w:type="spellStart"/>
      <w:r w:rsidRPr="00D8166D">
        <w:rPr>
          <w:sz w:val="10"/>
        </w:rPr>
        <w:t>Panareda</w:t>
      </w:r>
      <w:proofErr w:type="spellEnd"/>
      <w:r w:rsidRPr="00D8166D">
        <w:rPr>
          <w:sz w:val="10"/>
        </w:rPr>
        <w:t xml:space="preserve"> et al. Reference Agustí-</w:t>
      </w:r>
      <w:proofErr w:type="spellStart"/>
      <w:r w:rsidRPr="00D8166D">
        <w:rPr>
          <w:sz w:val="10"/>
        </w:rPr>
        <w:t>Panareda</w:t>
      </w:r>
      <w:proofErr w:type="spellEnd"/>
      <w:r w:rsidRPr="00D8166D">
        <w:rPr>
          <w:sz w:val="10"/>
        </w:rPr>
        <w:t xml:space="preserve">, Ebert and Leclercq2014). In principle, it is possible that a country binds itself by incorporating ILO conventions that it has not yet ratified into a PTA, and thus expands its obligations through the signing of the PTA. However, this has not happened so far, as countries have only included ILO treaties which they previously ratified. While PTA </w:t>
      </w:r>
      <w:proofErr w:type="spellStart"/>
      <w:r w:rsidRPr="00D8166D">
        <w:rPr>
          <w:sz w:val="10"/>
        </w:rPr>
        <w:t>labour</w:t>
      </w:r>
      <w:proofErr w:type="spellEnd"/>
      <w:r w:rsidRPr="00D8166D">
        <w:rPr>
          <w:sz w:val="10"/>
        </w:rPr>
        <w:t xml:space="preserve"> provisions usually mirror the ILO-related obligations of a country, some PTAs require the parties to ‘make continued and sustained efforts towards ratifying and effectively implementing the fundamental ILO </w:t>
      </w:r>
      <w:proofErr w:type="gramStart"/>
      <w:r w:rsidRPr="00D8166D">
        <w:rPr>
          <w:sz w:val="10"/>
        </w:rPr>
        <w:t>conventions’</w:t>
      </w:r>
      <w:proofErr w:type="gramEnd"/>
      <w:r w:rsidRPr="00D8166D">
        <w:rPr>
          <w:sz w:val="10"/>
        </w:rPr>
        <w:t xml:space="preserve">. Through this approach, countries with higher ambition on </w:t>
      </w:r>
      <w:proofErr w:type="spellStart"/>
      <w:r w:rsidRPr="00D8166D">
        <w:rPr>
          <w:sz w:val="10"/>
        </w:rPr>
        <w:t>labour</w:t>
      </w:r>
      <w:proofErr w:type="spellEnd"/>
      <w:r w:rsidRPr="00D8166D">
        <w:rPr>
          <w:sz w:val="10"/>
        </w:rPr>
        <w:t xml:space="preserve"> standards use PTAs to put additional pressure on a partner country to ratify the ILO conventions. This is especially common in North–South agreements. Moreover, as the ILO does not have a legally binding enforcement mechanism for non-compliance through their conventions, dispute settlement mechanisms in PTAs can help to close that gap. Allowing a party to take trade sanctions to offset the violation of a treaty provision has potential to be a stringent and efficient way to enforce ILO commitments (Melo Araujo Reference Melo Araujo2018). On the implementation front, the role of ILO is less pronounced (Peels and Fino Reference Peels and Fino2015: 197). While the ILO is not so present as an actor in the domestic space, many agreements still specify ILO assistance in technical cooperation activities, monitoring, and capacity building (Agustí-</w:t>
      </w:r>
      <w:proofErr w:type="spellStart"/>
      <w:r w:rsidRPr="00D8166D">
        <w:rPr>
          <w:sz w:val="10"/>
        </w:rPr>
        <w:t>Panareda</w:t>
      </w:r>
      <w:proofErr w:type="spellEnd"/>
      <w:r w:rsidRPr="00D8166D">
        <w:rPr>
          <w:sz w:val="10"/>
        </w:rPr>
        <w:t xml:space="preserve"> et al. Reference Agustí-</w:t>
      </w:r>
      <w:proofErr w:type="spellStart"/>
      <w:r w:rsidRPr="00D8166D">
        <w:rPr>
          <w:sz w:val="10"/>
        </w:rPr>
        <w:t>Panareda</w:t>
      </w:r>
      <w:proofErr w:type="spellEnd"/>
      <w:r w:rsidRPr="00D8166D">
        <w:rPr>
          <w:sz w:val="10"/>
        </w:rPr>
        <w:t xml:space="preserve">, Ebert and Leclercq2014: 20). For example, in the European Union (EU)–Caribbean Forum (CARIFORUM) and EU–Canada Comprehensive Economic and Trade Agreement (CETA), the ILO is named in a provision on advice for best practices and the use of effective policy tools in addressing </w:t>
      </w:r>
      <w:proofErr w:type="spellStart"/>
      <w:r w:rsidRPr="00D8166D">
        <w:rPr>
          <w:sz w:val="10"/>
        </w:rPr>
        <w:t>labour</w:t>
      </w:r>
      <w:proofErr w:type="spellEnd"/>
      <w:r w:rsidRPr="00D8166D">
        <w:rPr>
          <w:sz w:val="10"/>
        </w:rPr>
        <w:t xml:space="preserve"> rights challenges. In the US–Colombia agreement, the ILO is explicitly stated as a supporting pillar for national contact points in capacity-building work. The ILO is also involved in a consultative capacity for disputes in some instances. In the case of EU–Singapore, the PTA specifies that ‘parties may seek the views of [the ILO] in order to fully examine the matter’ in the case of </w:t>
      </w:r>
      <w:proofErr w:type="spellStart"/>
      <w:r w:rsidRPr="00D8166D">
        <w:rPr>
          <w:sz w:val="10"/>
        </w:rPr>
        <w:t>labour</w:t>
      </w:r>
      <w:proofErr w:type="spellEnd"/>
      <w:r w:rsidRPr="00D8166D">
        <w:rPr>
          <w:sz w:val="10"/>
        </w:rPr>
        <w:t xml:space="preserve"> disputes. In addition to the link through the ILO or PTAs, </w:t>
      </w:r>
      <w:proofErr w:type="spellStart"/>
      <w:r w:rsidRPr="00D8166D">
        <w:rPr>
          <w:sz w:val="10"/>
        </w:rPr>
        <w:t>labour</w:t>
      </w:r>
      <w:proofErr w:type="spellEnd"/>
      <w:r w:rsidRPr="00D8166D">
        <w:rPr>
          <w:sz w:val="10"/>
        </w:rPr>
        <w:t xml:space="preserve"> standards and trade are connected via the </w:t>
      </w:r>
      <w:proofErr w:type="spellStart"/>
      <w:r w:rsidRPr="00D8166D">
        <w:rPr>
          <w:sz w:val="10"/>
        </w:rPr>
        <w:t>Generalised</w:t>
      </w:r>
      <w:proofErr w:type="spellEnd"/>
      <w:r w:rsidRPr="00D8166D">
        <w:rPr>
          <w:sz w:val="10"/>
        </w:rPr>
        <w:t xml:space="preserve"> System of Preferences (GSP). Based on what is commonly referred to as the enabling clause under WTO law, WTO Members can deviate from the ‘most-</w:t>
      </w:r>
      <w:proofErr w:type="spellStart"/>
      <w:r w:rsidRPr="00D8166D">
        <w:rPr>
          <w:sz w:val="10"/>
        </w:rPr>
        <w:t>favoured</w:t>
      </w:r>
      <w:proofErr w:type="spellEnd"/>
      <w:r w:rsidRPr="00D8166D">
        <w:rPr>
          <w:sz w:val="10"/>
        </w:rPr>
        <w:t xml:space="preserve">-nation’ principle and accord more </w:t>
      </w:r>
      <w:proofErr w:type="spellStart"/>
      <w:r w:rsidRPr="00D8166D">
        <w:rPr>
          <w:sz w:val="10"/>
        </w:rPr>
        <w:t>favourable</w:t>
      </w:r>
      <w:proofErr w:type="spellEnd"/>
      <w:r w:rsidRPr="00D8166D">
        <w:rPr>
          <w:sz w:val="10"/>
        </w:rPr>
        <w:t xml:space="preserve"> treatment to developing countries. The US and the EU made use of this mechanism by establishing their respective domestic GSPs, where benefits such as preferential tariff treatment can be granted if a developing country meets certain criteria. However, preferences under GSP </w:t>
      </w:r>
      <w:proofErr w:type="spellStart"/>
      <w:r w:rsidRPr="00D8166D">
        <w:rPr>
          <w:sz w:val="10"/>
        </w:rPr>
        <w:t>programmes</w:t>
      </w:r>
      <w:proofErr w:type="spellEnd"/>
      <w:r w:rsidRPr="00D8166D">
        <w:rPr>
          <w:sz w:val="10"/>
        </w:rPr>
        <w:t xml:space="preserve"> may be suspended in case of violations of ILO core </w:t>
      </w:r>
      <w:proofErr w:type="spellStart"/>
      <w:r w:rsidRPr="00D8166D">
        <w:rPr>
          <w:sz w:val="10"/>
        </w:rPr>
        <w:t>labour</w:t>
      </w:r>
      <w:proofErr w:type="spellEnd"/>
      <w:r w:rsidRPr="00D8166D">
        <w:rPr>
          <w:sz w:val="10"/>
        </w:rPr>
        <w:t xml:space="preserve"> standards (</w:t>
      </w:r>
      <w:proofErr w:type="spellStart"/>
      <w:r w:rsidRPr="00D8166D">
        <w:rPr>
          <w:sz w:val="10"/>
        </w:rPr>
        <w:t>Siroën</w:t>
      </w:r>
      <w:proofErr w:type="spellEnd"/>
      <w:r w:rsidRPr="00D8166D">
        <w:rPr>
          <w:sz w:val="10"/>
        </w:rPr>
        <w:t xml:space="preserve"> Reference Siroën2013). Thus, these schemes provide for the unilateral trade suspension of benefits against developing countries that are independent from the suspension of concessions that may be used based on a PTA. 13.2.2 Variation of </w:t>
      </w:r>
      <w:proofErr w:type="spellStart"/>
      <w:r w:rsidRPr="00D8166D">
        <w:rPr>
          <w:sz w:val="10"/>
        </w:rPr>
        <w:t>Labour</w:t>
      </w:r>
      <w:proofErr w:type="spellEnd"/>
      <w:r w:rsidRPr="00D8166D">
        <w:rPr>
          <w:sz w:val="10"/>
        </w:rPr>
        <w:t xml:space="preserve"> Provisions PTAs by Region As of 2022, 113 out of 354 PTAs included </w:t>
      </w:r>
      <w:proofErr w:type="spellStart"/>
      <w:r w:rsidRPr="00D8166D">
        <w:rPr>
          <w:sz w:val="10"/>
        </w:rPr>
        <w:t>labour</w:t>
      </w:r>
      <w:proofErr w:type="spellEnd"/>
      <w:r w:rsidRPr="00D8166D">
        <w:rPr>
          <w:sz w:val="10"/>
        </w:rPr>
        <w:t xml:space="preserve"> provisions, half of which were ratified over the last decade (ILO 2022). Although </w:t>
      </w:r>
      <w:proofErr w:type="spellStart"/>
      <w:r w:rsidRPr="00D8166D">
        <w:rPr>
          <w:sz w:val="10"/>
        </w:rPr>
        <w:t>labour</w:t>
      </w:r>
      <w:proofErr w:type="spellEnd"/>
      <w:r w:rsidRPr="00D8166D">
        <w:rPr>
          <w:sz w:val="10"/>
        </w:rPr>
        <w:t xml:space="preserve"> provisions tend to be concentrated in North–South trade agreements, there is an increasing trend to integrate </w:t>
      </w:r>
      <w:proofErr w:type="spellStart"/>
      <w:r w:rsidRPr="00D8166D">
        <w:rPr>
          <w:sz w:val="10"/>
        </w:rPr>
        <w:t>labour</w:t>
      </w:r>
      <w:proofErr w:type="spellEnd"/>
      <w:r w:rsidRPr="00D8166D">
        <w:rPr>
          <w:sz w:val="10"/>
        </w:rPr>
        <w:t xml:space="preserve"> provisions into trade agreements among developing countries, or South–South trade agreements. Figure 13.1 depicts the cumulative number of trade agreements that include </w:t>
      </w:r>
      <w:proofErr w:type="spellStart"/>
      <w:r w:rsidRPr="00D8166D">
        <w:rPr>
          <w:sz w:val="10"/>
        </w:rPr>
        <w:t>labour</w:t>
      </w:r>
      <w:proofErr w:type="spellEnd"/>
      <w:r w:rsidRPr="00D8166D">
        <w:rPr>
          <w:sz w:val="10"/>
        </w:rPr>
        <w:t xml:space="preserve"> provisions. We observe a very strong trend in the early 2000s of including </w:t>
      </w:r>
      <w:proofErr w:type="spellStart"/>
      <w:r w:rsidRPr="00D8166D">
        <w:rPr>
          <w:sz w:val="10"/>
        </w:rPr>
        <w:t>labour</w:t>
      </w:r>
      <w:proofErr w:type="spellEnd"/>
      <w:r w:rsidRPr="00D8166D">
        <w:rPr>
          <w:sz w:val="10"/>
        </w:rPr>
        <w:t xml:space="preserve"> provisions in North–South trade agreements. This indicates that countries in the North possibly use PTAs as a conditionality tool to grant market access in return for improvements in domestic </w:t>
      </w:r>
      <w:proofErr w:type="spellStart"/>
      <w:r w:rsidRPr="00D8166D">
        <w:rPr>
          <w:sz w:val="10"/>
        </w:rPr>
        <w:t>labour</w:t>
      </w:r>
      <w:proofErr w:type="spellEnd"/>
      <w:r w:rsidRPr="00D8166D">
        <w:rPr>
          <w:sz w:val="10"/>
        </w:rPr>
        <w:t xml:space="preserve"> standards within Southern counterparties. Interestingly, we find a smaller trend among South–South and North–North partner countries, which indicates that these governments may attach lesser importance to including provisions among partners with similar </w:t>
      </w:r>
      <w:proofErr w:type="spellStart"/>
      <w:r w:rsidRPr="00D8166D">
        <w:rPr>
          <w:sz w:val="10"/>
        </w:rPr>
        <w:t>labour</w:t>
      </w:r>
      <w:proofErr w:type="spellEnd"/>
      <w:r w:rsidRPr="00D8166D">
        <w:rPr>
          <w:sz w:val="10"/>
        </w:rPr>
        <w:t xml:space="preserve"> standards. Figure 13.1 </w:t>
      </w:r>
      <w:proofErr w:type="spellStart"/>
      <w:r w:rsidRPr="00D8166D">
        <w:rPr>
          <w:sz w:val="10"/>
        </w:rPr>
        <w:t>Labour</w:t>
      </w:r>
      <w:proofErr w:type="spellEnd"/>
      <w:r w:rsidRPr="00D8166D">
        <w:rPr>
          <w:sz w:val="10"/>
        </w:rPr>
        <w:t xml:space="preserve"> provisions over time. Source: Data taken from the ILO LP Hub (ILO 2022). Own classification and depiction A similar picture is shown when we look at the variation of </w:t>
      </w:r>
      <w:proofErr w:type="spellStart"/>
      <w:r w:rsidRPr="00D8166D">
        <w:rPr>
          <w:sz w:val="10"/>
        </w:rPr>
        <w:t>labour</w:t>
      </w:r>
      <w:proofErr w:type="spellEnd"/>
      <w:r w:rsidRPr="00D8166D">
        <w:rPr>
          <w:sz w:val="10"/>
        </w:rPr>
        <w:t xml:space="preserve"> provisions in PTAs through a regional lens. Figure 13.2 depicts the number of PTAs with </w:t>
      </w:r>
      <w:proofErr w:type="spellStart"/>
      <w:r w:rsidRPr="00D8166D">
        <w:rPr>
          <w:sz w:val="10"/>
        </w:rPr>
        <w:t>labour</w:t>
      </w:r>
      <w:proofErr w:type="spellEnd"/>
      <w:r w:rsidRPr="00D8166D">
        <w:rPr>
          <w:sz w:val="10"/>
        </w:rPr>
        <w:t xml:space="preserve"> provisions by region. Most agreements of this sort have been concluded extra-regionally between European states and countries in the Asia-Pacific region. Sixteen agreements of this sort have been concluded within Europe, and another dozen within Asia-Pacific countries. To date, approximately ten agreements have been concluded that contain </w:t>
      </w:r>
      <w:proofErr w:type="spellStart"/>
      <w:r w:rsidRPr="00D8166D">
        <w:rPr>
          <w:sz w:val="10"/>
        </w:rPr>
        <w:t>labour</w:t>
      </w:r>
      <w:proofErr w:type="spellEnd"/>
      <w:r w:rsidRPr="00D8166D">
        <w:rPr>
          <w:sz w:val="10"/>
        </w:rPr>
        <w:t xml:space="preserve"> provisions in African countries. Figure 13.2 </w:t>
      </w:r>
      <w:proofErr w:type="spellStart"/>
      <w:r w:rsidRPr="00D8166D">
        <w:rPr>
          <w:sz w:val="10"/>
        </w:rPr>
        <w:t>Labour</w:t>
      </w:r>
      <w:proofErr w:type="spellEnd"/>
      <w:r w:rsidRPr="00D8166D">
        <w:rPr>
          <w:sz w:val="10"/>
        </w:rPr>
        <w:t xml:space="preserve"> provisions by region. Source: Data taken from the ILO LP Hub (ILO 2022). Own classification and depiction As Figure 13.2 illustrates, </w:t>
      </w:r>
      <w:proofErr w:type="spellStart"/>
      <w:r w:rsidRPr="00D8166D">
        <w:rPr>
          <w:sz w:val="10"/>
        </w:rPr>
        <w:t>labour</w:t>
      </w:r>
      <w:proofErr w:type="spellEnd"/>
      <w:r w:rsidRPr="00D8166D">
        <w:rPr>
          <w:sz w:val="10"/>
        </w:rPr>
        <w:t xml:space="preserve"> provisions are especially present in North–South agreements since the </w:t>
      </w:r>
      <w:proofErr w:type="spellStart"/>
      <w:r w:rsidRPr="00D8166D">
        <w:rPr>
          <w:sz w:val="10"/>
        </w:rPr>
        <w:t>labour</w:t>
      </w:r>
      <w:proofErr w:type="spellEnd"/>
      <w:r w:rsidRPr="00D8166D">
        <w:rPr>
          <w:sz w:val="10"/>
        </w:rPr>
        <w:t xml:space="preserve"> standards of members of North–North and South–South treaties are often homogeneous. Due to the different levels of ambition, there exists variation in the scope, enforcement mechanisms, and compliance. We </w:t>
      </w:r>
      <w:proofErr w:type="spellStart"/>
      <w:r w:rsidRPr="00D8166D">
        <w:rPr>
          <w:sz w:val="10"/>
        </w:rPr>
        <w:t>categorise</w:t>
      </w:r>
      <w:proofErr w:type="spellEnd"/>
      <w:r w:rsidRPr="00D8166D">
        <w:rPr>
          <w:sz w:val="10"/>
        </w:rPr>
        <w:t xml:space="preserve"> these various approaches into two broad schools of thought – enforcement or managerial (</w:t>
      </w:r>
      <w:proofErr w:type="spellStart"/>
      <w:r w:rsidRPr="00D8166D">
        <w:rPr>
          <w:sz w:val="10"/>
        </w:rPr>
        <w:t>Tallberg</w:t>
      </w:r>
      <w:proofErr w:type="spellEnd"/>
      <w:r w:rsidRPr="00D8166D">
        <w:rPr>
          <w:sz w:val="10"/>
        </w:rPr>
        <w:t xml:space="preserve"> Reference Tallberg2002). The enforcement school is rooted in the political economy theory of collective action and assumes that states are rational actors. It </w:t>
      </w:r>
      <w:proofErr w:type="spellStart"/>
      <w:r w:rsidRPr="00D8166D">
        <w:rPr>
          <w:sz w:val="10"/>
        </w:rPr>
        <w:t>emphasises</w:t>
      </w:r>
      <w:proofErr w:type="spellEnd"/>
      <w:r w:rsidRPr="00D8166D">
        <w:rPr>
          <w:sz w:val="10"/>
        </w:rPr>
        <w:t xml:space="preserve"> that </w:t>
      </w:r>
      <w:proofErr w:type="spellStart"/>
      <w:r w:rsidRPr="00D8166D">
        <w:rPr>
          <w:sz w:val="10"/>
        </w:rPr>
        <w:t>labour</w:t>
      </w:r>
      <w:proofErr w:type="spellEnd"/>
      <w:r w:rsidRPr="00D8166D">
        <w:rPr>
          <w:sz w:val="10"/>
        </w:rPr>
        <w:t xml:space="preserve"> laws must be strictly enforced through penalties, fines, and other legal sanctions to ensure that states and companies comply with the law. This approach is based on the idea that some actors may not comply with the law unless there is a strong deterrent in place. The managerial school, on the other hand, </w:t>
      </w:r>
      <w:proofErr w:type="spellStart"/>
      <w:r w:rsidRPr="00D8166D">
        <w:rPr>
          <w:sz w:val="10"/>
        </w:rPr>
        <w:t>emphasises</w:t>
      </w:r>
      <w:proofErr w:type="spellEnd"/>
      <w:r w:rsidRPr="00D8166D">
        <w:rPr>
          <w:sz w:val="10"/>
        </w:rPr>
        <w:t xml:space="preserve"> that actors, both states and companies, should be encouraged to voluntarily comply with </w:t>
      </w:r>
      <w:proofErr w:type="spellStart"/>
      <w:r w:rsidRPr="00D8166D">
        <w:rPr>
          <w:sz w:val="10"/>
        </w:rPr>
        <w:t>labour</w:t>
      </w:r>
      <w:proofErr w:type="spellEnd"/>
      <w:r w:rsidRPr="00D8166D">
        <w:rPr>
          <w:sz w:val="10"/>
        </w:rPr>
        <w:t xml:space="preserve"> laws and regulations through cooperation, mutual capacity building, and technical assistance. This approach relies on the idea that companies inherently want to comply with the law, but may need help understanding their obligations, especially if the language leaves room to be interpreted broadly. Most parties adopt a mixed approach, which is a combination of both the enforcement and managerial. In this section, we take account of the different approaches taken by countries over time. Since its first venture of including </w:t>
      </w:r>
      <w:proofErr w:type="spellStart"/>
      <w:r w:rsidRPr="00D8166D">
        <w:rPr>
          <w:sz w:val="10"/>
        </w:rPr>
        <w:t>labour</w:t>
      </w:r>
      <w:proofErr w:type="spellEnd"/>
      <w:r w:rsidRPr="00D8166D">
        <w:rPr>
          <w:sz w:val="10"/>
        </w:rPr>
        <w:t xml:space="preserve"> in its PTAs, the US has always adopted an enforcement approach in its PTA design. The US often requires its negotiating partners to make changes to domestic </w:t>
      </w:r>
      <w:proofErr w:type="spellStart"/>
      <w:r w:rsidRPr="00D8166D">
        <w:rPr>
          <w:sz w:val="10"/>
        </w:rPr>
        <w:t>labour</w:t>
      </w:r>
      <w:proofErr w:type="spellEnd"/>
      <w:r w:rsidRPr="00D8166D">
        <w:rPr>
          <w:sz w:val="10"/>
        </w:rPr>
        <w:t xml:space="preserve"> laws prior to the agreement’s entry into force. A side agreement to the North American Free Trade Agreement (NAFTA), which entered into force in 1994, was the first time the US introduced binding </w:t>
      </w:r>
      <w:proofErr w:type="spellStart"/>
      <w:r w:rsidRPr="00D8166D">
        <w:rPr>
          <w:sz w:val="10"/>
        </w:rPr>
        <w:t>labour</w:t>
      </w:r>
      <w:proofErr w:type="spellEnd"/>
      <w:r w:rsidRPr="00D8166D">
        <w:rPr>
          <w:sz w:val="10"/>
        </w:rPr>
        <w:t xml:space="preserve"> provisions in connection with a trade agreement. The North American Agreement on </w:t>
      </w:r>
      <w:proofErr w:type="spellStart"/>
      <w:r w:rsidRPr="00D8166D">
        <w:rPr>
          <w:sz w:val="10"/>
        </w:rPr>
        <w:t>Labour</w:t>
      </w:r>
      <w:proofErr w:type="spellEnd"/>
      <w:r w:rsidRPr="00D8166D">
        <w:rPr>
          <w:sz w:val="10"/>
        </w:rPr>
        <w:t xml:space="preserve"> Cooperation (NAALC) contained clear obligations imposed on the contracting parties, such as an obligation to provide for high standards with reference to eleven </w:t>
      </w:r>
      <w:proofErr w:type="spellStart"/>
      <w:r w:rsidRPr="00D8166D">
        <w:rPr>
          <w:sz w:val="10"/>
        </w:rPr>
        <w:t>labour</w:t>
      </w:r>
      <w:proofErr w:type="spellEnd"/>
      <w:r w:rsidRPr="00D8166D">
        <w:rPr>
          <w:sz w:val="10"/>
        </w:rPr>
        <w:t xml:space="preserve"> principles, as well as obligations concerning the enforcement of domestic </w:t>
      </w:r>
      <w:proofErr w:type="spellStart"/>
      <w:r w:rsidRPr="00D8166D">
        <w:rPr>
          <w:sz w:val="10"/>
        </w:rPr>
        <w:t>labour</w:t>
      </w:r>
      <w:proofErr w:type="spellEnd"/>
      <w:r w:rsidRPr="00D8166D">
        <w:rPr>
          <w:sz w:val="10"/>
        </w:rPr>
        <w:t xml:space="preserve"> laws (Article 2 and Annex 1, NAALC). The agreement </w:t>
      </w:r>
      <w:proofErr w:type="gramStart"/>
      <w:r w:rsidRPr="00D8166D">
        <w:rPr>
          <w:sz w:val="10"/>
        </w:rPr>
        <w:t>established</w:t>
      </w:r>
      <w:proofErr w:type="gramEnd"/>
      <w:r w:rsidRPr="00D8166D">
        <w:rPr>
          <w:sz w:val="10"/>
        </w:rPr>
        <w:t xml:space="preserve"> domestic institutions called the National Administrative Offices (NAOs) to take on the role of acting as contact points between partners for information exchange and to oversee implementation. The NAFTA also included a general dispute settlement mechanism that could be applied to </w:t>
      </w:r>
      <w:proofErr w:type="spellStart"/>
      <w:r w:rsidRPr="00D8166D">
        <w:rPr>
          <w:sz w:val="10"/>
        </w:rPr>
        <w:t>labour</w:t>
      </w:r>
      <w:proofErr w:type="spellEnd"/>
      <w:r w:rsidRPr="00D8166D">
        <w:rPr>
          <w:sz w:val="10"/>
        </w:rPr>
        <w:t xml:space="preserve"> issues. In the case of a </w:t>
      </w:r>
      <w:proofErr w:type="spellStart"/>
      <w:r w:rsidRPr="00D8166D">
        <w:rPr>
          <w:sz w:val="10"/>
        </w:rPr>
        <w:t>labour</w:t>
      </w:r>
      <w:proofErr w:type="spellEnd"/>
      <w:r w:rsidRPr="00D8166D">
        <w:rPr>
          <w:sz w:val="10"/>
        </w:rPr>
        <w:t xml:space="preserve"> law abuse, a committee of independent experts is convened if the issue is not resolved after rounds of consultations. A persistent pattern of failure to enforce the </w:t>
      </w:r>
      <w:proofErr w:type="spellStart"/>
      <w:r w:rsidRPr="00D8166D">
        <w:rPr>
          <w:sz w:val="10"/>
        </w:rPr>
        <w:t>labour</w:t>
      </w:r>
      <w:proofErr w:type="spellEnd"/>
      <w:r w:rsidRPr="00D8166D">
        <w:rPr>
          <w:sz w:val="10"/>
        </w:rPr>
        <w:t xml:space="preserve"> provisions, namely child </w:t>
      </w:r>
      <w:proofErr w:type="spellStart"/>
      <w:r w:rsidRPr="00D8166D">
        <w:rPr>
          <w:sz w:val="10"/>
        </w:rPr>
        <w:t>labour</w:t>
      </w:r>
      <w:proofErr w:type="spellEnd"/>
      <w:r w:rsidRPr="00D8166D">
        <w:rPr>
          <w:sz w:val="10"/>
        </w:rPr>
        <w:t>, lack of minimum wage standards, and occupational safety and health risks could lead to the issue being escalated to an arbitral panel (</w:t>
      </w:r>
      <w:proofErr w:type="spellStart"/>
      <w:r w:rsidRPr="00D8166D">
        <w:rPr>
          <w:sz w:val="10"/>
        </w:rPr>
        <w:t>Arestoff</w:t>
      </w:r>
      <w:proofErr w:type="spellEnd"/>
      <w:r w:rsidRPr="00D8166D">
        <w:rPr>
          <w:sz w:val="10"/>
        </w:rPr>
        <w:t xml:space="preserve">-Izzo et al. Reference </w:t>
      </w:r>
      <w:proofErr w:type="spellStart"/>
      <w:r w:rsidRPr="00D8166D">
        <w:rPr>
          <w:sz w:val="10"/>
        </w:rPr>
        <w:t>Arestoff</w:t>
      </w:r>
      <w:proofErr w:type="spellEnd"/>
      <w:r w:rsidRPr="00D8166D">
        <w:rPr>
          <w:sz w:val="10"/>
        </w:rPr>
        <w:t xml:space="preserve">-Izzo, Bazillier, Duc and Granger-Sarrazin2008). In the event the panel ruled against a country, the penalties could include a monetary assessment and temporary suspension of trade benefits outlined in the main text. In these ways, the US’ strong enforcement approach was a way to signal to partners the importance it ascribes to high </w:t>
      </w:r>
      <w:proofErr w:type="spellStart"/>
      <w:r w:rsidRPr="00D8166D">
        <w:rPr>
          <w:sz w:val="10"/>
        </w:rPr>
        <w:t>labour</w:t>
      </w:r>
      <w:proofErr w:type="spellEnd"/>
      <w:r w:rsidRPr="00D8166D">
        <w:rPr>
          <w:sz w:val="10"/>
        </w:rPr>
        <w:t xml:space="preserve"> standards and fair competition. Following the NAFTA, the US signed an agreement with Cambodia in 1999 (US–Cambodia Textile and Apparel Trade Agreement [UCTA]) that limited </w:t>
      </w:r>
      <w:proofErr w:type="spellStart"/>
      <w:r w:rsidRPr="00D8166D">
        <w:rPr>
          <w:sz w:val="10"/>
        </w:rPr>
        <w:t>labour</w:t>
      </w:r>
      <w:proofErr w:type="spellEnd"/>
      <w:r w:rsidRPr="00D8166D">
        <w:rPr>
          <w:sz w:val="10"/>
        </w:rPr>
        <w:t xml:space="preserve"> standard provisions to the textile industry and conditioned market access on Cambodia demonstrating compliance with specific </w:t>
      </w:r>
      <w:proofErr w:type="spellStart"/>
      <w:r w:rsidRPr="00D8166D">
        <w:rPr>
          <w:sz w:val="10"/>
        </w:rPr>
        <w:t>labour</w:t>
      </w:r>
      <w:proofErr w:type="spellEnd"/>
      <w:r w:rsidRPr="00D8166D">
        <w:rPr>
          <w:sz w:val="10"/>
        </w:rPr>
        <w:t xml:space="preserve"> standards (Wells Reference Wells2007). In 2001, the US–Jordan PTA’s </w:t>
      </w:r>
      <w:proofErr w:type="spellStart"/>
      <w:r w:rsidRPr="00D8166D">
        <w:rPr>
          <w:sz w:val="10"/>
        </w:rPr>
        <w:t>labour</w:t>
      </w:r>
      <w:proofErr w:type="spellEnd"/>
      <w:r w:rsidRPr="00D8166D">
        <w:rPr>
          <w:sz w:val="10"/>
        </w:rPr>
        <w:t xml:space="preserve"> clause reflected a commitment by both parties to not waiving or derogating from their </w:t>
      </w:r>
      <w:proofErr w:type="spellStart"/>
      <w:r w:rsidRPr="00D8166D">
        <w:rPr>
          <w:sz w:val="10"/>
        </w:rPr>
        <w:t>labour</w:t>
      </w:r>
      <w:proofErr w:type="spellEnd"/>
      <w:r w:rsidRPr="00D8166D">
        <w:rPr>
          <w:sz w:val="10"/>
        </w:rPr>
        <w:t xml:space="preserve"> laws in their pursuit of encouraging trade, as well as effective enforcement of domestic </w:t>
      </w:r>
      <w:proofErr w:type="spellStart"/>
      <w:r w:rsidRPr="00D8166D">
        <w:rPr>
          <w:sz w:val="10"/>
        </w:rPr>
        <w:t>labour</w:t>
      </w:r>
      <w:proofErr w:type="spellEnd"/>
      <w:r w:rsidRPr="00D8166D">
        <w:rPr>
          <w:sz w:val="10"/>
        </w:rPr>
        <w:t xml:space="preserve"> laws. Subsequent agreements led by the US also followed suit, such as bilateral PTAs with Chile, Morocco, Australia, Singapore, Bahrain, Oman, and Peru as well as multilateral agreements, most notably the Central American Free Trade Agreement (CAFTA). Given that the US was the first mover on high-ambition </w:t>
      </w:r>
      <w:proofErr w:type="spellStart"/>
      <w:r w:rsidRPr="00D8166D">
        <w:rPr>
          <w:sz w:val="10"/>
        </w:rPr>
        <w:t>labour</w:t>
      </w:r>
      <w:proofErr w:type="spellEnd"/>
      <w:r w:rsidRPr="00D8166D">
        <w:rPr>
          <w:sz w:val="10"/>
        </w:rPr>
        <w:t xml:space="preserve"> provisions, the language in US </w:t>
      </w:r>
      <w:proofErr w:type="spellStart"/>
      <w:r w:rsidRPr="00D8166D">
        <w:rPr>
          <w:sz w:val="10"/>
        </w:rPr>
        <w:t>labour</w:t>
      </w:r>
      <w:proofErr w:type="spellEnd"/>
      <w:r w:rsidRPr="00D8166D">
        <w:rPr>
          <w:sz w:val="10"/>
        </w:rPr>
        <w:t xml:space="preserve"> chapters has spilled over into other agreements as well. The </w:t>
      </w:r>
      <w:proofErr w:type="spellStart"/>
      <w:r w:rsidRPr="00D8166D">
        <w:rPr>
          <w:sz w:val="10"/>
        </w:rPr>
        <w:t>labour</w:t>
      </w:r>
      <w:proofErr w:type="spellEnd"/>
      <w:r w:rsidRPr="00D8166D">
        <w:rPr>
          <w:sz w:val="10"/>
        </w:rPr>
        <w:t xml:space="preserve"> obligations in the Trans-Pacific Partnership (TPP) form part of the Canada–EU CETA concluded in 2016. They also appear in the recently concluded EU–Viet Nam Free Trade Agreement, in the sustainable development chapter (Claussen Reference Claussen, Elsig, Polanco and Van Den Bossche2021). Similar language can also be found in certain agreements signed by Asian countries. However, the main difference is that none of these agreements has a sanction mechanism in case of non-compliance. Hence, they embody the managerial approach as opposed to the enforcement tactic. Latin American countries do not include </w:t>
      </w:r>
      <w:proofErr w:type="spellStart"/>
      <w:r w:rsidRPr="00D8166D">
        <w:rPr>
          <w:sz w:val="10"/>
        </w:rPr>
        <w:t>labour</w:t>
      </w:r>
      <w:proofErr w:type="spellEnd"/>
      <w:r w:rsidRPr="00D8166D">
        <w:rPr>
          <w:sz w:val="10"/>
        </w:rPr>
        <w:t xml:space="preserve"> provisions in their PTAs – both Mercosur and the Pacific Alliance do not include any </w:t>
      </w:r>
      <w:proofErr w:type="spellStart"/>
      <w:r w:rsidRPr="00D8166D">
        <w:rPr>
          <w:sz w:val="10"/>
        </w:rPr>
        <w:t>labour</w:t>
      </w:r>
      <w:proofErr w:type="spellEnd"/>
      <w:r w:rsidRPr="00D8166D">
        <w:rPr>
          <w:sz w:val="10"/>
        </w:rPr>
        <w:t xml:space="preserve"> references in their PTAs. The US has strengthened its approach towards enforcement of </w:t>
      </w:r>
      <w:proofErr w:type="spellStart"/>
      <w:r w:rsidRPr="00D8166D">
        <w:rPr>
          <w:sz w:val="10"/>
        </w:rPr>
        <w:t>labour</w:t>
      </w:r>
      <w:proofErr w:type="spellEnd"/>
      <w:r w:rsidRPr="00D8166D">
        <w:rPr>
          <w:sz w:val="10"/>
        </w:rPr>
        <w:t xml:space="preserve"> provisions in recent times. In 2020, the US along with Mexico and Canada reached a consensus on the United States–Mexico–Canada Agreement (USMCA), which is considered to be a </w:t>
      </w:r>
      <w:proofErr w:type="spellStart"/>
      <w:r w:rsidRPr="00D8166D">
        <w:rPr>
          <w:sz w:val="10"/>
        </w:rPr>
        <w:t>modernised</w:t>
      </w:r>
      <w:proofErr w:type="spellEnd"/>
      <w:r w:rsidRPr="00D8166D">
        <w:rPr>
          <w:sz w:val="10"/>
        </w:rPr>
        <w:t xml:space="preserve">, high-standard reinvention of the now-defunct NAFTA. The revision was due to growing criticisms that the NAFTA no longer addressed the present-day issues, and the USMCA was designed to account for changes in the global economy and to address issues such as intellectual property protection, digital trade, </w:t>
      </w:r>
      <w:proofErr w:type="spellStart"/>
      <w:r w:rsidRPr="00D8166D">
        <w:rPr>
          <w:sz w:val="10"/>
        </w:rPr>
        <w:t>labour</w:t>
      </w:r>
      <w:proofErr w:type="spellEnd"/>
      <w:r w:rsidRPr="00D8166D">
        <w:rPr>
          <w:sz w:val="10"/>
        </w:rPr>
        <w:t xml:space="preserve"> rights, and environmental standards. Interest groups also raised concerns that the NAALC provided insufficient means for the parties to enforce its obligations, leading to concerns regarding a ‘race to the bottom’ regarding working conditions and standards. The USMCA was designed with a prominent emphasis on </w:t>
      </w:r>
      <w:proofErr w:type="spellStart"/>
      <w:r w:rsidRPr="00D8166D">
        <w:rPr>
          <w:sz w:val="10"/>
        </w:rPr>
        <w:t>labour</w:t>
      </w:r>
      <w:proofErr w:type="spellEnd"/>
      <w:r w:rsidRPr="00D8166D">
        <w:rPr>
          <w:sz w:val="10"/>
        </w:rPr>
        <w:t xml:space="preserve"> standards, and those standards are found directly in the main text as opposed to being delineated in a side agreement. Moreover, the USMCA also includes novel mechanisms to enforce </w:t>
      </w:r>
      <w:proofErr w:type="spellStart"/>
      <w:r w:rsidRPr="00D8166D">
        <w:rPr>
          <w:sz w:val="10"/>
        </w:rPr>
        <w:t>labour</w:t>
      </w:r>
      <w:proofErr w:type="spellEnd"/>
      <w:r w:rsidRPr="00D8166D">
        <w:rPr>
          <w:sz w:val="10"/>
        </w:rPr>
        <w:t xml:space="preserve"> standards. The key achievements of the USMCA include commitments by Mexico to change domestic law to provide effective recognition of the right to collective bargaining, new provisions prohibiting imports of goods produced by forced </w:t>
      </w:r>
      <w:proofErr w:type="spellStart"/>
      <w:r w:rsidRPr="00D8166D">
        <w:rPr>
          <w:sz w:val="10"/>
        </w:rPr>
        <w:t>labour</w:t>
      </w:r>
      <w:proofErr w:type="spellEnd"/>
      <w:r w:rsidRPr="00D8166D">
        <w:rPr>
          <w:sz w:val="10"/>
        </w:rPr>
        <w:t xml:space="preserve">, addressing violence against workers, and protection of migrant workers. The agreement also includes new trade rules of origin to push for higher wages by requiring that 40–45 per cent of auto content be made by workers earning at least USD 16 per hour. Finally, and possibly most notable, is the novel dispute settlement mechanism called the Rapid Response Mechanism (RRM) that ensures expedited enforcement of </w:t>
      </w:r>
      <w:proofErr w:type="spellStart"/>
      <w:r w:rsidRPr="00D8166D">
        <w:rPr>
          <w:sz w:val="10"/>
        </w:rPr>
        <w:t>labour</w:t>
      </w:r>
      <w:proofErr w:type="spellEnd"/>
      <w:r w:rsidRPr="00D8166D">
        <w:rPr>
          <w:sz w:val="10"/>
        </w:rPr>
        <w:t xml:space="preserve"> rights to ensure effective implementation (USTR 2016). The RRM will be expanded upon in a later part of this chapter. Even though it relied almost entirely on legally non-enforceable </w:t>
      </w:r>
      <w:proofErr w:type="spellStart"/>
      <w:r w:rsidRPr="00D8166D">
        <w:rPr>
          <w:sz w:val="10"/>
        </w:rPr>
        <w:t>labour</w:t>
      </w:r>
      <w:proofErr w:type="spellEnd"/>
      <w:r w:rsidRPr="00D8166D">
        <w:rPr>
          <w:sz w:val="10"/>
        </w:rPr>
        <w:t xml:space="preserve"> provisions, Europe was also a pioneer with its inclusion of </w:t>
      </w:r>
      <w:proofErr w:type="spellStart"/>
      <w:r w:rsidRPr="00D8166D">
        <w:rPr>
          <w:sz w:val="10"/>
        </w:rPr>
        <w:t>labour</w:t>
      </w:r>
      <w:proofErr w:type="spellEnd"/>
      <w:r w:rsidRPr="00D8166D">
        <w:rPr>
          <w:sz w:val="10"/>
        </w:rPr>
        <w:t xml:space="preserve"> provisions in PTAs in the 1990s (Raess et al. Reference Raess and Sari2018). With the expansion of the EU over time and trade linkages being formed outside of the region, many scholars have </w:t>
      </w:r>
      <w:proofErr w:type="spellStart"/>
      <w:r w:rsidRPr="00D8166D">
        <w:rPr>
          <w:sz w:val="10"/>
        </w:rPr>
        <w:t>characterised</w:t>
      </w:r>
      <w:proofErr w:type="spellEnd"/>
      <w:r w:rsidRPr="00D8166D">
        <w:rPr>
          <w:sz w:val="10"/>
        </w:rPr>
        <w:t xml:space="preserve"> the bloc’s approach to </w:t>
      </w:r>
      <w:proofErr w:type="spellStart"/>
      <w:r w:rsidRPr="00D8166D">
        <w:rPr>
          <w:sz w:val="10"/>
        </w:rPr>
        <w:t>labour</w:t>
      </w:r>
      <w:proofErr w:type="spellEnd"/>
      <w:r w:rsidRPr="00D8166D">
        <w:rPr>
          <w:sz w:val="10"/>
        </w:rPr>
        <w:t xml:space="preserve"> provisions as advancing a ‘values-based trade agenda’. Manners (Reference Manners2002) </w:t>
      </w:r>
      <w:proofErr w:type="spellStart"/>
      <w:r w:rsidRPr="00D8166D">
        <w:rPr>
          <w:sz w:val="10"/>
        </w:rPr>
        <w:t>conceptualised</w:t>
      </w:r>
      <w:proofErr w:type="spellEnd"/>
      <w:r w:rsidRPr="00D8166D">
        <w:rPr>
          <w:sz w:val="10"/>
        </w:rPr>
        <w:t xml:space="preserve"> the EU as a normative power that works mainly through ideas and values using trade relations and instruments such as PTAs as a viable channel rather than military force. </w:t>
      </w:r>
      <w:r w:rsidRPr="00666381">
        <w:rPr>
          <w:rStyle w:val="Emphasis"/>
          <w:highlight w:val="cyan"/>
        </w:rPr>
        <w:t>Normative power is not typically exerted with force, but instead through deliberation.</w:t>
      </w:r>
      <w:r w:rsidRPr="00D8166D">
        <w:rPr>
          <w:sz w:val="10"/>
        </w:rPr>
        <w:t xml:space="preserve"> The underlying rationale of this ‘norm-diffusion’ stems from a more social and human rights perspective, in which </w:t>
      </w:r>
      <w:proofErr w:type="spellStart"/>
      <w:r w:rsidRPr="00D8166D">
        <w:rPr>
          <w:sz w:val="10"/>
        </w:rPr>
        <w:t>labour</w:t>
      </w:r>
      <w:proofErr w:type="spellEnd"/>
      <w:r w:rsidRPr="00D8166D">
        <w:rPr>
          <w:sz w:val="10"/>
        </w:rPr>
        <w:t xml:space="preserve"> provisions can be used to improve </w:t>
      </w:r>
      <w:proofErr w:type="spellStart"/>
      <w:r w:rsidRPr="00D8166D">
        <w:rPr>
          <w:sz w:val="10"/>
        </w:rPr>
        <w:t>labour</w:t>
      </w:r>
      <w:proofErr w:type="spellEnd"/>
      <w:r w:rsidRPr="00D8166D">
        <w:rPr>
          <w:sz w:val="10"/>
        </w:rPr>
        <w:t xml:space="preserve"> conditions in countries that otherwise would lack the political will or implementing capacity. Hence, </w:t>
      </w:r>
      <w:proofErr w:type="spellStart"/>
      <w:r w:rsidRPr="00D8166D">
        <w:rPr>
          <w:sz w:val="10"/>
        </w:rPr>
        <w:t>labour</w:t>
      </w:r>
      <w:proofErr w:type="spellEnd"/>
      <w:r w:rsidRPr="00D8166D">
        <w:rPr>
          <w:sz w:val="10"/>
        </w:rPr>
        <w:t xml:space="preserve"> provisions are viewed as a means of ensuring respect for </w:t>
      </w:r>
      <w:proofErr w:type="spellStart"/>
      <w:r w:rsidRPr="00D8166D">
        <w:rPr>
          <w:sz w:val="10"/>
        </w:rPr>
        <w:t>labour</w:t>
      </w:r>
      <w:proofErr w:type="spellEnd"/>
      <w:r w:rsidRPr="00D8166D">
        <w:rPr>
          <w:sz w:val="10"/>
        </w:rPr>
        <w:t xml:space="preserve">-related human rights that reflect values universally accepted by the international community (European Commission 2018). </w:t>
      </w:r>
      <w:proofErr w:type="spellStart"/>
      <w:r w:rsidRPr="00D8166D">
        <w:rPr>
          <w:sz w:val="10"/>
        </w:rPr>
        <w:t>Labour</w:t>
      </w:r>
      <w:proofErr w:type="spellEnd"/>
      <w:r w:rsidRPr="00D8166D">
        <w:rPr>
          <w:sz w:val="10"/>
        </w:rPr>
        <w:t xml:space="preserve"> rights in signatory countries to EU PTAs are impacted ex post rather than ex </w:t>
      </w:r>
      <w:proofErr w:type="gramStart"/>
      <w:r w:rsidRPr="00D8166D">
        <w:rPr>
          <w:sz w:val="10"/>
        </w:rPr>
        <w:t>ante</w:t>
      </w:r>
      <w:proofErr w:type="gramEnd"/>
      <w:r w:rsidRPr="00D8166D">
        <w:rPr>
          <w:sz w:val="10"/>
        </w:rPr>
        <w:t xml:space="preserve">, which differs from the US. The EU also does not include sanctions as a remedy for failure to enforce </w:t>
      </w:r>
      <w:proofErr w:type="spellStart"/>
      <w:r w:rsidRPr="00D8166D">
        <w:rPr>
          <w:sz w:val="10"/>
        </w:rPr>
        <w:t>labour</w:t>
      </w:r>
      <w:proofErr w:type="spellEnd"/>
      <w:r w:rsidRPr="00D8166D">
        <w:rPr>
          <w:sz w:val="10"/>
        </w:rPr>
        <w:t xml:space="preserve"> standards. Hence, the EU approach has been </w:t>
      </w:r>
      <w:proofErr w:type="spellStart"/>
      <w:r w:rsidRPr="00D8166D">
        <w:rPr>
          <w:sz w:val="10"/>
        </w:rPr>
        <w:t>characterised</w:t>
      </w:r>
      <w:proofErr w:type="spellEnd"/>
      <w:r w:rsidRPr="00D8166D">
        <w:rPr>
          <w:sz w:val="10"/>
        </w:rPr>
        <w:t xml:space="preserve"> as more consultative and managerial. However, this approach has led to criticism that the EU policy on </w:t>
      </w:r>
      <w:proofErr w:type="spellStart"/>
      <w:r w:rsidRPr="00D8166D">
        <w:rPr>
          <w:sz w:val="10"/>
        </w:rPr>
        <w:t>labour</w:t>
      </w:r>
      <w:proofErr w:type="spellEnd"/>
      <w:r w:rsidRPr="00D8166D">
        <w:rPr>
          <w:sz w:val="10"/>
        </w:rPr>
        <w:t xml:space="preserve"> in trade is not assertive enough (Nissen Reference Nissen2022). Coincidentally, in the wake of these criticisms, the EU has undergone institutional changes in its decision-making process. With the enactment of the Treaty of Lisbon, elected members in the EU Parliament (EP) now have an enhanced role in trade policy, and they advocate for heightened focus towards having obligations for investors and partners, such as adhering to environmental and </w:t>
      </w:r>
      <w:proofErr w:type="spellStart"/>
      <w:r w:rsidRPr="00D8166D">
        <w:rPr>
          <w:sz w:val="10"/>
        </w:rPr>
        <w:t>labour</w:t>
      </w:r>
      <w:proofErr w:type="spellEnd"/>
      <w:r w:rsidRPr="00D8166D">
        <w:rPr>
          <w:sz w:val="10"/>
        </w:rPr>
        <w:t xml:space="preserve"> standards to maintain public support for trade (Orbie et al. Reference Orbie, Martens, </w:t>
      </w:r>
      <w:proofErr w:type="spellStart"/>
      <w:r w:rsidRPr="00D8166D">
        <w:rPr>
          <w:sz w:val="10"/>
        </w:rPr>
        <w:t>Oehri</w:t>
      </w:r>
      <w:proofErr w:type="spellEnd"/>
      <w:r w:rsidRPr="00D8166D">
        <w:rPr>
          <w:sz w:val="10"/>
        </w:rPr>
        <w:t xml:space="preserve"> and Van Den Putte2016). Following this shift, EU PTAs since 2015 have included more comprehensive </w:t>
      </w:r>
      <w:proofErr w:type="spellStart"/>
      <w:r w:rsidRPr="00D8166D">
        <w:rPr>
          <w:sz w:val="10"/>
        </w:rPr>
        <w:t>labour</w:t>
      </w:r>
      <w:proofErr w:type="spellEnd"/>
      <w:r w:rsidRPr="00D8166D">
        <w:rPr>
          <w:sz w:val="10"/>
        </w:rPr>
        <w:t xml:space="preserve"> provisions within a broader sustainable development chapter that is made legally binding using the dispute settlement mechanism. It also confers a pronounced role for civil society in the monitoring process (Orbie et al. Reference Orbie, Martens, </w:t>
      </w:r>
      <w:proofErr w:type="spellStart"/>
      <w:r w:rsidRPr="00D8166D">
        <w:rPr>
          <w:sz w:val="10"/>
        </w:rPr>
        <w:t>Oehri</w:t>
      </w:r>
      <w:proofErr w:type="spellEnd"/>
      <w:r w:rsidRPr="00D8166D">
        <w:rPr>
          <w:sz w:val="10"/>
        </w:rPr>
        <w:t xml:space="preserve"> and Van Den Putte2016), by establishing Domestic Advisory Groups (DAGs) and Civil Society Dialogues. In 2022, the European Commission released a communication after its annual trade policy review that proposes new legal instruments that will inter alia include trade sanctions for material breaches of trade and sustainable development (TSD) provisions in PTAs (European Commission 2022). One would be hard-pressed to categorically assert which of these two approaches – enforcement or managerial – is better. Consulting the literature, Hafner-Burton (Reference Hafner-Burton2005) argues that PTAs with hard human rights standards can rely on coercion (instead of reputational effects) to influence their treaty members towards establishing and adhering to high human rights standards. On the other hand, Spilker and </w:t>
      </w:r>
      <w:proofErr w:type="spellStart"/>
      <w:r w:rsidRPr="00D8166D">
        <w:rPr>
          <w:sz w:val="10"/>
        </w:rPr>
        <w:t>Böhmelt</w:t>
      </w:r>
      <w:proofErr w:type="spellEnd"/>
      <w:r w:rsidRPr="00D8166D">
        <w:rPr>
          <w:sz w:val="10"/>
        </w:rPr>
        <w:t xml:space="preserve"> (Reference Spilker and Böhmelt2013) counter this by illustrating that countries sign PTAs with hard human rights standards only if they are certain they can comply. As such, there might exist an inherent selection bias in which only countries with a good human rights record would be willing to add a hard human rights clause, and so paradoxically, the inclusion of hard human rights standards would primarily occur in those cases in which they are hardly necessary. The Comprehensive and Progressive Agreement for a Trans-Pacific Partnership (CPTPP) is one good example of the enforcement approach and has been lauded as a significant improvement to the approach to </w:t>
      </w:r>
      <w:proofErr w:type="spellStart"/>
      <w:r w:rsidRPr="00D8166D">
        <w:rPr>
          <w:sz w:val="10"/>
        </w:rPr>
        <w:t>labour</w:t>
      </w:r>
      <w:proofErr w:type="spellEnd"/>
      <w:r w:rsidRPr="00D8166D">
        <w:rPr>
          <w:sz w:val="10"/>
        </w:rPr>
        <w:t xml:space="preserve"> rights in PTAs. The TPP </w:t>
      </w:r>
      <w:proofErr w:type="spellStart"/>
      <w:r w:rsidRPr="00D8166D">
        <w:rPr>
          <w:sz w:val="10"/>
        </w:rPr>
        <w:t>labour</w:t>
      </w:r>
      <w:proofErr w:type="spellEnd"/>
      <w:r w:rsidRPr="00D8166D">
        <w:rPr>
          <w:sz w:val="10"/>
        </w:rPr>
        <w:t xml:space="preserve"> chapter had specific and well-defined </w:t>
      </w:r>
      <w:proofErr w:type="spellStart"/>
      <w:r w:rsidRPr="00D8166D">
        <w:rPr>
          <w:sz w:val="10"/>
        </w:rPr>
        <w:t>labour</w:t>
      </w:r>
      <w:proofErr w:type="spellEnd"/>
      <w:r w:rsidRPr="00D8166D">
        <w:rPr>
          <w:sz w:val="10"/>
        </w:rPr>
        <w:t xml:space="preserve"> rights in the main text and side agreements, cooperative </w:t>
      </w:r>
      <w:proofErr w:type="spellStart"/>
      <w:r w:rsidRPr="00D8166D">
        <w:rPr>
          <w:sz w:val="10"/>
        </w:rPr>
        <w:t>labour</w:t>
      </w:r>
      <w:proofErr w:type="spellEnd"/>
      <w:r w:rsidRPr="00D8166D">
        <w:rPr>
          <w:sz w:val="10"/>
        </w:rPr>
        <w:t xml:space="preserve"> dialogue, and the participation of the public and any interested or involved groups, including </w:t>
      </w:r>
      <w:proofErr w:type="spellStart"/>
      <w:r w:rsidRPr="00D8166D">
        <w:rPr>
          <w:sz w:val="10"/>
        </w:rPr>
        <w:t>organised</w:t>
      </w:r>
      <w:proofErr w:type="spellEnd"/>
      <w:r w:rsidRPr="00D8166D">
        <w:rPr>
          <w:sz w:val="10"/>
        </w:rPr>
        <w:t xml:space="preserve"> </w:t>
      </w:r>
      <w:proofErr w:type="spellStart"/>
      <w:r w:rsidRPr="00D8166D">
        <w:rPr>
          <w:sz w:val="10"/>
        </w:rPr>
        <w:t>labour</w:t>
      </w:r>
      <w:proofErr w:type="spellEnd"/>
      <w:r w:rsidRPr="00D8166D">
        <w:rPr>
          <w:sz w:val="10"/>
        </w:rPr>
        <w:t xml:space="preserve"> and business. However, it also had notable shortcomings outlined by politicians (e.g. Warren Reference Warren2016), trade unions (e.g. LAC 2015), and international non-governmental </w:t>
      </w:r>
      <w:proofErr w:type="spellStart"/>
      <w:r w:rsidRPr="00D8166D">
        <w:rPr>
          <w:sz w:val="10"/>
        </w:rPr>
        <w:t>organisations</w:t>
      </w:r>
      <w:proofErr w:type="spellEnd"/>
      <w:r w:rsidRPr="00D8166D">
        <w:rPr>
          <w:sz w:val="10"/>
        </w:rPr>
        <w:t xml:space="preserve"> (INGOs) (e.g. ITUC 2015). In future PTAs, providing relevant civil society groups (NGOs, INGOs, </w:t>
      </w:r>
      <w:proofErr w:type="spellStart"/>
      <w:r w:rsidRPr="00D8166D">
        <w:rPr>
          <w:sz w:val="10"/>
        </w:rPr>
        <w:t>labour</w:t>
      </w:r>
      <w:proofErr w:type="spellEnd"/>
      <w:r w:rsidRPr="00D8166D">
        <w:rPr>
          <w:sz w:val="10"/>
        </w:rPr>
        <w:t xml:space="preserve"> unions) with a larger role in negotiations could help prevent such shortcomings while also improving the acceptability of </w:t>
      </w:r>
      <w:proofErr w:type="spellStart"/>
      <w:r w:rsidRPr="00D8166D">
        <w:rPr>
          <w:sz w:val="10"/>
        </w:rPr>
        <w:t>labour</w:t>
      </w:r>
      <w:proofErr w:type="spellEnd"/>
      <w:r w:rsidRPr="00D8166D">
        <w:rPr>
          <w:sz w:val="10"/>
        </w:rPr>
        <w:t xml:space="preserve"> provisions in the agreements. A potential model of how to define what constitutes acceptable (and improved) </w:t>
      </w:r>
      <w:proofErr w:type="spellStart"/>
      <w:r w:rsidRPr="00D8166D">
        <w:rPr>
          <w:sz w:val="10"/>
        </w:rPr>
        <w:t>labour</w:t>
      </w:r>
      <w:proofErr w:type="spellEnd"/>
      <w:r w:rsidRPr="00D8166D">
        <w:rPr>
          <w:sz w:val="10"/>
        </w:rPr>
        <w:t xml:space="preserve"> rights above former PTAs is to begin with the rights outlined in the ILO’s core conventions as a minimum and build country-specific rights obligations up from there. However, as with the inclusion of </w:t>
      </w:r>
      <w:proofErr w:type="spellStart"/>
      <w:r w:rsidRPr="00D8166D">
        <w:rPr>
          <w:sz w:val="10"/>
        </w:rPr>
        <w:t>labour</w:t>
      </w:r>
      <w:proofErr w:type="spellEnd"/>
      <w:r w:rsidRPr="00D8166D">
        <w:rPr>
          <w:sz w:val="10"/>
        </w:rPr>
        <w:t xml:space="preserve"> clauses at the WTO, countries have vocally opposed the inclusion of </w:t>
      </w:r>
      <w:proofErr w:type="spellStart"/>
      <w:r w:rsidRPr="00D8166D">
        <w:rPr>
          <w:sz w:val="10"/>
        </w:rPr>
        <w:t>labour</w:t>
      </w:r>
      <w:proofErr w:type="spellEnd"/>
      <w:r w:rsidRPr="00D8166D">
        <w:rPr>
          <w:sz w:val="10"/>
        </w:rPr>
        <w:t xml:space="preserve"> provisions in PTAs. Developing countries are most likely to oppose the inclusion of </w:t>
      </w:r>
      <w:proofErr w:type="spellStart"/>
      <w:r w:rsidRPr="008D6637">
        <w:rPr>
          <w:rStyle w:val="Emphasis"/>
          <w:highlight w:val="cyan"/>
        </w:rPr>
        <w:t>labour</w:t>
      </w:r>
      <w:proofErr w:type="spellEnd"/>
      <w:r w:rsidRPr="008D6637">
        <w:rPr>
          <w:rStyle w:val="Emphasis"/>
          <w:highlight w:val="cyan"/>
        </w:rPr>
        <w:t xml:space="preserve"> rights</w:t>
      </w:r>
      <w:r w:rsidRPr="00D8166D">
        <w:rPr>
          <w:sz w:val="10"/>
        </w:rPr>
        <w:t xml:space="preserve"> in PTAs on the grounds that they </w:t>
      </w:r>
      <w:r w:rsidRPr="008D6637">
        <w:rPr>
          <w:rStyle w:val="Emphasis"/>
          <w:highlight w:val="cyan"/>
        </w:rPr>
        <w:t>are</w:t>
      </w:r>
      <w:r w:rsidRPr="00D8166D">
        <w:rPr>
          <w:sz w:val="10"/>
        </w:rPr>
        <w:t xml:space="preserve"> 1) </w:t>
      </w:r>
      <w:r w:rsidRPr="008D6637">
        <w:rPr>
          <w:rStyle w:val="Emphasis"/>
          <w:highlight w:val="cyan"/>
        </w:rPr>
        <w:t>disguised protectionism</w:t>
      </w:r>
      <w:r w:rsidRPr="00D8166D">
        <w:rPr>
          <w:sz w:val="10"/>
        </w:rPr>
        <w:t xml:space="preserve">, 2) that they would </w:t>
      </w:r>
      <w:proofErr w:type="spellStart"/>
      <w:r w:rsidRPr="00D8166D">
        <w:rPr>
          <w:sz w:val="10"/>
        </w:rPr>
        <w:t>penalise</w:t>
      </w:r>
      <w:proofErr w:type="spellEnd"/>
      <w:r w:rsidRPr="00D8166D">
        <w:rPr>
          <w:sz w:val="10"/>
        </w:rPr>
        <w:t xml:space="preserve"> countries for their stage-of-development, or 3) that </w:t>
      </w:r>
      <w:r w:rsidRPr="008D6637">
        <w:rPr>
          <w:rStyle w:val="Emphasis"/>
          <w:highlight w:val="cyan"/>
        </w:rPr>
        <w:t>they represent the imposition of Western norms on unwilling parties, representing neocolonial attitudes</w:t>
      </w:r>
      <w:r w:rsidRPr="00D8166D">
        <w:rPr>
          <w:sz w:val="10"/>
        </w:rPr>
        <w:t xml:space="preserve">. At its core, these countries fear loss of their comparative advantage in </w:t>
      </w:r>
      <w:proofErr w:type="spellStart"/>
      <w:r w:rsidRPr="00D8166D">
        <w:rPr>
          <w:sz w:val="10"/>
        </w:rPr>
        <w:t>labour-intensive</w:t>
      </w:r>
      <w:proofErr w:type="spellEnd"/>
      <w:r w:rsidRPr="00D8166D">
        <w:rPr>
          <w:sz w:val="10"/>
        </w:rPr>
        <w:t xml:space="preserve"> industries and argue that </w:t>
      </w:r>
      <w:r w:rsidRPr="008D6637">
        <w:rPr>
          <w:rStyle w:val="Emphasis"/>
          <w:highlight w:val="cyan"/>
        </w:rPr>
        <w:t xml:space="preserve">improvements in </w:t>
      </w:r>
      <w:proofErr w:type="spellStart"/>
      <w:r w:rsidRPr="008D6637">
        <w:rPr>
          <w:rStyle w:val="Emphasis"/>
          <w:highlight w:val="cyan"/>
        </w:rPr>
        <w:t>labour</w:t>
      </w:r>
      <w:proofErr w:type="spellEnd"/>
      <w:r w:rsidRPr="008D6637">
        <w:rPr>
          <w:rStyle w:val="Emphasis"/>
          <w:highlight w:val="cyan"/>
        </w:rPr>
        <w:t xml:space="preserve"> rights</w:t>
      </w:r>
      <w:r w:rsidRPr="00D8166D">
        <w:rPr>
          <w:sz w:val="10"/>
        </w:rPr>
        <w:t xml:space="preserve"> will follow from economic growth and development. And yet, other voices from the developing world, like Sujata </w:t>
      </w:r>
      <w:proofErr w:type="spellStart"/>
      <w:r w:rsidRPr="00D8166D">
        <w:rPr>
          <w:sz w:val="10"/>
        </w:rPr>
        <w:t>Gothoskar</w:t>
      </w:r>
      <w:proofErr w:type="spellEnd"/>
      <w:r w:rsidRPr="00D8166D">
        <w:rPr>
          <w:sz w:val="10"/>
        </w:rPr>
        <w:t xml:space="preserve"> of the Workers Solidarity Centre, argue that such a view means that ‘every struggle by the workers for a better life may be argued as eroding the competitive advantage of [their] country’ (cited in Hensman Reference Hensman2000 and Fields Reference Fields, Robert, Flanagan and Williams2003). Export-related economic growth is often </w:t>
      </w:r>
      <w:r w:rsidRPr="008D6637">
        <w:rPr>
          <w:rStyle w:val="Emphasis"/>
          <w:highlight w:val="cyan"/>
        </w:rPr>
        <w:t>associated with increasing inequality, growing informality, and structural barriers</w:t>
      </w:r>
      <w:r w:rsidRPr="00D8166D">
        <w:rPr>
          <w:sz w:val="10"/>
        </w:rPr>
        <w:t xml:space="preserve"> that can impede widespread improvements in </w:t>
      </w:r>
      <w:proofErr w:type="spellStart"/>
      <w:r w:rsidRPr="00D8166D">
        <w:rPr>
          <w:sz w:val="10"/>
        </w:rPr>
        <w:t>labour</w:t>
      </w:r>
      <w:proofErr w:type="spellEnd"/>
      <w:r w:rsidRPr="00D8166D">
        <w:rPr>
          <w:sz w:val="10"/>
        </w:rPr>
        <w:t xml:space="preserve"> standards (Paz Reference Paz2014; Das et al. Reference Das, Sen and Srivastava2017). </w:t>
      </w:r>
      <w:proofErr w:type="spellStart"/>
      <w:r w:rsidRPr="00D8166D">
        <w:rPr>
          <w:sz w:val="10"/>
        </w:rPr>
        <w:t>Labour</w:t>
      </w:r>
      <w:proofErr w:type="spellEnd"/>
      <w:r w:rsidRPr="00D8166D">
        <w:rPr>
          <w:sz w:val="10"/>
        </w:rPr>
        <w:t xml:space="preserve"> provisions in trade agreements arguably can help rectify market failures, and adhering to core </w:t>
      </w:r>
      <w:proofErr w:type="spellStart"/>
      <w:r w:rsidRPr="00D8166D">
        <w:rPr>
          <w:sz w:val="10"/>
        </w:rPr>
        <w:t>labour</w:t>
      </w:r>
      <w:proofErr w:type="spellEnd"/>
      <w:r w:rsidRPr="00D8166D">
        <w:rPr>
          <w:sz w:val="10"/>
        </w:rPr>
        <w:t xml:space="preserve"> standards promotes a framework for inclusive growth (Martin and </w:t>
      </w:r>
      <w:proofErr w:type="spellStart"/>
      <w:r w:rsidRPr="00D8166D">
        <w:rPr>
          <w:sz w:val="10"/>
        </w:rPr>
        <w:t>Maskus</w:t>
      </w:r>
      <w:proofErr w:type="spellEnd"/>
      <w:r w:rsidRPr="00D8166D">
        <w:rPr>
          <w:sz w:val="10"/>
        </w:rPr>
        <w:t xml:space="preserve"> Reference Martin and Maskus2001; ILO 2016). Balancing the protection of workers’ rights within global value chains (GVCs) and export-oriented sectors with developing countries’ desire to pursue economic growth and their own developmental path requires including local, national, and international actors in the negotiation and enforcement of </w:t>
      </w:r>
      <w:proofErr w:type="spellStart"/>
      <w:r w:rsidRPr="00D8166D">
        <w:rPr>
          <w:sz w:val="10"/>
        </w:rPr>
        <w:t>labour</w:t>
      </w:r>
      <w:proofErr w:type="spellEnd"/>
      <w:r w:rsidRPr="00D8166D">
        <w:rPr>
          <w:sz w:val="10"/>
        </w:rPr>
        <w:t xml:space="preserve"> provisions in PTAs. The mixed results of </w:t>
      </w:r>
      <w:proofErr w:type="spellStart"/>
      <w:r w:rsidRPr="00D8166D">
        <w:rPr>
          <w:sz w:val="10"/>
        </w:rPr>
        <w:t>labour</w:t>
      </w:r>
      <w:proofErr w:type="spellEnd"/>
      <w:r w:rsidRPr="00D8166D">
        <w:rPr>
          <w:sz w:val="10"/>
        </w:rPr>
        <w:t xml:space="preserve"> conditionalities in PTAs have also </w:t>
      </w:r>
      <w:proofErr w:type="spellStart"/>
      <w:r w:rsidRPr="00D8166D">
        <w:rPr>
          <w:sz w:val="10"/>
        </w:rPr>
        <w:t>fuelled</w:t>
      </w:r>
      <w:proofErr w:type="spellEnd"/>
      <w:r w:rsidRPr="00D8166D">
        <w:rPr>
          <w:sz w:val="10"/>
        </w:rPr>
        <w:t xml:space="preserve"> the debate further. In a study comparing the effects of human rights agreements (HRA) and PTAs, Hafner-Burton (Reference Hafner-Burton2005) found that when benefits of trade are conditional to human rights standards through legally binding and enforceable provisions, change in </w:t>
      </w:r>
      <w:proofErr w:type="spellStart"/>
      <w:r w:rsidRPr="00D8166D">
        <w:rPr>
          <w:sz w:val="10"/>
        </w:rPr>
        <w:t>behaviour</w:t>
      </w:r>
      <w:proofErr w:type="spellEnd"/>
      <w:r w:rsidRPr="00D8166D">
        <w:rPr>
          <w:sz w:val="10"/>
        </w:rPr>
        <w:t xml:space="preserve"> is more apparent. On the flip side, PTAs that use ‘soft’ standards that are only vaguely tied to market access reflect no difference in the actions of parties with regard to increasing human rights standards. On </w:t>
      </w:r>
      <w:proofErr w:type="spellStart"/>
      <w:r w:rsidRPr="00D8166D">
        <w:rPr>
          <w:sz w:val="10"/>
        </w:rPr>
        <w:t>labour</w:t>
      </w:r>
      <w:proofErr w:type="spellEnd"/>
      <w:r w:rsidRPr="00D8166D">
        <w:rPr>
          <w:sz w:val="10"/>
        </w:rPr>
        <w:t xml:space="preserve"> clauses specifically, Carrère et al. (Reference </w:t>
      </w:r>
      <w:proofErr w:type="spellStart"/>
      <w:r w:rsidRPr="00D8166D">
        <w:rPr>
          <w:sz w:val="10"/>
        </w:rPr>
        <w:t>Carrére</w:t>
      </w:r>
      <w:proofErr w:type="spellEnd"/>
      <w:r w:rsidRPr="00D8166D">
        <w:rPr>
          <w:sz w:val="10"/>
        </w:rPr>
        <w:t xml:space="preserve">, </w:t>
      </w:r>
      <w:proofErr w:type="spellStart"/>
      <w:r w:rsidRPr="00D8166D">
        <w:rPr>
          <w:sz w:val="10"/>
        </w:rPr>
        <w:t>Olarreaga</w:t>
      </w:r>
      <w:proofErr w:type="spellEnd"/>
      <w:r w:rsidRPr="00D8166D">
        <w:rPr>
          <w:sz w:val="10"/>
        </w:rPr>
        <w:t xml:space="preserve"> and Raess2022) found that including such clauses in PTAs has on average no impact on bilateral trade flows. However, in North–South agreements, the impact of </w:t>
      </w:r>
      <w:proofErr w:type="spellStart"/>
      <w:r w:rsidRPr="00D8166D">
        <w:rPr>
          <w:sz w:val="10"/>
        </w:rPr>
        <w:t>labour</w:t>
      </w:r>
      <w:proofErr w:type="spellEnd"/>
      <w:r w:rsidRPr="00D8166D">
        <w:rPr>
          <w:sz w:val="10"/>
        </w:rPr>
        <w:t xml:space="preserve"> clauses is higher when there is more cooperation among parties. Carrère et al also found that strong enforcement mechanisms only reflect marginal improvements on compliance. Nonetheless, with the rise of PTAs, countries that </w:t>
      </w:r>
      <w:proofErr w:type="spellStart"/>
      <w:r w:rsidRPr="00D8166D">
        <w:rPr>
          <w:sz w:val="10"/>
        </w:rPr>
        <w:t>prioritise</w:t>
      </w:r>
      <w:proofErr w:type="spellEnd"/>
      <w:r w:rsidRPr="00D8166D">
        <w:rPr>
          <w:sz w:val="10"/>
        </w:rPr>
        <w:t xml:space="preserve"> countries that </w:t>
      </w:r>
      <w:proofErr w:type="spellStart"/>
      <w:r w:rsidRPr="00D8166D">
        <w:rPr>
          <w:sz w:val="10"/>
        </w:rPr>
        <w:t>prioritise</w:t>
      </w:r>
      <w:proofErr w:type="spellEnd"/>
      <w:r w:rsidRPr="00D8166D">
        <w:rPr>
          <w:sz w:val="10"/>
        </w:rPr>
        <w:t xml:space="preserve"> extensive </w:t>
      </w:r>
      <w:proofErr w:type="spellStart"/>
      <w:r w:rsidRPr="00D8166D">
        <w:rPr>
          <w:sz w:val="10"/>
        </w:rPr>
        <w:t>labour</w:t>
      </w:r>
      <w:proofErr w:type="spellEnd"/>
      <w:r w:rsidRPr="00D8166D">
        <w:rPr>
          <w:sz w:val="10"/>
        </w:rPr>
        <w:t xml:space="preserve"> rights have engaged on a bilateral basis to push for the inclusion of </w:t>
      </w:r>
      <w:proofErr w:type="spellStart"/>
      <w:r w:rsidRPr="00D8166D">
        <w:rPr>
          <w:sz w:val="10"/>
        </w:rPr>
        <w:t>labour</w:t>
      </w:r>
      <w:proofErr w:type="spellEnd"/>
      <w:r w:rsidRPr="00D8166D">
        <w:rPr>
          <w:sz w:val="10"/>
        </w:rPr>
        <w:t xml:space="preserve"> provisions in trade agreements. In examining these patterns in past PTAs empirically, we can evaluate the instances where some approaches worked better than others. First, the coverage and level of ambition with regard to </w:t>
      </w:r>
      <w:proofErr w:type="spellStart"/>
      <w:r w:rsidRPr="00D8166D">
        <w:rPr>
          <w:sz w:val="10"/>
        </w:rPr>
        <w:t>labour</w:t>
      </w:r>
      <w:proofErr w:type="spellEnd"/>
      <w:r w:rsidRPr="00D8166D">
        <w:rPr>
          <w:sz w:val="10"/>
        </w:rPr>
        <w:t xml:space="preserve"> rights in PTAs exhibit a lack of consistency. Second, low </w:t>
      </w:r>
      <w:proofErr w:type="spellStart"/>
      <w:r w:rsidRPr="00D8166D">
        <w:rPr>
          <w:sz w:val="10"/>
        </w:rPr>
        <w:t>legalisation</w:t>
      </w:r>
      <w:proofErr w:type="spellEnd"/>
      <w:r w:rsidRPr="00D8166D">
        <w:rPr>
          <w:sz w:val="10"/>
        </w:rPr>
        <w:t xml:space="preserve"> – in the precision, obligations, and enforcement – of </w:t>
      </w:r>
      <w:proofErr w:type="spellStart"/>
      <w:r w:rsidRPr="00D8166D">
        <w:rPr>
          <w:sz w:val="10"/>
        </w:rPr>
        <w:t>labour</w:t>
      </w:r>
      <w:proofErr w:type="spellEnd"/>
      <w:r w:rsidRPr="00D8166D">
        <w:rPr>
          <w:sz w:val="10"/>
        </w:rPr>
        <w:t xml:space="preserve"> provisions presents as a problem in adhering to these standards in </w:t>
      </w:r>
      <w:proofErr w:type="spellStart"/>
      <w:r w:rsidRPr="00D8166D">
        <w:rPr>
          <w:sz w:val="10"/>
        </w:rPr>
        <w:t>actualisation</w:t>
      </w:r>
      <w:proofErr w:type="spellEnd"/>
      <w:r w:rsidRPr="00D8166D">
        <w:rPr>
          <w:sz w:val="10"/>
        </w:rPr>
        <w:t xml:space="preserve">. As such, future PTAs should move towards more effective </w:t>
      </w:r>
      <w:proofErr w:type="spellStart"/>
      <w:r w:rsidRPr="00D8166D">
        <w:rPr>
          <w:sz w:val="10"/>
        </w:rPr>
        <w:t>legalisation</w:t>
      </w:r>
      <w:proofErr w:type="spellEnd"/>
      <w:r w:rsidRPr="00D8166D">
        <w:rPr>
          <w:sz w:val="10"/>
        </w:rPr>
        <w:t xml:space="preserve"> of </w:t>
      </w:r>
      <w:proofErr w:type="spellStart"/>
      <w:r w:rsidRPr="00D8166D">
        <w:rPr>
          <w:sz w:val="10"/>
        </w:rPr>
        <w:t>labour</w:t>
      </w:r>
      <w:proofErr w:type="spellEnd"/>
      <w:r w:rsidRPr="00D8166D">
        <w:rPr>
          <w:sz w:val="10"/>
        </w:rPr>
        <w:t xml:space="preserve"> provisions. Finally, on the enforcement of these </w:t>
      </w:r>
      <w:proofErr w:type="spellStart"/>
      <w:r w:rsidRPr="00D8166D">
        <w:rPr>
          <w:sz w:val="10"/>
        </w:rPr>
        <w:t>labour</w:t>
      </w:r>
      <w:proofErr w:type="spellEnd"/>
      <w:r w:rsidRPr="00D8166D">
        <w:rPr>
          <w:sz w:val="10"/>
        </w:rPr>
        <w:t xml:space="preserve"> provisions, the numbers are – at first glance – very disappointing: up until 2020, only two cases had been solved under the dispute settlement mechanisms of these PTAs, which implies that the impact of having </w:t>
      </w:r>
      <w:proofErr w:type="spellStart"/>
      <w:r w:rsidRPr="00D8166D">
        <w:rPr>
          <w:sz w:val="10"/>
        </w:rPr>
        <w:t>labour</w:t>
      </w:r>
      <w:proofErr w:type="spellEnd"/>
      <w:r w:rsidRPr="00D8166D">
        <w:rPr>
          <w:sz w:val="10"/>
        </w:rPr>
        <w:t xml:space="preserve"> provisions enforced under PTA dispute settlement is limited. Bearing in mind that enforcement does not exclusively include the formal settlement of disputes, the enforcement of </w:t>
      </w:r>
      <w:proofErr w:type="spellStart"/>
      <w:r w:rsidRPr="00D8166D">
        <w:rPr>
          <w:sz w:val="10"/>
        </w:rPr>
        <w:t>labour</w:t>
      </w:r>
      <w:proofErr w:type="spellEnd"/>
      <w:r w:rsidRPr="00D8166D">
        <w:rPr>
          <w:sz w:val="10"/>
        </w:rPr>
        <w:t xml:space="preserve"> conditions could improve if dispute settlement procedures were more accessible, and potentially more inclusive towards civil society groups and </w:t>
      </w:r>
      <w:proofErr w:type="spellStart"/>
      <w:r w:rsidRPr="00D8166D">
        <w:rPr>
          <w:sz w:val="10"/>
        </w:rPr>
        <w:t>labour</w:t>
      </w:r>
      <w:proofErr w:type="spellEnd"/>
      <w:r w:rsidRPr="00D8166D">
        <w:rPr>
          <w:sz w:val="10"/>
        </w:rPr>
        <w:t xml:space="preserve"> </w:t>
      </w:r>
      <w:proofErr w:type="spellStart"/>
      <w:r w:rsidRPr="00D8166D">
        <w:rPr>
          <w:sz w:val="10"/>
        </w:rPr>
        <w:t>organisations</w:t>
      </w:r>
      <w:proofErr w:type="spellEnd"/>
      <w:r w:rsidRPr="00D8166D">
        <w:rPr>
          <w:sz w:val="10"/>
        </w:rPr>
        <w:t xml:space="preserve">. In fact, some provisions could have been enforced on a political level by these actors. The lack of a stringent enforcement mechanism at the ILO was one of the main motives for including </w:t>
      </w:r>
      <w:proofErr w:type="spellStart"/>
      <w:r w:rsidRPr="00D8166D">
        <w:rPr>
          <w:sz w:val="10"/>
        </w:rPr>
        <w:t>labour</w:t>
      </w:r>
      <w:proofErr w:type="spellEnd"/>
      <w:r w:rsidRPr="00D8166D">
        <w:rPr>
          <w:sz w:val="10"/>
        </w:rPr>
        <w:t xml:space="preserve"> provisions in PTAs. Thus, PTAs and dispute settlement mechanisms might be an avenue to ensure </w:t>
      </w:r>
      <w:proofErr w:type="spellStart"/>
      <w:r w:rsidRPr="00D8166D">
        <w:rPr>
          <w:sz w:val="10"/>
        </w:rPr>
        <w:t>labour</w:t>
      </w:r>
      <w:proofErr w:type="spellEnd"/>
      <w:r w:rsidRPr="00D8166D">
        <w:rPr>
          <w:sz w:val="10"/>
        </w:rPr>
        <w:t xml:space="preserve"> provisions can be properly enforced. 13.3 Future Trends and Recommendations Having mapped past practices and institutional interaction, the next section puts forward key recommendations on the design, enforcement, and compliance mechanisms of </w:t>
      </w:r>
      <w:proofErr w:type="spellStart"/>
      <w:r w:rsidRPr="00D8166D">
        <w:rPr>
          <w:sz w:val="10"/>
        </w:rPr>
        <w:t>labour</w:t>
      </w:r>
      <w:proofErr w:type="spellEnd"/>
      <w:r w:rsidRPr="00D8166D">
        <w:rPr>
          <w:sz w:val="10"/>
        </w:rPr>
        <w:t xml:space="preserve"> provisions in future PTAs. 13.3.1 Expansion of </w:t>
      </w:r>
      <w:proofErr w:type="spellStart"/>
      <w:r w:rsidRPr="00D8166D">
        <w:rPr>
          <w:sz w:val="10"/>
        </w:rPr>
        <w:t>Labour</w:t>
      </w:r>
      <w:proofErr w:type="spellEnd"/>
      <w:r w:rsidRPr="00D8166D">
        <w:rPr>
          <w:sz w:val="10"/>
        </w:rPr>
        <w:t xml:space="preserve"> Rights </w:t>
      </w:r>
      <w:proofErr w:type="spellStart"/>
      <w:r w:rsidRPr="00D8166D">
        <w:rPr>
          <w:sz w:val="10"/>
        </w:rPr>
        <w:t>Labour</w:t>
      </w:r>
      <w:proofErr w:type="spellEnd"/>
      <w:r w:rsidRPr="00D8166D">
        <w:rPr>
          <w:sz w:val="10"/>
        </w:rPr>
        <w:t xml:space="preserve"> rights are often divided into two categories: collective and individual (sometimes called substantial) rights. The former refers to FACB rights, that is, the right of workers to act collectively and negotiate as a collective in their own best interest. The latter category of rights is less well-defined but overlaps to a large degree with the components of the ILO and UN’s concept of decent work, that is, formal work contracts, humane work hours, adequate earnings, occupational safety and health, non-remuneration benefits, and social security (ILO 2009). While unions</w:t>
      </w:r>
      <w:r w:rsidRPr="008D6637">
        <w:rPr>
          <w:rStyle w:val="Emphasis"/>
          <w:sz w:val="8"/>
        </w:rPr>
        <w:t xml:space="preserve"> </w:t>
      </w:r>
      <w:r w:rsidRPr="00D8166D">
        <w:rPr>
          <w:sz w:val="10"/>
        </w:rPr>
        <w:t xml:space="preserve">may be viewed as a threat in developing countries for political (regime stability) and economic reasons (disruption of production and higher negotiated wages, etc.), allowing workers the right to </w:t>
      </w:r>
      <w:proofErr w:type="spellStart"/>
      <w:r w:rsidRPr="00D8166D">
        <w:rPr>
          <w:sz w:val="10"/>
        </w:rPr>
        <w:t>organise</w:t>
      </w:r>
      <w:proofErr w:type="spellEnd"/>
      <w:r w:rsidRPr="00D8166D">
        <w:rPr>
          <w:sz w:val="10"/>
        </w:rPr>
        <w:t xml:space="preserve"> does not imply higher </w:t>
      </w:r>
      <w:proofErr w:type="spellStart"/>
      <w:r w:rsidRPr="00D8166D">
        <w:rPr>
          <w:sz w:val="10"/>
        </w:rPr>
        <w:t>labour</w:t>
      </w:r>
      <w:proofErr w:type="spellEnd"/>
      <w:r w:rsidRPr="00D8166D">
        <w:rPr>
          <w:sz w:val="10"/>
        </w:rPr>
        <w:t xml:space="preserve"> costs, per se. Employers in developing countries can (and often do) refuse to negotiate in good faith with workers’ legitimate representatives and will even find ways to circumvent laws pertaining to FACB rights by, for example, installing ‘yellow’ or employer-friendly unions. Collective </w:t>
      </w:r>
      <w:proofErr w:type="spellStart"/>
      <w:r w:rsidRPr="00D8166D">
        <w:rPr>
          <w:sz w:val="10"/>
        </w:rPr>
        <w:t>labour</w:t>
      </w:r>
      <w:proofErr w:type="spellEnd"/>
      <w:r w:rsidRPr="00D8166D">
        <w:rPr>
          <w:sz w:val="10"/>
        </w:rPr>
        <w:t xml:space="preserve"> rights, therefore, represent a relatively inexpensive way of </w:t>
      </w:r>
      <w:proofErr w:type="spellStart"/>
      <w:r w:rsidRPr="00D8166D">
        <w:rPr>
          <w:sz w:val="10"/>
        </w:rPr>
        <w:t>signalling</w:t>
      </w:r>
      <w:proofErr w:type="spellEnd"/>
      <w:r w:rsidRPr="00D8166D">
        <w:rPr>
          <w:sz w:val="10"/>
        </w:rPr>
        <w:t xml:space="preserve"> </w:t>
      </w:r>
      <w:proofErr w:type="spellStart"/>
      <w:r w:rsidRPr="00D8166D">
        <w:rPr>
          <w:sz w:val="10"/>
        </w:rPr>
        <w:t>labour</w:t>
      </w:r>
      <w:proofErr w:type="spellEnd"/>
      <w:r w:rsidRPr="00D8166D">
        <w:rPr>
          <w:sz w:val="10"/>
        </w:rPr>
        <w:t xml:space="preserve"> upgrading to (potential or current) trading partners without losing price advantage as an exporter (Wang Reference Wang2020; Messerschmidt and Janz Reference Messerschmidt and Janz2023). Individual rights, on the other hand, can be very costly to implement. Upgrading workplace safety, reducing excessive hours or paying overtime, providing non-wage benefits, providing formal employment contracts, and paying into pension schemes all are associated with higher </w:t>
      </w:r>
      <w:proofErr w:type="spellStart"/>
      <w:r w:rsidRPr="00D8166D">
        <w:rPr>
          <w:sz w:val="10"/>
        </w:rPr>
        <w:t>labour</w:t>
      </w:r>
      <w:proofErr w:type="spellEnd"/>
      <w:r w:rsidRPr="00D8166D">
        <w:rPr>
          <w:sz w:val="10"/>
        </w:rPr>
        <w:t xml:space="preserve"> and therefore production costs which is perceived as a loss in competitiveness in export markets, especially for countries whose comparative advantage is in low-skill production. For these reasons, </w:t>
      </w:r>
      <w:proofErr w:type="spellStart"/>
      <w:r w:rsidRPr="00D8166D">
        <w:rPr>
          <w:sz w:val="10"/>
        </w:rPr>
        <w:t>labour</w:t>
      </w:r>
      <w:proofErr w:type="spellEnd"/>
      <w:r w:rsidRPr="00D8166D">
        <w:rPr>
          <w:sz w:val="10"/>
        </w:rPr>
        <w:t xml:space="preserve"> provisions in trade agreements have primarily focused on enforcement of domestic laws (Raess and Sari Reference Raess and Sari2018). Doing so avoids the projection of exogenous standards (i.e. from the Global North) on developing (or otherwise low-standard) countries and pre-empts opposition based on claims that trade-related </w:t>
      </w:r>
      <w:proofErr w:type="spellStart"/>
      <w:r w:rsidRPr="00D8166D">
        <w:rPr>
          <w:sz w:val="10"/>
        </w:rPr>
        <w:t>labour</w:t>
      </w:r>
      <w:proofErr w:type="spellEnd"/>
      <w:r w:rsidRPr="00D8166D">
        <w:rPr>
          <w:sz w:val="10"/>
        </w:rPr>
        <w:t xml:space="preserve"> provisions are little more than disguised protectionism. However, while substantive commitments to enforcing domestic laws are widespread, they are largely ineffective in improving the working conditions on the ground. Partner countries are unlikely to trigger dispute settlement regarding violations, and enforcement within a violating country is more likely to occur as a means of </w:t>
      </w:r>
      <w:proofErr w:type="spellStart"/>
      <w:r w:rsidRPr="00D8166D">
        <w:rPr>
          <w:sz w:val="10"/>
        </w:rPr>
        <w:t>signalling</w:t>
      </w:r>
      <w:proofErr w:type="spellEnd"/>
      <w:r w:rsidRPr="00D8166D">
        <w:rPr>
          <w:sz w:val="10"/>
        </w:rPr>
        <w:t xml:space="preserve"> suitability as a potential future partner in PTAs, rather than to stop abuses (Kolben Reference Kolben2013; Van </w:t>
      </w:r>
      <w:proofErr w:type="spellStart"/>
      <w:r w:rsidRPr="00D8166D">
        <w:rPr>
          <w:sz w:val="10"/>
        </w:rPr>
        <w:t>Roozendaal</w:t>
      </w:r>
      <w:proofErr w:type="spellEnd"/>
      <w:r w:rsidRPr="00D8166D">
        <w:rPr>
          <w:sz w:val="10"/>
        </w:rPr>
        <w:t xml:space="preserve"> Reference Van Roozendaal2015; Vogt Reference Vogt2015). When </w:t>
      </w:r>
      <w:proofErr w:type="spellStart"/>
      <w:r w:rsidRPr="00D8166D">
        <w:rPr>
          <w:sz w:val="10"/>
        </w:rPr>
        <w:t>labour</w:t>
      </w:r>
      <w:proofErr w:type="spellEnd"/>
      <w:r w:rsidRPr="00D8166D">
        <w:rPr>
          <w:sz w:val="10"/>
        </w:rPr>
        <w:t xml:space="preserve"> provisions do mention protection of specific rights, they tend to focus on two things, both derived from the ILO 1998 Declaration: FACB rights and prohibitions on the worst forms of </w:t>
      </w:r>
      <w:proofErr w:type="spellStart"/>
      <w:r w:rsidRPr="00D8166D">
        <w:rPr>
          <w:sz w:val="10"/>
        </w:rPr>
        <w:t>labour</w:t>
      </w:r>
      <w:proofErr w:type="spellEnd"/>
      <w:r w:rsidRPr="00D8166D">
        <w:rPr>
          <w:sz w:val="10"/>
        </w:rPr>
        <w:t xml:space="preserve"> abuses, namely, child and forced (i.e. slave) </w:t>
      </w:r>
      <w:proofErr w:type="spellStart"/>
      <w:r w:rsidRPr="00D8166D">
        <w:rPr>
          <w:sz w:val="10"/>
        </w:rPr>
        <w:t>labour</w:t>
      </w:r>
      <w:proofErr w:type="spellEnd"/>
      <w:r w:rsidRPr="00D8166D">
        <w:rPr>
          <w:sz w:val="10"/>
        </w:rPr>
        <w:t xml:space="preserve">. After this, several individual rights are specifically referenced in a steadily declining percentage of agreements as substantive commitments. Elimination of discrimination and equal remuneration are included in ~40% of PTAs, followed by health and safety (~30%), working conditions and wages (in ~20%), and decent work and working time, which can be found in only about 15% of agreements. Freedom of association and collective bargaining </w:t>
      </w:r>
      <w:proofErr w:type="spellStart"/>
      <w:r w:rsidRPr="00D8166D">
        <w:rPr>
          <w:sz w:val="10"/>
        </w:rPr>
        <w:t>labour</w:t>
      </w:r>
      <w:proofErr w:type="spellEnd"/>
      <w:r w:rsidRPr="00D8166D">
        <w:rPr>
          <w:sz w:val="10"/>
        </w:rPr>
        <w:t xml:space="preserve"> rights are frequently included in trade agreements because they are considered the cheapest option (i.e. they do not incur increased </w:t>
      </w:r>
      <w:proofErr w:type="spellStart"/>
      <w:r w:rsidRPr="00D8166D">
        <w:rPr>
          <w:sz w:val="10"/>
        </w:rPr>
        <w:t>labour</w:t>
      </w:r>
      <w:proofErr w:type="spellEnd"/>
      <w:r w:rsidRPr="00D8166D">
        <w:rPr>
          <w:sz w:val="10"/>
        </w:rPr>
        <w:t xml:space="preserve"> costs), second only to references to upholding domestic laws, and because proponents of their inclusion argue that FACB rights can lead to improvements in working conditions and individual </w:t>
      </w:r>
      <w:proofErr w:type="spellStart"/>
      <w:r w:rsidRPr="00D8166D">
        <w:rPr>
          <w:sz w:val="10"/>
        </w:rPr>
        <w:t>labour</w:t>
      </w:r>
      <w:proofErr w:type="spellEnd"/>
      <w:r w:rsidRPr="00D8166D">
        <w:rPr>
          <w:sz w:val="10"/>
        </w:rPr>
        <w:t xml:space="preserve"> rights. However, while signatory countries often improve their collective </w:t>
      </w:r>
      <w:proofErr w:type="spellStart"/>
      <w:r w:rsidRPr="00D8166D">
        <w:rPr>
          <w:sz w:val="10"/>
        </w:rPr>
        <w:t>labour</w:t>
      </w:r>
      <w:proofErr w:type="spellEnd"/>
      <w:r w:rsidRPr="00D8166D">
        <w:rPr>
          <w:sz w:val="10"/>
        </w:rPr>
        <w:t xml:space="preserve"> laws, they do little to improve de facto enforcement, leading to no improvement or sometimes even worsening conditions (Raess et al. Reference Raess and Sari2018). Expanding the types of </w:t>
      </w:r>
      <w:proofErr w:type="spellStart"/>
      <w:r w:rsidRPr="00D8166D">
        <w:rPr>
          <w:sz w:val="10"/>
        </w:rPr>
        <w:t>labour</w:t>
      </w:r>
      <w:proofErr w:type="spellEnd"/>
      <w:r w:rsidRPr="00D8166D">
        <w:rPr>
          <w:sz w:val="10"/>
        </w:rPr>
        <w:t xml:space="preserve"> rights in PTAs has the potential to lead to improvements in on-the-ground conditions that have remained elusive thus far, particularly when </w:t>
      </w:r>
      <w:proofErr w:type="gramStart"/>
      <w:r w:rsidRPr="00D8166D">
        <w:rPr>
          <w:sz w:val="10"/>
        </w:rPr>
        <w:t>paired</w:t>
      </w:r>
      <w:proofErr w:type="gramEnd"/>
      <w:r w:rsidRPr="00D8166D">
        <w:rPr>
          <w:sz w:val="10"/>
        </w:rPr>
        <w:t xml:space="preserve"> with the other advancements that we recommend. Inhumane working hours, unsafe working conditions, and informal employment are endemic in developing countries and in global supply chains, in particular (Beliner et al. Reference Berliner, Greenleaf, Lake and Noveck2015). So far, state-</w:t>
      </w:r>
      <w:proofErr w:type="spellStart"/>
      <w:r w:rsidRPr="00D8166D">
        <w:rPr>
          <w:sz w:val="10"/>
        </w:rPr>
        <w:t>centred</w:t>
      </w:r>
      <w:proofErr w:type="spellEnd"/>
      <w:r w:rsidRPr="00D8166D">
        <w:rPr>
          <w:sz w:val="10"/>
        </w:rPr>
        <w:t xml:space="preserve"> approaches in </w:t>
      </w:r>
      <w:proofErr w:type="spellStart"/>
      <w:r w:rsidRPr="00D8166D">
        <w:rPr>
          <w:sz w:val="10"/>
        </w:rPr>
        <w:t>labour</w:t>
      </w:r>
      <w:proofErr w:type="spellEnd"/>
      <w:r w:rsidRPr="00D8166D">
        <w:rPr>
          <w:sz w:val="10"/>
        </w:rPr>
        <w:t xml:space="preserve"> provisions have proven ineffective in alleviating these violations (Vogt Reference Vogt2015; Brown Reference Brown2016). In tandem with targeted sanctions and empowerment of local civil society, more clearly defined and expanded </w:t>
      </w:r>
      <w:proofErr w:type="spellStart"/>
      <w:r w:rsidRPr="00D8166D">
        <w:rPr>
          <w:sz w:val="10"/>
        </w:rPr>
        <w:t>labour</w:t>
      </w:r>
      <w:proofErr w:type="spellEnd"/>
      <w:r w:rsidRPr="00D8166D">
        <w:rPr>
          <w:sz w:val="10"/>
        </w:rPr>
        <w:t xml:space="preserve"> rights would make improved working conditions a more attainable and enforceable goal (Brown Reference Brown2016). We can also envision an expansion of protected rights to those of migrant workers, a group whose relevance continues to grow, as many regions in the world grapple with climate change and conflict-exacerbated migration flows. As an example, the draft TPP, which made many progressive steps regarding protection of </w:t>
      </w:r>
      <w:proofErr w:type="spellStart"/>
      <w:r w:rsidRPr="00D8166D">
        <w:rPr>
          <w:sz w:val="10"/>
        </w:rPr>
        <w:t>labour</w:t>
      </w:r>
      <w:proofErr w:type="spellEnd"/>
      <w:r w:rsidRPr="00D8166D">
        <w:rPr>
          <w:sz w:val="10"/>
        </w:rPr>
        <w:t xml:space="preserve"> rights, included ‘Labor Consistency Plans’ (LCPs) for some potential signatories. One of these was an LCP for Malaysia, which called on the country to stop withholding migrant workers’ passports and provide them with formal contracts (Dong Reference Dong2016). Although the US ultimately withdrew from the TPP and it has since been replaced by the CPTPP, many of the advances made during the negotiations are being held up as an indication of shifting political will among parties as well as examples of what is possible when negotiating far-reaching trade agreements. Of course, defining the acceptable floor for </w:t>
      </w:r>
      <w:proofErr w:type="spellStart"/>
      <w:r w:rsidRPr="00D8166D">
        <w:rPr>
          <w:sz w:val="10"/>
        </w:rPr>
        <w:t>labour</w:t>
      </w:r>
      <w:proofErr w:type="spellEnd"/>
      <w:r w:rsidRPr="00D8166D">
        <w:rPr>
          <w:sz w:val="10"/>
        </w:rPr>
        <w:t xml:space="preserve"> rights in such a way as to avoid the perception (or reality) of disguised protectionism or projection of standards from one country to another will require </w:t>
      </w:r>
      <w:proofErr w:type="gramStart"/>
      <w:r w:rsidRPr="00D8166D">
        <w:rPr>
          <w:sz w:val="10"/>
        </w:rPr>
        <w:t>involvement of</w:t>
      </w:r>
      <w:proofErr w:type="gramEnd"/>
      <w:r w:rsidRPr="00D8166D">
        <w:rPr>
          <w:sz w:val="10"/>
        </w:rPr>
        <w:t xml:space="preserve"> not only state representatives, but relevant societal actors from each party. By involving </w:t>
      </w:r>
      <w:proofErr w:type="spellStart"/>
      <w:r w:rsidRPr="00D8166D">
        <w:rPr>
          <w:sz w:val="10"/>
        </w:rPr>
        <w:t>labour</w:t>
      </w:r>
      <w:proofErr w:type="spellEnd"/>
      <w:r w:rsidRPr="00D8166D">
        <w:rPr>
          <w:sz w:val="10"/>
        </w:rPr>
        <w:t xml:space="preserve"> representatives or other civil society actors, inclusion and enforcement of </w:t>
      </w:r>
      <w:proofErr w:type="spellStart"/>
      <w:r w:rsidRPr="00D8166D">
        <w:rPr>
          <w:sz w:val="10"/>
        </w:rPr>
        <w:t>labour</w:t>
      </w:r>
      <w:proofErr w:type="spellEnd"/>
      <w:r w:rsidRPr="00D8166D">
        <w:rPr>
          <w:sz w:val="10"/>
        </w:rPr>
        <w:t xml:space="preserve"> rights in PTAs can avoid sanctioning countries simply due to their stage-of-development (Fields Reference Fields, Robert, Flanagan and Williams2003). 13.3.2 The ‘Manner Affecting Trade’ Issue Another key issue observed in past dispute cases regarding </w:t>
      </w:r>
      <w:proofErr w:type="spellStart"/>
      <w:r w:rsidRPr="00D8166D">
        <w:rPr>
          <w:sz w:val="10"/>
        </w:rPr>
        <w:t>labour</w:t>
      </w:r>
      <w:proofErr w:type="spellEnd"/>
      <w:r w:rsidRPr="00D8166D">
        <w:rPr>
          <w:sz w:val="10"/>
        </w:rPr>
        <w:t xml:space="preserve"> rights violation is the ‘manner affecting trade’ term. According to Article 16.2.1(a) of the Dominican Republic–Central America FTA (CAFTA-DR), ‘A Party shall not fail to effectively enforce its </w:t>
      </w:r>
      <w:proofErr w:type="spellStart"/>
      <w:r w:rsidRPr="00D8166D">
        <w:rPr>
          <w:sz w:val="10"/>
        </w:rPr>
        <w:t>labour</w:t>
      </w:r>
      <w:proofErr w:type="spellEnd"/>
      <w:r w:rsidRPr="00D8166D">
        <w:rPr>
          <w:sz w:val="10"/>
        </w:rPr>
        <w:t xml:space="preserve"> laws, through a sustained or recurring course of action or inaction, in a manner affecting trade between the parties, after the date of entry into force of this Agreement.’ In order to establish a </w:t>
      </w:r>
      <w:proofErr w:type="spellStart"/>
      <w:r w:rsidRPr="00D8166D">
        <w:rPr>
          <w:sz w:val="10"/>
        </w:rPr>
        <w:t>labour</w:t>
      </w:r>
      <w:proofErr w:type="spellEnd"/>
      <w:r w:rsidRPr="00D8166D">
        <w:rPr>
          <w:sz w:val="10"/>
        </w:rPr>
        <w:t xml:space="preserve"> violation, two conditions must be met. First, the claimant must prove a persistent pattern of violations of </w:t>
      </w:r>
      <w:proofErr w:type="spellStart"/>
      <w:r w:rsidRPr="00D8166D">
        <w:rPr>
          <w:sz w:val="10"/>
        </w:rPr>
        <w:t>labour</w:t>
      </w:r>
      <w:proofErr w:type="spellEnd"/>
      <w:r w:rsidRPr="00D8166D">
        <w:rPr>
          <w:sz w:val="10"/>
        </w:rPr>
        <w:t xml:space="preserve"> laws. Second, this lack of enforcement must have affected trade between the Members of the PTA (Paiement Reference Paiement2018). This term is a key feature from the May 10 template from the US that appears in several agreements (Cimino-Isaacs Reference Cimino-Isaacs2020). To demonstrate the complications brought upon by this term, this section unpacks the dispute between the US and Guatemala over Article 16.2.1(a) of the CAFTA-DR agreement. The CAFTA-DR includes a state-to-state mechanism that allows for a complaint of </w:t>
      </w:r>
      <w:proofErr w:type="spellStart"/>
      <w:r w:rsidRPr="00D8166D">
        <w:rPr>
          <w:sz w:val="10"/>
        </w:rPr>
        <w:t>labour</w:t>
      </w:r>
      <w:proofErr w:type="spellEnd"/>
      <w:r w:rsidRPr="00D8166D">
        <w:rPr>
          <w:sz w:val="10"/>
        </w:rPr>
        <w:t xml:space="preserve"> violations to be brought for dispute under the arbitration mechanisms of the agreement. In 2008, the US government raised a dispute under this mechanism against Guatemala, claiming that they violated commitments to enforce </w:t>
      </w:r>
      <w:proofErr w:type="spellStart"/>
      <w:r w:rsidRPr="00D8166D">
        <w:rPr>
          <w:sz w:val="10"/>
        </w:rPr>
        <w:t>labour</w:t>
      </w:r>
      <w:proofErr w:type="spellEnd"/>
      <w:r w:rsidRPr="00D8166D">
        <w:rPr>
          <w:sz w:val="10"/>
        </w:rPr>
        <w:t xml:space="preserve"> laws outlined in the CAFTA-DR PTA. This was after the American Federation of </w:t>
      </w:r>
      <w:proofErr w:type="spellStart"/>
      <w:r w:rsidRPr="00D8166D">
        <w:rPr>
          <w:sz w:val="10"/>
        </w:rPr>
        <w:t>Labour</w:t>
      </w:r>
      <w:proofErr w:type="spellEnd"/>
      <w:r w:rsidRPr="00D8166D">
        <w:rPr>
          <w:sz w:val="10"/>
        </w:rPr>
        <w:t xml:space="preserve"> and Congress of Industrial Organizations (AFL-CIO) and six Guatemalan </w:t>
      </w:r>
      <w:proofErr w:type="spellStart"/>
      <w:r w:rsidRPr="00D8166D">
        <w:rPr>
          <w:sz w:val="10"/>
        </w:rPr>
        <w:t>labour</w:t>
      </w:r>
      <w:proofErr w:type="spellEnd"/>
      <w:r w:rsidRPr="00D8166D">
        <w:rPr>
          <w:sz w:val="10"/>
        </w:rPr>
        <w:t xml:space="preserve"> unions filed complaints. Formal </w:t>
      </w:r>
      <w:proofErr w:type="spellStart"/>
      <w:r w:rsidRPr="00D8166D">
        <w:rPr>
          <w:sz w:val="10"/>
        </w:rPr>
        <w:t>labour</w:t>
      </w:r>
      <w:proofErr w:type="spellEnd"/>
      <w:r w:rsidRPr="00D8166D">
        <w:rPr>
          <w:sz w:val="10"/>
        </w:rPr>
        <w:t xml:space="preserve"> consultations between the two nations failed to yield results, and the United States Trade Representative (USTR) filed for arbitration under the CAFTA-DR dispute resolution chapter in 2011. Nine years after the complaint was submitted, the panel put forth its decision in 2017, finding that the US had not shown that Guatemala breached the agreement in relation to </w:t>
      </w:r>
      <w:proofErr w:type="spellStart"/>
      <w:r w:rsidRPr="00D8166D">
        <w:rPr>
          <w:sz w:val="10"/>
        </w:rPr>
        <w:t>labour</w:t>
      </w:r>
      <w:proofErr w:type="spellEnd"/>
      <w:r w:rsidRPr="00D8166D">
        <w:rPr>
          <w:sz w:val="10"/>
        </w:rPr>
        <w:t xml:space="preserve"> rights. During the proceedings, both countries came forth to explain their interpretation of the language in the agreement. The US submitted that ‘in a manner affecting trade’ means that a violation ‘has a bearing on, influences or changes cross-border economic activity, including influencing conditions of competition within and among the CAFTA-DR Parties’. Conversely, Guatemala submitted that Article 16.2.1(a) requires an ‘unambiguous showing that the challenged conduct has an effect on trade between the Parties’. However, the panel had differing interpretations. The panel interpreted the notion of ‘sustained or recurring course of action or inaction’ in Article 16.2.1 (a) of CAFTA-DR as either ‘(</w:t>
      </w:r>
      <w:proofErr w:type="spellStart"/>
      <w:r w:rsidRPr="00D8166D">
        <w:rPr>
          <w:sz w:val="10"/>
        </w:rPr>
        <w:t>i</w:t>
      </w:r>
      <w:proofErr w:type="spellEnd"/>
      <w:r w:rsidRPr="00D8166D">
        <w:rPr>
          <w:sz w:val="10"/>
        </w:rPr>
        <w:t xml:space="preserve">) a repeated </w:t>
      </w:r>
      <w:proofErr w:type="spellStart"/>
      <w:r w:rsidRPr="00D8166D">
        <w:rPr>
          <w:sz w:val="10"/>
        </w:rPr>
        <w:t>behaviour</w:t>
      </w:r>
      <w:proofErr w:type="spellEnd"/>
      <w:r w:rsidRPr="00D8166D">
        <w:rPr>
          <w:sz w:val="10"/>
        </w:rPr>
        <w:t xml:space="preserve"> which displays sufficient similarity’ or ‘(ii) prolonged </w:t>
      </w:r>
      <w:proofErr w:type="spellStart"/>
      <w:r w:rsidRPr="00D8166D">
        <w:rPr>
          <w:sz w:val="10"/>
        </w:rPr>
        <w:t>behaviour</w:t>
      </w:r>
      <w:proofErr w:type="spellEnd"/>
      <w:r w:rsidRPr="00D8166D">
        <w:rPr>
          <w:sz w:val="10"/>
        </w:rPr>
        <w:t xml:space="preserve"> in which there is sufficient consistency in sustained acts or omissions as to constitute a line of connected </w:t>
      </w:r>
      <w:proofErr w:type="spellStart"/>
      <w:r w:rsidRPr="00D8166D">
        <w:rPr>
          <w:sz w:val="10"/>
        </w:rPr>
        <w:t>behaviour</w:t>
      </w:r>
      <w:proofErr w:type="spellEnd"/>
      <w:r w:rsidRPr="00D8166D">
        <w:rPr>
          <w:sz w:val="10"/>
        </w:rPr>
        <w:t xml:space="preserve"> by a </w:t>
      </w:r>
      <w:proofErr w:type="spellStart"/>
      <w:r w:rsidRPr="00D8166D">
        <w:rPr>
          <w:sz w:val="10"/>
        </w:rPr>
        <w:t>labour</w:t>
      </w:r>
      <w:proofErr w:type="spellEnd"/>
      <w:r w:rsidRPr="00D8166D">
        <w:rPr>
          <w:sz w:val="10"/>
        </w:rPr>
        <w:t xml:space="preserve"> law enforcement institution, rather than isolated or disconnected instances of action or inaction’. The panel acknowledged that ‘in a manner affecting trade between the Parties’ only applies if it provides a competitive edge to an employer or employers involved in trade between the parties. They explained further how this can be proven – by first demonstrating that the business is engaged in markets or competes with imports of CAFTA-DR Parties and identifying that a failure to enforce </w:t>
      </w:r>
      <w:proofErr w:type="spellStart"/>
      <w:r w:rsidRPr="00D8166D">
        <w:rPr>
          <w:sz w:val="10"/>
        </w:rPr>
        <w:t>labour</w:t>
      </w:r>
      <w:proofErr w:type="spellEnd"/>
      <w:r w:rsidRPr="00D8166D">
        <w:rPr>
          <w:sz w:val="10"/>
        </w:rPr>
        <w:t xml:space="preserve"> obligations is sufficient to cause ‘some competitive advantage’ on said enterprise. The panel’s interpretation faced significant criticism. They conclusively determined that Guatemala did not uphold its </w:t>
      </w:r>
      <w:proofErr w:type="spellStart"/>
      <w:r w:rsidRPr="00D8166D">
        <w:rPr>
          <w:sz w:val="10"/>
        </w:rPr>
        <w:t>labour</w:t>
      </w:r>
      <w:proofErr w:type="spellEnd"/>
      <w:r w:rsidRPr="00D8166D">
        <w:rPr>
          <w:sz w:val="10"/>
        </w:rPr>
        <w:t xml:space="preserve"> laws according to Article 16.2.1(a) of the CAFTA-DR, as evident from violations affecting 74 workers at eight different locations. Though this appeared to be a straightforward win for the US, two key criteria remained: the persistence of the violations and their impact on trade. The panel firmly concluded that even though Guatemala consistently neglected its </w:t>
      </w:r>
      <w:proofErr w:type="spellStart"/>
      <w:r w:rsidRPr="00D8166D">
        <w:rPr>
          <w:sz w:val="10"/>
        </w:rPr>
        <w:t>labour</w:t>
      </w:r>
      <w:proofErr w:type="spellEnd"/>
      <w:r w:rsidRPr="00D8166D">
        <w:rPr>
          <w:sz w:val="10"/>
        </w:rPr>
        <w:t xml:space="preserve"> laws, this neglect did not impact trade. Additionally, in the single instance where trade was affected, the violation was neither sustained nor recurring. Essentially, according to the panel, one of the conditions of Article 16.2.1(a) was always unmet, leading them to rule in </w:t>
      </w:r>
      <w:proofErr w:type="spellStart"/>
      <w:r w:rsidRPr="00D8166D">
        <w:rPr>
          <w:sz w:val="10"/>
        </w:rPr>
        <w:t>favour</w:t>
      </w:r>
      <w:proofErr w:type="spellEnd"/>
      <w:r w:rsidRPr="00D8166D">
        <w:rPr>
          <w:sz w:val="10"/>
        </w:rPr>
        <w:t xml:space="preserve"> of Guatemala and against the US. Given that this was the first </w:t>
      </w:r>
      <w:proofErr w:type="spellStart"/>
      <w:r w:rsidRPr="00D8166D">
        <w:rPr>
          <w:sz w:val="10"/>
        </w:rPr>
        <w:t>labour</w:t>
      </w:r>
      <w:proofErr w:type="spellEnd"/>
      <w:r w:rsidRPr="00D8166D">
        <w:rPr>
          <w:sz w:val="10"/>
        </w:rPr>
        <w:t xml:space="preserve"> enforcement case brought to dispute settlement under a PTA, the expectations on whether this mechanism can be evoked to protect workers’ rights were high. The fact that the panel did not find a breach was met with disappointment from stakeholders, including from the Office of US Trade Representative (USTR 2014). The results raised questions of whether </w:t>
      </w:r>
      <w:proofErr w:type="spellStart"/>
      <w:r w:rsidRPr="00D8166D">
        <w:rPr>
          <w:sz w:val="10"/>
        </w:rPr>
        <w:t>labour</w:t>
      </w:r>
      <w:proofErr w:type="spellEnd"/>
      <w:r w:rsidRPr="00D8166D">
        <w:rPr>
          <w:sz w:val="10"/>
        </w:rPr>
        <w:t xml:space="preserve"> chapters act as safeguards for workers in the way they are currently formulated (Claussen Reference Claussen2020). Hence, the main recommendation of this section regarding ‘manner affecting trade’ is that this term should be rephrased with unambiguous language, encompassing strong legal obligations and sharper precision (Abbott et al. Reference Abbott, Keohane, Moravcsik, Slaughter and Snidal2000). We suggest this change on two grounds. First, the term ‘manner affecting trade’ should be phrased in a clearer way that does not allow for narrow interpretations by arbitration panels that primarily adopt a perspective of trade considerations as opposed to worker’s </w:t>
      </w:r>
      <w:proofErr w:type="gramStart"/>
      <w:r w:rsidRPr="00D8166D">
        <w:rPr>
          <w:sz w:val="10"/>
        </w:rPr>
        <w:t>rights, and</w:t>
      </w:r>
      <w:proofErr w:type="gramEnd"/>
      <w:r w:rsidRPr="00D8166D">
        <w:rPr>
          <w:sz w:val="10"/>
        </w:rPr>
        <w:t xml:space="preserve"> instead be inclusive to the voices and submissions of civil society. Second, </w:t>
      </w:r>
      <w:proofErr w:type="spellStart"/>
      <w:r w:rsidRPr="00D8166D">
        <w:rPr>
          <w:sz w:val="10"/>
        </w:rPr>
        <w:t>labour</w:t>
      </w:r>
      <w:proofErr w:type="spellEnd"/>
      <w:r w:rsidRPr="00D8166D">
        <w:rPr>
          <w:sz w:val="10"/>
        </w:rPr>
        <w:t xml:space="preserve"> rights violations should not only be considered when they are </w:t>
      </w:r>
      <w:proofErr w:type="gramStart"/>
      <w:r w:rsidRPr="00D8166D">
        <w:rPr>
          <w:sz w:val="10"/>
        </w:rPr>
        <w:t>predicated</w:t>
      </w:r>
      <w:proofErr w:type="gramEnd"/>
      <w:r w:rsidRPr="00D8166D">
        <w:rPr>
          <w:sz w:val="10"/>
        </w:rPr>
        <w:t xml:space="preserve"> upon whether the violation affects trade. The central goal of including </w:t>
      </w:r>
      <w:proofErr w:type="spellStart"/>
      <w:r w:rsidRPr="00D8166D">
        <w:rPr>
          <w:sz w:val="10"/>
        </w:rPr>
        <w:t>labour</w:t>
      </w:r>
      <w:proofErr w:type="spellEnd"/>
      <w:r w:rsidRPr="00D8166D">
        <w:rPr>
          <w:sz w:val="10"/>
        </w:rPr>
        <w:t xml:space="preserve"> provisions should be to protect workers’ rights in traded sectors, not to protect workers’ rights only if </w:t>
      </w:r>
      <w:proofErr w:type="spellStart"/>
      <w:r w:rsidRPr="00D8166D">
        <w:rPr>
          <w:sz w:val="10"/>
        </w:rPr>
        <w:t>labour</w:t>
      </w:r>
      <w:proofErr w:type="spellEnd"/>
      <w:r w:rsidRPr="00D8166D">
        <w:rPr>
          <w:sz w:val="10"/>
        </w:rPr>
        <w:t xml:space="preserve"> law violations distort competition in ways that negatively affect trade. Moreover, the combined conditionality of ‘sustained or recurring course of action’ sets a high requirement that worker groups and unions might not be able to prove or reach. Overall, these recommendations can prevent possibilities of interpretations that have adverse effects on the welfare of the workers and instead </w:t>
      </w:r>
      <w:proofErr w:type="spellStart"/>
      <w:r w:rsidRPr="00D8166D">
        <w:rPr>
          <w:sz w:val="10"/>
        </w:rPr>
        <w:t>prioritise</w:t>
      </w:r>
      <w:proofErr w:type="spellEnd"/>
      <w:r w:rsidRPr="00D8166D">
        <w:rPr>
          <w:sz w:val="10"/>
        </w:rPr>
        <w:t xml:space="preserve"> </w:t>
      </w:r>
      <w:proofErr w:type="spellStart"/>
      <w:r w:rsidRPr="00D8166D">
        <w:rPr>
          <w:sz w:val="10"/>
        </w:rPr>
        <w:t>labour</w:t>
      </w:r>
      <w:proofErr w:type="spellEnd"/>
      <w:r w:rsidRPr="00D8166D">
        <w:rPr>
          <w:sz w:val="10"/>
        </w:rPr>
        <w:t xml:space="preserve"> rights-based considerations. 13.3.3 Enforcement Mechanisms A main criticism of </w:t>
      </w:r>
      <w:proofErr w:type="spellStart"/>
      <w:r w:rsidRPr="00D8166D">
        <w:rPr>
          <w:sz w:val="10"/>
        </w:rPr>
        <w:t>labour</w:t>
      </w:r>
      <w:proofErr w:type="spellEnd"/>
      <w:r w:rsidRPr="00D8166D">
        <w:rPr>
          <w:sz w:val="10"/>
        </w:rPr>
        <w:t xml:space="preserve"> provisions in PTAs is that even if they are included in the agreement, enforcement is weak. Using the USMCA’s enforcement mechanisms as the current gold standard, we make three broad recommendations on how enforcement can be strengthened in future PTAs to fully unlock the potential of these provisions that have been painstakingly negotiated and advocated for. 13.3.3.1 USMCA’s Rapid Response Mechanism When contemplating novel enforcement mechanisms in PTAs for the future, parties ought to look at the USMCA, since its enforcement mechanisms have been praised as a ‘significant innovation’ (</w:t>
      </w:r>
      <w:proofErr w:type="spellStart"/>
      <w:r w:rsidRPr="00D8166D">
        <w:rPr>
          <w:sz w:val="10"/>
        </w:rPr>
        <w:t>Corvaglia</w:t>
      </w:r>
      <w:proofErr w:type="spellEnd"/>
      <w:r w:rsidRPr="00D8166D">
        <w:rPr>
          <w:sz w:val="10"/>
        </w:rPr>
        <w:t xml:space="preserve"> Reference Corvaglia2021: 664) and as ‘forging a path toward a third generation’ (Polaski et al. Reference Polaski, Nolan Garcia, Rioux, Gagne and Rioux2022: 149) of enforcement possibilities for </w:t>
      </w:r>
      <w:proofErr w:type="spellStart"/>
      <w:r w:rsidRPr="00D8166D">
        <w:rPr>
          <w:sz w:val="10"/>
        </w:rPr>
        <w:t>labour</w:t>
      </w:r>
      <w:proofErr w:type="spellEnd"/>
      <w:r w:rsidRPr="00D8166D">
        <w:rPr>
          <w:sz w:val="10"/>
        </w:rPr>
        <w:t xml:space="preserve"> provisions. While the USMCA will serve as the baseline, we will provide additional ideas and concepts regarding the enforcement of </w:t>
      </w:r>
      <w:proofErr w:type="spellStart"/>
      <w:r w:rsidRPr="00D8166D">
        <w:rPr>
          <w:sz w:val="10"/>
        </w:rPr>
        <w:t>labour</w:t>
      </w:r>
      <w:proofErr w:type="spellEnd"/>
      <w:r w:rsidRPr="00D8166D">
        <w:rPr>
          <w:sz w:val="10"/>
        </w:rPr>
        <w:t xml:space="preserve"> provisions in PTAs. The enforcement regime of the USMCA’s </w:t>
      </w:r>
      <w:proofErr w:type="spellStart"/>
      <w:r w:rsidRPr="00D8166D">
        <w:rPr>
          <w:sz w:val="10"/>
        </w:rPr>
        <w:t>labour</w:t>
      </w:r>
      <w:proofErr w:type="spellEnd"/>
      <w:r w:rsidRPr="00D8166D">
        <w:rPr>
          <w:sz w:val="10"/>
        </w:rPr>
        <w:t xml:space="preserve"> chapter consists of three main pillars: first, there is the pre-ratification conditionality regarding worker representation in collective bargaining in Mexico (Annex 23-A USMCA). It focuses on domestic provision of collective bargaining rights in Mexico and the establishment of independent entities and courts for the registration of unions and the adjudication of </w:t>
      </w:r>
      <w:proofErr w:type="spellStart"/>
      <w:r w:rsidRPr="00D8166D">
        <w:rPr>
          <w:sz w:val="10"/>
        </w:rPr>
        <w:t>labour</w:t>
      </w:r>
      <w:proofErr w:type="spellEnd"/>
      <w:r w:rsidRPr="00D8166D">
        <w:rPr>
          <w:sz w:val="10"/>
        </w:rPr>
        <w:t xml:space="preserve"> disputes. To ensure compliance with these provisions, the entry into force of the entire PTA was made dependent on the implementation of such legislation by Mexico (Annex 23.A (3.) USMCA). The US has regularly made use of its bargaining leverage to push for </w:t>
      </w:r>
      <w:proofErr w:type="spellStart"/>
      <w:r w:rsidRPr="00D8166D">
        <w:rPr>
          <w:sz w:val="10"/>
        </w:rPr>
        <w:t>labour</w:t>
      </w:r>
      <w:proofErr w:type="spellEnd"/>
      <w:r w:rsidRPr="00D8166D">
        <w:rPr>
          <w:sz w:val="10"/>
        </w:rPr>
        <w:t xml:space="preserve"> reforms by inserting such preconditions into its PTAs. The second pillar addresses the effectiveness of collective bargaining rights in Mexico after the ratification of the PTA by establishing an innovative adjudicatory mechanism called ‘Facility-Specific Rapid Response </w:t>
      </w:r>
      <w:proofErr w:type="spellStart"/>
      <w:r w:rsidRPr="00D8166D">
        <w:rPr>
          <w:sz w:val="10"/>
        </w:rPr>
        <w:t>Labour</w:t>
      </w:r>
      <w:proofErr w:type="spellEnd"/>
      <w:r w:rsidRPr="00D8166D">
        <w:rPr>
          <w:sz w:val="10"/>
        </w:rPr>
        <w:t xml:space="preserve"> Mechanism’ (hereinafter: ‘RRM’). The mechanism applies whenever a party believes that ‘workers at a Covered Facility are being denied the right of free association and collective bargaining’ (Article 31-A.2 USMCA). Thus, while the parties to these disputes are still the respective countries, it is specific to a particular denial of rights at a specific facility. After an on-site review by the respondent party of whether a denial of rights exists, the complainant party may request the establishment of a panel if an agreement on the matter cannot be reached. The short duration of the procedure is where </w:t>
      </w:r>
      <w:proofErr w:type="gramStart"/>
      <w:r w:rsidRPr="00D8166D">
        <w:rPr>
          <w:sz w:val="10"/>
        </w:rPr>
        <w:t>a first</w:t>
      </w:r>
      <w:proofErr w:type="gramEnd"/>
      <w:r w:rsidRPr="00D8166D">
        <w:rPr>
          <w:sz w:val="10"/>
        </w:rPr>
        <w:t xml:space="preserve"> advantage of the RRM lies: it can be expected to last only 120 days from the initial request for a review to the implementation of a remedy (Claussen Reference Claussen, Elsig, Polanco and Van Den Bossche2021: 356). In all five occasions in which the RRM has been used so far, an agreement was found after around two months without the need to establish a panel. The second major innovation can be seen in the facility specificity of not only the investigation of the denial of rights, but also the remedies provided by Article 31-A.10 (2.) USMCA. These remedies include the suspension of preferential tariff treatment or the imposition of penalties specifically against the goods from a particular factory found guilty of the denial of rights. Third, in addition to the settlement of disputes concerning the denial of rights via the RRM, the USMCA also features a traditional dispute settlement mechanism under which all </w:t>
      </w:r>
      <w:proofErr w:type="spellStart"/>
      <w:r w:rsidRPr="00D8166D">
        <w:rPr>
          <w:sz w:val="10"/>
        </w:rPr>
        <w:t>labour</w:t>
      </w:r>
      <w:proofErr w:type="spellEnd"/>
      <w:r w:rsidRPr="00D8166D">
        <w:rPr>
          <w:sz w:val="10"/>
        </w:rPr>
        <w:t xml:space="preserve"> disputes not concerning the denial of collective bargaining rights are adjudicated (Article 31.2 USMCA). Clearly, this approach also has a few drawbacks of its own. First, there is the issue of extraterritorial application and enforcement of domestic law, which results in the loss of sovereignty for the contracting party; we address this issue in our recommendation for the dispute settlement mechanism below. Second, it is evident that the further apart working conditions and domestic </w:t>
      </w:r>
      <w:proofErr w:type="spellStart"/>
      <w:r w:rsidRPr="00D8166D">
        <w:rPr>
          <w:sz w:val="10"/>
        </w:rPr>
        <w:t>labour</w:t>
      </w:r>
      <w:proofErr w:type="spellEnd"/>
      <w:r w:rsidRPr="00D8166D">
        <w:rPr>
          <w:sz w:val="10"/>
        </w:rPr>
        <w:t xml:space="preserve"> laws are for the two (or more) countries under a PTA, the more difficult it will be to implement such a system: for example, the interpretation of collective </w:t>
      </w:r>
      <w:proofErr w:type="spellStart"/>
      <w:r w:rsidRPr="00D8166D">
        <w:rPr>
          <w:sz w:val="10"/>
        </w:rPr>
        <w:t>labour</w:t>
      </w:r>
      <w:proofErr w:type="spellEnd"/>
      <w:r w:rsidRPr="00D8166D">
        <w:rPr>
          <w:sz w:val="10"/>
        </w:rPr>
        <w:t xml:space="preserve"> rights is a concept very specific to Western countries. The implementation of it might work well between the US and Mexico. In a PTA between two countries of the Global South, this might not be as easy. However, we consider the design of the enforcement mechanisms in the USMCA a step in the right direction, especially given that the RRM has been a success, with five cases already having been resolved in the two and a half years since its entry into force. Inspired by this, we suggest that enforcement in future PTAs should focus on the three aspects explained in more detail below. 13.3.3.2 Targeted Sanctions One of the main innovations of the RRM is the implementation of sanctions targeted at specific worksites. We consider this facility </w:t>
      </w:r>
      <w:proofErr w:type="gramStart"/>
      <w:r w:rsidRPr="00D8166D">
        <w:rPr>
          <w:sz w:val="10"/>
        </w:rPr>
        <w:t>specificity</w:t>
      </w:r>
      <w:proofErr w:type="gramEnd"/>
      <w:r w:rsidRPr="00D8166D">
        <w:rPr>
          <w:sz w:val="10"/>
        </w:rPr>
        <w:t xml:space="preserve"> a step in the right direction and a necessity for future PTAs for two different reasons. First, it increases accountability on </w:t>
      </w:r>
      <w:proofErr w:type="gramStart"/>
      <w:r w:rsidRPr="00D8166D">
        <w:rPr>
          <w:sz w:val="10"/>
        </w:rPr>
        <w:t>a company</w:t>
      </w:r>
      <w:proofErr w:type="gramEnd"/>
      <w:r w:rsidRPr="00D8166D">
        <w:rPr>
          <w:sz w:val="10"/>
        </w:rPr>
        <w:t xml:space="preserve"> level. Companies that do not comply with </w:t>
      </w:r>
      <w:proofErr w:type="spellStart"/>
      <w:r w:rsidRPr="00D8166D">
        <w:rPr>
          <w:sz w:val="10"/>
        </w:rPr>
        <w:t>labour</w:t>
      </w:r>
      <w:proofErr w:type="spellEnd"/>
      <w:r w:rsidRPr="00D8166D">
        <w:rPr>
          <w:sz w:val="10"/>
        </w:rPr>
        <w:t xml:space="preserve"> rights will see their goods being charged additionally and hence sustain a disadvantage with respect to their law-abiding competitors. This should serve as a deterrent against violations. Second, since preferential tariff rates keep being applied on goods from other facilities, trade flows are not hampered the same way they would be if these higher tariff rates were applied to an entire sector or even additional sectors as well. With the negative effect on the most vulnerable stakeholders being the main point of criticism against the traditional sanction mechanisms (Orbie Reference Orbie2021: 200), targeted sanctions would be much more effective. However, there are certain aspects that need to be considered when designing targeted sanctions for future PTAs. First, such enforcement schemes would have to make sure that companies in the territory of all </w:t>
      </w:r>
      <w:proofErr w:type="gramStart"/>
      <w:r w:rsidRPr="00D8166D">
        <w:rPr>
          <w:sz w:val="10"/>
        </w:rPr>
        <w:t>parties</w:t>
      </w:r>
      <w:proofErr w:type="gramEnd"/>
      <w:r w:rsidRPr="00D8166D">
        <w:rPr>
          <w:sz w:val="10"/>
        </w:rPr>
        <w:t xml:space="preserve"> face enforcement in case of a denial of rights at their facility. Under the USMCA, limiting the scope of possible action under the RRM concerning facilities in the US (</w:t>
      </w:r>
      <w:proofErr w:type="spellStart"/>
      <w:r w:rsidRPr="00D8166D">
        <w:rPr>
          <w:sz w:val="10"/>
        </w:rPr>
        <w:t>LeClercq</w:t>
      </w:r>
      <w:proofErr w:type="spellEnd"/>
      <w:r w:rsidRPr="00D8166D">
        <w:rPr>
          <w:sz w:val="10"/>
        </w:rPr>
        <w:t xml:space="preserve"> Reference Leclercq2021) has led to a very one-sided application so far. Second, due process rights for affected companies must be guaranteed. This is not an easy undertaking, since a lot of cases are solved on a political level before the establishment of an independent panel. However, not </w:t>
      </w:r>
      <w:proofErr w:type="gramStart"/>
      <w:r w:rsidRPr="00D8166D">
        <w:rPr>
          <w:sz w:val="10"/>
        </w:rPr>
        <w:t>only panel decisions</w:t>
      </w:r>
      <w:proofErr w:type="gramEnd"/>
      <w:r w:rsidRPr="00D8166D">
        <w:rPr>
          <w:sz w:val="10"/>
        </w:rPr>
        <w:t xml:space="preserve"> have to be open for judicial review, but there is also a need to give companies the possibility to challenge the legality of the actions of state actors in the context of their accusations. 13.3.3.3 Private Arbitration A concept that has already been proposed by other scholars but has faced criticism due to political feasibility concerns (Claussen Reference Claussen, Elsig, Polanco and Van Den Bossche2021: 366) is the establishment of mixed arbitration for dispute settlement concerning </w:t>
      </w:r>
      <w:proofErr w:type="spellStart"/>
      <w:r w:rsidRPr="00D8166D">
        <w:rPr>
          <w:sz w:val="10"/>
        </w:rPr>
        <w:t>labour</w:t>
      </w:r>
      <w:proofErr w:type="spellEnd"/>
      <w:r w:rsidRPr="00D8166D">
        <w:rPr>
          <w:sz w:val="10"/>
        </w:rPr>
        <w:t xml:space="preserve"> rights issues. The idea would be to have an adjudicative body comparable to an investor–state arbitration tribunal where trade unions, NGOs, or even individuals could make claims regarding the violation of </w:t>
      </w:r>
      <w:proofErr w:type="spellStart"/>
      <w:r w:rsidRPr="00D8166D">
        <w:rPr>
          <w:sz w:val="10"/>
        </w:rPr>
        <w:t>labour</w:t>
      </w:r>
      <w:proofErr w:type="spellEnd"/>
      <w:r w:rsidRPr="00D8166D">
        <w:rPr>
          <w:sz w:val="10"/>
        </w:rPr>
        <w:t xml:space="preserve"> rights in the PTA. Such an advancement would be paramount for the enforcement potential of </w:t>
      </w:r>
      <w:proofErr w:type="spellStart"/>
      <w:r w:rsidRPr="00D8166D">
        <w:rPr>
          <w:sz w:val="10"/>
        </w:rPr>
        <w:t>labour</w:t>
      </w:r>
      <w:proofErr w:type="spellEnd"/>
      <w:r w:rsidRPr="00D8166D">
        <w:rPr>
          <w:sz w:val="10"/>
        </w:rPr>
        <w:t xml:space="preserve"> chapters, as various scholars have attributed their underperformance to the lack of non-governmental actors involved (Gött Reference Gött, </w:t>
      </w:r>
      <w:proofErr w:type="spellStart"/>
      <w:r w:rsidRPr="00D8166D">
        <w:rPr>
          <w:sz w:val="10"/>
        </w:rPr>
        <w:t>Bungenberg</w:t>
      </w:r>
      <w:proofErr w:type="spellEnd"/>
      <w:r w:rsidRPr="00D8166D">
        <w:rPr>
          <w:sz w:val="10"/>
        </w:rPr>
        <w:t xml:space="preserve">, Krajewski, Tams, </w:t>
      </w:r>
      <w:proofErr w:type="spellStart"/>
      <w:r w:rsidRPr="00D8166D">
        <w:rPr>
          <w:sz w:val="10"/>
        </w:rPr>
        <w:t>Terhechte</w:t>
      </w:r>
      <w:proofErr w:type="spellEnd"/>
      <w:r w:rsidRPr="00D8166D">
        <w:rPr>
          <w:sz w:val="10"/>
        </w:rPr>
        <w:t xml:space="preserve"> and Ziegler2020: 151; </w:t>
      </w:r>
      <w:proofErr w:type="spellStart"/>
      <w:r w:rsidRPr="00D8166D">
        <w:rPr>
          <w:sz w:val="10"/>
        </w:rPr>
        <w:t>Dombois</w:t>
      </w:r>
      <w:proofErr w:type="spellEnd"/>
      <w:r w:rsidRPr="00D8166D">
        <w:rPr>
          <w:sz w:val="10"/>
        </w:rPr>
        <w:t xml:space="preserve"> et al. Reference </w:t>
      </w:r>
      <w:proofErr w:type="spellStart"/>
      <w:r w:rsidRPr="00D8166D">
        <w:rPr>
          <w:sz w:val="10"/>
        </w:rPr>
        <w:t>Dombois</w:t>
      </w:r>
      <w:proofErr w:type="spellEnd"/>
      <w:r w:rsidRPr="00D8166D">
        <w:rPr>
          <w:sz w:val="10"/>
        </w:rPr>
        <w:t xml:space="preserve">, Hornberger and Winter2004: 267, Kolben Reference Kolben2017). An independent panel made up of </w:t>
      </w:r>
      <w:proofErr w:type="spellStart"/>
      <w:r w:rsidRPr="00D8166D">
        <w:rPr>
          <w:sz w:val="10"/>
        </w:rPr>
        <w:t>labour</w:t>
      </w:r>
      <w:proofErr w:type="spellEnd"/>
      <w:r w:rsidRPr="00D8166D">
        <w:rPr>
          <w:sz w:val="10"/>
        </w:rPr>
        <w:t xml:space="preserve"> experts could review the claim and issue a decision, including its reasoning. With more cases being brought forward by trade unions and NGOs, panels could – taking into consideration the input of the ILO and its experts – develop lines of jurisprudence and thus breathe life into the often rather vaguely phrased </w:t>
      </w:r>
      <w:proofErr w:type="spellStart"/>
      <w:r w:rsidRPr="00D8166D">
        <w:rPr>
          <w:sz w:val="10"/>
        </w:rPr>
        <w:t>labour</w:t>
      </w:r>
      <w:proofErr w:type="spellEnd"/>
      <w:r w:rsidRPr="00D8166D">
        <w:rPr>
          <w:sz w:val="10"/>
        </w:rPr>
        <w:t xml:space="preserve"> provisions in PTAs. Admittedly, this would mark a huge shift in the approach taken towards enforcing PTA provisions and countries are wary of giving away even the slightest degree of sovereignty when it comes to PTAs. This could be countered by leaving the enforcement action in the hands of the parties. If a company violating </w:t>
      </w:r>
      <w:proofErr w:type="spellStart"/>
      <w:r w:rsidRPr="00D8166D">
        <w:rPr>
          <w:sz w:val="10"/>
        </w:rPr>
        <w:t>labour</w:t>
      </w:r>
      <w:proofErr w:type="spellEnd"/>
      <w:r w:rsidRPr="00D8166D">
        <w:rPr>
          <w:sz w:val="10"/>
        </w:rPr>
        <w:t xml:space="preserve"> rights were to receive a monetary fine instead of the suspension of tariff benefits, the party where said company is located would be competent to enforce this fine. This approach would include all the above-mentioned benefits while leaving the ultimate say to the parties of the PTA. Moreover, it could foster the legitimacy of PTAs and increase public approval, which in times of increased </w:t>
      </w:r>
      <w:proofErr w:type="spellStart"/>
      <w:r w:rsidRPr="00D8166D">
        <w:rPr>
          <w:sz w:val="10"/>
        </w:rPr>
        <w:t>scepticism</w:t>
      </w:r>
      <w:proofErr w:type="spellEnd"/>
      <w:r w:rsidRPr="00D8166D">
        <w:rPr>
          <w:sz w:val="10"/>
        </w:rPr>
        <w:t xml:space="preserve"> towards free trade and calls for </w:t>
      </w:r>
      <w:proofErr w:type="spellStart"/>
      <w:r w:rsidRPr="00D8166D">
        <w:rPr>
          <w:sz w:val="10"/>
        </w:rPr>
        <w:t>deglobalisation</w:t>
      </w:r>
      <w:proofErr w:type="spellEnd"/>
      <w:r w:rsidRPr="00D8166D">
        <w:rPr>
          <w:sz w:val="10"/>
        </w:rPr>
        <w:t xml:space="preserve"> could become a good hard to come by. Another possible solution to assuage fears over loss of sovereignty is to implement the so-called pyramid model proposed by Kolben (Reference Kolben2007: 248). In such a model, an overall council </w:t>
      </w:r>
      <w:proofErr w:type="spellStart"/>
      <w:r w:rsidRPr="00D8166D">
        <w:rPr>
          <w:sz w:val="10"/>
        </w:rPr>
        <w:t>organises</w:t>
      </w:r>
      <w:proofErr w:type="spellEnd"/>
      <w:r w:rsidRPr="00D8166D">
        <w:rPr>
          <w:sz w:val="10"/>
        </w:rPr>
        <w:t xml:space="preserve"> numerous local-level councils built of stakeholders who can shape how the standards in a </w:t>
      </w:r>
      <w:proofErr w:type="spellStart"/>
      <w:r w:rsidRPr="00D8166D">
        <w:rPr>
          <w:sz w:val="10"/>
        </w:rPr>
        <w:t>labour</w:t>
      </w:r>
      <w:proofErr w:type="spellEnd"/>
      <w:r w:rsidRPr="00D8166D">
        <w:rPr>
          <w:sz w:val="10"/>
        </w:rPr>
        <w:t xml:space="preserve"> provision are implemented and can monitor compliance, making information available regarding plants’ compliance (or lack thereof). This model would function similarly to Better Factories in Cambodia, which has received positive feedback regarding its effectiveness at improving working conditions as a result of included and empowered local actors. 13.3.3.4 Certification System An idea we consider worth exploring is the inclusion of a certification system for factories and companies that adhere to certain </w:t>
      </w:r>
      <w:proofErr w:type="spellStart"/>
      <w:r w:rsidRPr="00D8166D">
        <w:rPr>
          <w:sz w:val="10"/>
        </w:rPr>
        <w:t>labour</w:t>
      </w:r>
      <w:proofErr w:type="spellEnd"/>
      <w:r w:rsidRPr="00D8166D">
        <w:rPr>
          <w:sz w:val="10"/>
        </w:rPr>
        <w:t xml:space="preserve"> standards. For that matter, we take inspiration from the European Free Trade Association (EFTA)–Indonesia Comprehensive Economic Partnership Agreement (CEPA): in its Annex V, Switzerland limits preferential tariff treatment for palm oil conditional on meeting the sustainability objectives as set out in Article 8.10 in the main text of the PTA, which requires parties inter alia to ‘ensure that [palm oil] traded between the Parties [is] produced in accordance with the sustainability objectives referred to in subparagraph (a)’. Switzerland implemented this provision by enacting the so-called palm oil regulation, pursuant to which only palm oil certified under an approved certification system (Article 3 of the palm oil regulation) enjoys preferential tariff treatment. If this is possible for certified palm oil, why would it not be possible for goods produced at a certified worksite? Admittedly, the search for an effective common certification standard might pose its challenges. However, given such certification systems might become a standard in future PTAs, even the involvement of the ILO together with existing private initiatives is conceivable. As for the compatibility of such preferential tariff schemes in PTAs with WTO law, research suggests that it is not whether tariff differentiation based exclusively on production and process methods (PPMs) violated WTO law per se, but rather how such a scheme is designed (</w:t>
      </w:r>
      <w:proofErr w:type="spellStart"/>
      <w:r w:rsidRPr="00D8166D">
        <w:rPr>
          <w:sz w:val="10"/>
        </w:rPr>
        <w:t>Bürgi</w:t>
      </w:r>
      <w:proofErr w:type="spellEnd"/>
      <w:r w:rsidRPr="00D8166D">
        <w:rPr>
          <w:sz w:val="10"/>
        </w:rPr>
        <w:t xml:space="preserve"> </w:t>
      </w:r>
      <w:proofErr w:type="spellStart"/>
      <w:r w:rsidRPr="00D8166D">
        <w:rPr>
          <w:sz w:val="10"/>
        </w:rPr>
        <w:t>Bonanomi</w:t>
      </w:r>
      <w:proofErr w:type="spellEnd"/>
      <w:r w:rsidRPr="00D8166D">
        <w:rPr>
          <w:sz w:val="10"/>
        </w:rPr>
        <w:t xml:space="preserve"> Reference </w:t>
      </w:r>
      <w:proofErr w:type="spellStart"/>
      <w:r w:rsidRPr="00D8166D">
        <w:rPr>
          <w:sz w:val="10"/>
        </w:rPr>
        <w:t>Bürgi</w:t>
      </w:r>
      <w:proofErr w:type="spellEnd"/>
      <w:r w:rsidRPr="00D8166D">
        <w:rPr>
          <w:sz w:val="10"/>
        </w:rPr>
        <w:t xml:space="preserve"> </w:t>
      </w:r>
      <w:proofErr w:type="spellStart"/>
      <w:r w:rsidRPr="00D8166D">
        <w:rPr>
          <w:sz w:val="10"/>
        </w:rPr>
        <w:t>Bonanomi</w:t>
      </w:r>
      <w:proofErr w:type="spellEnd"/>
      <w:r w:rsidRPr="00D8166D">
        <w:rPr>
          <w:sz w:val="10"/>
        </w:rPr>
        <w:t xml:space="preserve">, </w:t>
      </w:r>
      <w:proofErr w:type="spellStart"/>
      <w:r w:rsidRPr="00D8166D">
        <w:rPr>
          <w:sz w:val="10"/>
        </w:rPr>
        <w:t>Bungenberg</w:t>
      </w:r>
      <w:proofErr w:type="spellEnd"/>
      <w:r w:rsidRPr="00D8166D">
        <w:rPr>
          <w:sz w:val="10"/>
        </w:rPr>
        <w:t xml:space="preserve">, Krajewski, Tams, </w:t>
      </w:r>
      <w:proofErr w:type="spellStart"/>
      <w:r w:rsidRPr="00D8166D">
        <w:rPr>
          <w:sz w:val="10"/>
        </w:rPr>
        <w:t>Terhechte</w:t>
      </w:r>
      <w:proofErr w:type="spellEnd"/>
      <w:r w:rsidRPr="00D8166D">
        <w:rPr>
          <w:sz w:val="10"/>
        </w:rPr>
        <w:t xml:space="preserve"> and Ziegler2021: 373). 13.4 Conclusions To conclude, there is no ‘one </w:t>
      </w:r>
      <w:proofErr w:type="gramStart"/>
      <w:r w:rsidRPr="00D8166D">
        <w:rPr>
          <w:sz w:val="10"/>
        </w:rPr>
        <w:t>size</w:t>
      </w:r>
      <w:proofErr w:type="gramEnd"/>
      <w:r w:rsidRPr="00D8166D">
        <w:rPr>
          <w:sz w:val="10"/>
        </w:rPr>
        <w:t xml:space="preserve"> fits all’ in terms of </w:t>
      </w:r>
      <w:proofErr w:type="spellStart"/>
      <w:r w:rsidRPr="00D8166D">
        <w:rPr>
          <w:sz w:val="10"/>
        </w:rPr>
        <w:t>labour</w:t>
      </w:r>
      <w:proofErr w:type="spellEnd"/>
      <w:r w:rsidRPr="00D8166D">
        <w:rPr>
          <w:sz w:val="10"/>
        </w:rPr>
        <w:t xml:space="preserve"> provisions. Countries must consider domestic capacities of their partner countries and widen the engagement of stakeholders when conceiving a </w:t>
      </w:r>
      <w:proofErr w:type="spellStart"/>
      <w:r w:rsidRPr="00D8166D">
        <w:rPr>
          <w:sz w:val="10"/>
        </w:rPr>
        <w:t>labour</w:t>
      </w:r>
      <w:proofErr w:type="spellEnd"/>
      <w:r w:rsidRPr="00D8166D">
        <w:rPr>
          <w:sz w:val="10"/>
        </w:rPr>
        <w:t xml:space="preserve"> chapter in a PTA. There currently exist some templates of </w:t>
      </w:r>
      <w:proofErr w:type="spellStart"/>
      <w:r w:rsidRPr="00D8166D">
        <w:rPr>
          <w:sz w:val="10"/>
        </w:rPr>
        <w:t>labour</w:t>
      </w:r>
      <w:proofErr w:type="spellEnd"/>
      <w:r w:rsidRPr="00D8166D">
        <w:rPr>
          <w:sz w:val="10"/>
        </w:rPr>
        <w:t xml:space="preserve"> chapters, which we loosely classify into managerial and enforcement approaches. The first part of this chapter </w:t>
      </w:r>
      <w:proofErr w:type="gramStart"/>
      <w:r w:rsidRPr="00D8166D">
        <w:rPr>
          <w:sz w:val="10"/>
        </w:rPr>
        <w:t>has outlined</w:t>
      </w:r>
      <w:proofErr w:type="gramEnd"/>
      <w:r w:rsidRPr="00D8166D">
        <w:rPr>
          <w:sz w:val="10"/>
        </w:rPr>
        <w:t xml:space="preserve"> the successes and failures of both these models, and the latter part includes some key recommendations on the design, enforcement, and compliance of </w:t>
      </w:r>
      <w:proofErr w:type="spellStart"/>
      <w:r w:rsidRPr="00D8166D">
        <w:rPr>
          <w:sz w:val="10"/>
        </w:rPr>
        <w:t>labour</w:t>
      </w:r>
      <w:proofErr w:type="spellEnd"/>
      <w:r w:rsidRPr="00D8166D">
        <w:rPr>
          <w:sz w:val="10"/>
        </w:rPr>
        <w:t xml:space="preserve"> provisions for the future. On the design of </w:t>
      </w:r>
      <w:proofErr w:type="spellStart"/>
      <w:r w:rsidRPr="00D8166D">
        <w:rPr>
          <w:sz w:val="10"/>
        </w:rPr>
        <w:t>labour</w:t>
      </w:r>
      <w:proofErr w:type="spellEnd"/>
      <w:r w:rsidRPr="00D8166D">
        <w:rPr>
          <w:sz w:val="10"/>
        </w:rPr>
        <w:t xml:space="preserve"> provisions in future PTAs, we generally recommend continuing the current practice of using internationally </w:t>
      </w:r>
      <w:proofErr w:type="spellStart"/>
      <w:r w:rsidRPr="00D8166D">
        <w:rPr>
          <w:sz w:val="10"/>
        </w:rPr>
        <w:t>recognised</w:t>
      </w:r>
      <w:proofErr w:type="spellEnd"/>
      <w:r w:rsidRPr="00D8166D">
        <w:rPr>
          <w:sz w:val="10"/>
        </w:rPr>
        <w:t xml:space="preserve"> standards by the ILO. However, keeping in mind the domestic capacity gap of certain developing countries, we recommend that standards be determined on a case-by-case basis, which encourages flexibility in adopting some domestic standards as well, to account for the particularities of certain countries. This is also a good way to avoid sentiments of </w:t>
      </w:r>
      <w:proofErr w:type="spellStart"/>
      <w:r w:rsidRPr="00D8166D">
        <w:rPr>
          <w:sz w:val="10"/>
        </w:rPr>
        <w:t>labour</w:t>
      </w:r>
      <w:proofErr w:type="spellEnd"/>
      <w:r w:rsidRPr="00D8166D">
        <w:rPr>
          <w:sz w:val="10"/>
        </w:rPr>
        <w:t xml:space="preserve"> provisions being viewed as neocolonial by developing countries, especially if done in a consultative manner between negotiating parties, with stakeholder representation including unions, activists, and members of the civil society. Considerations regarding domestic capacity and stage-of-development must be balanced with the ultimate goal of mediating </w:t>
      </w:r>
      <w:proofErr w:type="spellStart"/>
      <w:r w:rsidRPr="00D8166D">
        <w:rPr>
          <w:sz w:val="10"/>
        </w:rPr>
        <w:t>labour</w:t>
      </w:r>
      <w:proofErr w:type="spellEnd"/>
      <w:r w:rsidRPr="00D8166D">
        <w:rPr>
          <w:sz w:val="10"/>
        </w:rPr>
        <w:t xml:space="preserve"> abuses and accounting for the preferences of </w:t>
      </w:r>
      <w:proofErr w:type="spellStart"/>
      <w:r w:rsidRPr="00D8166D">
        <w:rPr>
          <w:sz w:val="10"/>
        </w:rPr>
        <w:t>labour</w:t>
      </w:r>
      <w:proofErr w:type="spellEnd"/>
      <w:r w:rsidRPr="00D8166D">
        <w:rPr>
          <w:sz w:val="10"/>
        </w:rPr>
        <w:t xml:space="preserve"> and civil society groups. Expanding the types of </w:t>
      </w:r>
      <w:proofErr w:type="spellStart"/>
      <w:r w:rsidRPr="00D8166D">
        <w:rPr>
          <w:sz w:val="10"/>
        </w:rPr>
        <w:t>labour</w:t>
      </w:r>
      <w:proofErr w:type="spellEnd"/>
      <w:r w:rsidRPr="00D8166D">
        <w:rPr>
          <w:sz w:val="10"/>
        </w:rPr>
        <w:t xml:space="preserve"> rights incorporated in PTAs can help ensure that trade-related economic development is sustainable and equitable and that </w:t>
      </w:r>
      <w:proofErr w:type="spellStart"/>
      <w:r w:rsidRPr="00D8166D">
        <w:rPr>
          <w:sz w:val="10"/>
        </w:rPr>
        <w:t>labour</w:t>
      </w:r>
      <w:proofErr w:type="spellEnd"/>
      <w:r w:rsidRPr="00D8166D">
        <w:rPr>
          <w:sz w:val="10"/>
        </w:rPr>
        <w:t xml:space="preserve"> provisions are more effective. Additionally, we recommend reforming the language regarding ‘manner affecting trade’, which is prevalent, especially in US-led </w:t>
      </w:r>
      <w:proofErr w:type="spellStart"/>
      <w:r w:rsidRPr="00D8166D">
        <w:rPr>
          <w:sz w:val="10"/>
        </w:rPr>
        <w:t>labour</w:t>
      </w:r>
      <w:proofErr w:type="spellEnd"/>
      <w:r w:rsidRPr="00D8166D">
        <w:rPr>
          <w:sz w:val="10"/>
        </w:rPr>
        <w:t xml:space="preserve"> chapters. There is a need to adapt new templates and language that embody higher levels of </w:t>
      </w:r>
      <w:proofErr w:type="spellStart"/>
      <w:r w:rsidRPr="00D8166D">
        <w:rPr>
          <w:sz w:val="10"/>
        </w:rPr>
        <w:t>legalisation</w:t>
      </w:r>
      <w:proofErr w:type="spellEnd"/>
      <w:r w:rsidRPr="00D8166D">
        <w:rPr>
          <w:sz w:val="10"/>
        </w:rPr>
        <w:t xml:space="preserve"> in the case of disputes. This will confine room for interpretation and make disputes fairly straightforward to adjudicate. Furthermore, future </w:t>
      </w:r>
      <w:proofErr w:type="spellStart"/>
      <w:r w:rsidRPr="00D8166D">
        <w:rPr>
          <w:sz w:val="10"/>
        </w:rPr>
        <w:t>labour</w:t>
      </w:r>
      <w:proofErr w:type="spellEnd"/>
      <w:r w:rsidRPr="00D8166D">
        <w:rPr>
          <w:sz w:val="10"/>
        </w:rPr>
        <w:t xml:space="preserve"> provisions in PTAs need to eschew this embeddedness of </w:t>
      </w:r>
      <w:proofErr w:type="spellStart"/>
      <w:r w:rsidRPr="00D8166D">
        <w:rPr>
          <w:sz w:val="10"/>
        </w:rPr>
        <w:t>labour</w:t>
      </w:r>
      <w:proofErr w:type="spellEnd"/>
      <w:r w:rsidRPr="00D8166D">
        <w:rPr>
          <w:sz w:val="10"/>
        </w:rPr>
        <w:t xml:space="preserve"> violations being considered only when they affect a traded sector. To maintain high standards in </w:t>
      </w:r>
      <w:proofErr w:type="spellStart"/>
      <w:r w:rsidRPr="00D8166D">
        <w:rPr>
          <w:sz w:val="10"/>
        </w:rPr>
        <w:t>labour</w:t>
      </w:r>
      <w:proofErr w:type="spellEnd"/>
      <w:r w:rsidRPr="00D8166D">
        <w:rPr>
          <w:sz w:val="10"/>
        </w:rPr>
        <w:t xml:space="preserve">, worker’s rights should be a standalone issue, regardless of whether violations substantially impact trade flows or not. As for enforcement mechanisms, we think that the RRM in the USMCA displays a substantial step forward and will be copied into future PTAs. However, there needs to be higher ambition on the enforcement front. Whereas trade sanctions targeted at specific facilities limit the disturbance of trade flows and increase accountability for firms, we also pointed out several flaws of the RRM that will need to be addressed in future PTA negotiations. The inclusion of private arbitration mechanisms </w:t>
      </w:r>
      <w:proofErr w:type="gramStart"/>
      <w:r w:rsidRPr="00D8166D">
        <w:rPr>
          <w:sz w:val="10"/>
        </w:rPr>
        <w:t>providing for a</w:t>
      </w:r>
      <w:proofErr w:type="gramEnd"/>
      <w:r w:rsidRPr="00D8166D">
        <w:rPr>
          <w:sz w:val="10"/>
        </w:rPr>
        <w:t xml:space="preserve"> direct access for civil society </w:t>
      </w:r>
      <w:proofErr w:type="spellStart"/>
      <w:r w:rsidRPr="00D8166D">
        <w:rPr>
          <w:sz w:val="10"/>
        </w:rPr>
        <w:t>organisations</w:t>
      </w:r>
      <w:proofErr w:type="spellEnd"/>
      <w:r w:rsidRPr="00D8166D">
        <w:rPr>
          <w:sz w:val="10"/>
        </w:rPr>
        <w:t xml:space="preserve"> to dispute settlement, as well as the implementation of a certification system could help enhance the effectiveness of future </w:t>
      </w:r>
      <w:proofErr w:type="spellStart"/>
      <w:r w:rsidRPr="00D8166D">
        <w:rPr>
          <w:sz w:val="10"/>
        </w:rPr>
        <w:t>labour</w:t>
      </w:r>
      <w:proofErr w:type="spellEnd"/>
      <w:r w:rsidRPr="00D8166D">
        <w:rPr>
          <w:sz w:val="10"/>
        </w:rPr>
        <w:t xml:space="preserve"> chapters.</w:t>
      </w:r>
    </w:p>
    <w:p w14:paraId="7EA2852A" w14:textId="77777777" w:rsidR="00BE4681" w:rsidRDefault="00BE4681" w:rsidP="00BE4681">
      <w:pPr>
        <w:pStyle w:val="Heading4"/>
        <w:rPr>
          <w:rFonts w:eastAsia="Times New Roman"/>
        </w:rPr>
      </w:pPr>
      <w:r>
        <w:rPr>
          <w:rFonts w:eastAsia="Times New Roman"/>
        </w:rPr>
        <w:t>Impact-The aff fuels modern day slavery by furthering the race to the bottom through expanding labor law protections.</w:t>
      </w:r>
    </w:p>
    <w:p w14:paraId="3BDB926C" w14:textId="77777777" w:rsidR="00BE4681" w:rsidRPr="00CB65CB" w:rsidRDefault="00BE4681" w:rsidP="00BE4681">
      <w:pPr>
        <w:rPr>
          <w:rStyle w:val="Style13ptBold"/>
        </w:rPr>
      </w:pPr>
      <w:r w:rsidRPr="00CB65CB">
        <w:rPr>
          <w:rStyle w:val="Style13ptBold"/>
          <w:highlight w:val="cyan"/>
        </w:rPr>
        <w:t>Carney</w:t>
      </w:r>
      <w:r w:rsidRPr="00CB65CB">
        <w:rPr>
          <w:rStyle w:val="Style13ptBold"/>
        </w:rPr>
        <w:t>, S. (20</w:t>
      </w:r>
      <w:r w:rsidRPr="00CB65CB">
        <w:rPr>
          <w:rStyle w:val="Style13ptBold"/>
          <w:highlight w:val="cyan"/>
        </w:rPr>
        <w:t>25</w:t>
      </w:r>
      <w:r w:rsidRPr="00CB65CB">
        <w:rPr>
          <w:rStyle w:val="Style13ptBold"/>
        </w:rPr>
        <w:t>, July 28). Modern slavery in global supply chains – GIS Reports. GIS Reports. https://www.gisreportsonline.com/r/modern-slavery-global-supply-chains/</w:t>
      </w:r>
    </w:p>
    <w:p w14:paraId="718CFDF1" w14:textId="77777777" w:rsidR="00BE4681" w:rsidRPr="00D8166D" w:rsidRDefault="00BE4681" w:rsidP="00BE4681">
      <w:pPr>
        <w:rPr>
          <w:sz w:val="10"/>
        </w:rPr>
      </w:pPr>
      <w:r w:rsidRPr="00E119C2">
        <w:rPr>
          <w:rStyle w:val="Emphasis"/>
          <w:highlight w:val="cyan"/>
        </w:rPr>
        <w:t>Forced labor and slavery are behind extremely low prices of imported goods</w:t>
      </w:r>
      <w:r w:rsidRPr="00D8166D">
        <w:rPr>
          <w:sz w:val="10"/>
        </w:rPr>
        <w:t xml:space="preserve"> China is </w:t>
      </w:r>
      <w:r w:rsidRPr="00993EB2">
        <w:rPr>
          <w:rStyle w:val="Emphasis"/>
        </w:rPr>
        <w:t>using slavery to wipe out competition</w:t>
      </w:r>
      <w:r w:rsidRPr="00D8166D">
        <w:rPr>
          <w:sz w:val="10"/>
        </w:rPr>
        <w:t xml:space="preserve"> globally to become a hegemon Consumers can vote with their wallets and say no to slave-made goods For comprehensive insights, tune into our AI-powered podcast here Three days before he died, in July 1833, William Wilberforce was brought news that the House of Commons – to which he had been elected as a member of parliament in 1780 – would enact the Slavery Abolition Act, ending slavery in most of the British Empire. Nearly half a century earlier, in 1787, Wilberforce had met Thomas Clarkson and they created a formidable alliance of abolitionist campaigners – including Hannah More, Charles Middleton, Granville Sharp, John Newton, Henry Thornton and Olaudah Equiano, pitted against huge political and vested interests. Between 1640 and 1807, Britain transported over 3 million Africans as slaves to the Americas and the Caribbean – many died </w:t>
      </w:r>
      <w:proofErr w:type="spellStart"/>
      <w:r w:rsidRPr="00D8166D">
        <w:rPr>
          <w:sz w:val="10"/>
        </w:rPr>
        <w:t>en</w:t>
      </w:r>
      <w:proofErr w:type="spellEnd"/>
      <w:r w:rsidRPr="00D8166D">
        <w:rPr>
          <w:sz w:val="10"/>
        </w:rPr>
        <w:t xml:space="preserve"> route. In 1789, Wilberforce told the House of Commons that he had been so shocked by the evidence he had collected that the trade had to be abolished, it being “so enormous, so dreadful, so irremediable in its wickedness, that my own mind has been completely made up for its abolition. A trade founded in iniquity … must be abolished.” The first great milestone in achieving that objective came in 1807, with the abolition of the transatlantic slave trade. Their work culminated in 1833 with the abolition of slavery in Britain. Upon learning of parliament’s decision to end slavery, as he lay dying, having dedicated his life to the abolition of this iniquity, William Wilberforce said: “I thank God that I have lived to witness it.” Yet Wilberforce spoke too soon. In the 21st century, slavery remains a phenomenon which would surely have him angrily turning in his grave. Depending on the methodology and the definition of enslavement used, the numbers of contemporary people affected worldwide reach as many as 50 million people. People’s lives come cheap when profits come big. The International Labor Organization estimates </w:t>
      </w:r>
      <w:r w:rsidRPr="00E119C2">
        <w:rPr>
          <w:rStyle w:val="Emphasis"/>
          <w:highlight w:val="cyan"/>
        </w:rPr>
        <w:t>40 million people are trapped in modern slavery</w:t>
      </w:r>
      <w:r w:rsidRPr="00D8166D">
        <w:rPr>
          <w:sz w:val="10"/>
        </w:rPr>
        <w:t xml:space="preserve"> – 25 million of those in forced labor (including sexual exploitation and state-imposed forced labor). The term “modern slavery,” by their definition, includes human trafficking, involuntary servitude, debt bondage, forced labor and practices associated with slavery. Although the world has changed since Wilberforce and his friends enacted the abolition of legal ownership of another human being in Great Britain, slavery continues for the same reasons as it did in his day. The crude economic advantages gained by enslavers continue to trump the ethical objections. People’s lives come cheap when profits come big. Professor Kevin Bales of the University of Nottingham says the average modern-day slave “is sold for $90-100 compared to the equivalent of $40,000 some 200 years ago.” Plummeting costs of procurement range from $7 quoted for a </w:t>
      </w:r>
      <w:r w:rsidRPr="00993EB2">
        <w:rPr>
          <w:rStyle w:val="Emphasis"/>
        </w:rPr>
        <w:t>Rohingya refugee</w:t>
      </w:r>
      <w:r w:rsidRPr="00D8166D">
        <w:rPr>
          <w:sz w:val="10"/>
        </w:rPr>
        <w:t xml:space="preserve"> to $750 for a </w:t>
      </w:r>
      <w:r w:rsidRPr="00993EB2">
        <w:rPr>
          <w:rStyle w:val="Emphasis"/>
        </w:rPr>
        <w:t>North Korean “slave wife.”</w:t>
      </w:r>
      <w:r w:rsidRPr="00D8166D">
        <w:rPr>
          <w:sz w:val="10"/>
        </w:rPr>
        <w:t xml:space="preserve"> He cites the treatment of </w:t>
      </w:r>
      <w:r w:rsidRPr="00993EB2">
        <w:rPr>
          <w:rStyle w:val="Emphasis"/>
        </w:rPr>
        <w:t>Nepalese boys sold by their parents</w:t>
      </w:r>
      <w:r w:rsidRPr="00D8166D">
        <w:rPr>
          <w:sz w:val="10"/>
        </w:rPr>
        <w:t xml:space="preserve"> for $5-10 and used to haul rocks, with the price of </w:t>
      </w:r>
      <w:r w:rsidRPr="00E119C2">
        <w:rPr>
          <w:rStyle w:val="Emphasis"/>
          <w:highlight w:val="cyan"/>
        </w:rPr>
        <w:t>children so cheap that their slave master abandons them if they get injured or fall in a ravine</w:t>
      </w:r>
      <w:r w:rsidRPr="00D8166D">
        <w:rPr>
          <w:sz w:val="10"/>
        </w:rPr>
        <w:t xml:space="preserve">: “[I]t’s less expensive to acquire a new child than to call a doctor.” I founded and </w:t>
      </w:r>
      <w:proofErr w:type="gramStart"/>
      <w:r w:rsidRPr="00D8166D">
        <w:rPr>
          <w:sz w:val="10"/>
        </w:rPr>
        <w:t>chair</w:t>
      </w:r>
      <w:proofErr w:type="gramEnd"/>
      <w:r w:rsidRPr="00D8166D">
        <w:rPr>
          <w:sz w:val="10"/>
        </w:rPr>
        <w:t xml:space="preserve"> the All-Party Parliamentary Committee on North Korea, at a meeting of which one escapee, Jihyun Park, described being trafficked to China and spending six years enslaved after being sold for $750 to a farmer who was violent toward her. She told us that thousands of North Korean women were trafficked into forced marriages and sex work as a consequence of the one-child policy in China, which distorted the country’s demographics, leading to 30 million more men than women – and creating the demand and a route for the enslavement of other Asian women. </w:t>
      </w:r>
      <w:r w:rsidRPr="00E119C2">
        <w:rPr>
          <w:rStyle w:val="Emphasis"/>
          <w:highlight w:val="cyan"/>
        </w:rPr>
        <w:t>Modern slavery</w:t>
      </w:r>
      <w:r w:rsidRPr="00D8166D">
        <w:rPr>
          <w:sz w:val="10"/>
        </w:rPr>
        <w:t xml:space="preserve"> can be a consequence of totalitarian dictatorship, but, equally, it can be </w:t>
      </w:r>
      <w:r w:rsidRPr="00E119C2">
        <w:rPr>
          <w:rStyle w:val="Emphasis"/>
          <w:highlight w:val="cyan"/>
        </w:rPr>
        <w:t>a feature of capitalist economies</w:t>
      </w:r>
      <w:r w:rsidRPr="00D8166D">
        <w:rPr>
          <w:sz w:val="10"/>
        </w:rPr>
        <w:t xml:space="preserve">, especially those that have weak governance. </w:t>
      </w:r>
      <w:r w:rsidRPr="00E119C2">
        <w:rPr>
          <w:rStyle w:val="Emphasis"/>
          <w:highlight w:val="cyan"/>
        </w:rPr>
        <w:t>It</w:t>
      </w:r>
      <w:r w:rsidRPr="00E119C2">
        <w:rPr>
          <w:rStyle w:val="Emphasis"/>
        </w:rPr>
        <w:t xml:space="preserve"> </w:t>
      </w:r>
      <w:r w:rsidRPr="00D8166D">
        <w:rPr>
          <w:sz w:val="10"/>
        </w:rPr>
        <w:t xml:space="preserve">is often an attribute of dirt-poor societies which place little value on human dignity – especially when a caste system or easily exploited minority is present. Modern slavery </w:t>
      </w:r>
      <w:r w:rsidRPr="00E119C2">
        <w:rPr>
          <w:rStyle w:val="Emphasis"/>
          <w:highlight w:val="cyan"/>
        </w:rPr>
        <w:t>can be seen in sweatshops, agriculture, mines and factories – producing items for</w:t>
      </w:r>
      <w:r w:rsidRPr="00D8166D">
        <w:rPr>
          <w:sz w:val="10"/>
        </w:rPr>
        <w:t xml:space="preserve"> domestic consumption and far away, </w:t>
      </w:r>
      <w:r w:rsidRPr="00E119C2">
        <w:rPr>
          <w:rStyle w:val="Emphasis"/>
          <w:highlight w:val="cyan"/>
        </w:rPr>
        <w:t>prosperous countries that hide behind legislation and slogans about fair trade</w:t>
      </w:r>
      <w:r w:rsidRPr="00D8166D">
        <w:rPr>
          <w:sz w:val="10"/>
        </w:rPr>
        <w:t>. The exploiters and slavers use a lack of supply-chain transparency to fool consumers into believing that they are choosing an ethically neutral option when they select the “best deals” off the shelves or online. Modern slavery has at its heart the bottom line. It is about profiteering and is rightly considered an economic crime as well as an assault on human dignity. In the United Kingdom parliament, I chair the Joint Committee on Human Rights (JCHR)– comprising six members of the House of Commons and six members from the House of Lords. From work on that committee and other inquiries in parliament, let me give you three examples from the inquiries in which I have been involved over the past year: China, the Democratic Republic of the Congo and Pakistan. China In July the JCHR published its report arising from its inquiry into modern slavery and supply-chain transparency. China was a principal focus of our attention. Witnesses have reminded us that</w:t>
      </w:r>
      <w:r w:rsidRPr="00E119C2">
        <w:rPr>
          <w:rStyle w:val="Emphasis"/>
        </w:rPr>
        <w:t xml:space="preserve"> </w:t>
      </w:r>
      <w:r w:rsidRPr="00E119C2">
        <w:rPr>
          <w:rStyle w:val="Emphasis"/>
          <w:highlight w:val="cyan"/>
        </w:rPr>
        <w:t xml:space="preserve">goods produced using forced labor are, </w:t>
      </w:r>
      <w:r w:rsidRPr="00D8166D">
        <w:rPr>
          <w:sz w:val="10"/>
        </w:rPr>
        <w:t>by definition</w:t>
      </w:r>
      <w:r w:rsidRPr="00D8166D">
        <w:rPr>
          <w:sz w:val="10"/>
          <w:highlight w:val="cyan"/>
        </w:rPr>
        <w:t>,</w:t>
      </w:r>
      <w:r w:rsidRPr="00993EB2">
        <w:rPr>
          <w:rStyle w:val="Emphasis"/>
          <w:sz w:val="10"/>
          <w:highlight w:val="cyan"/>
        </w:rPr>
        <w:t xml:space="preserve"> </w:t>
      </w:r>
      <w:r w:rsidRPr="00E119C2">
        <w:rPr>
          <w:rStyle w:val="Emphasis"/>
          <w:highlight w:val="cyan"/>
        </w:rPr>
        <w:t>dependent on lower manufacturing costs and overheads</w:t>
      </w:r>
      <w:r w:rsidRPr="00D8166D">
        <w:rPr>
          <w:sz w:val="10"/>
        </w:rPr>
        <w:t xml:space="preserve">. We have evidence pointing to significant levels of forced labor in China. The Chinese Communist Party (CCP) sees this as an opportunity to destroy competition and </w:t>
      </w:r>
      <w:r w:rsidRPr="00993EB2">
        <w:rPr>
          <w:rStyle w:val="Emphasis"/>
          <w:highlight w:val="cyan"/>
        </w:rPr>
        <w:t>to entrench forced labor</w:t>
      </w:r>
      <w:r w:rsidRPr="00993EB2">
        <w:rPr>
          <w:rStyle w:val="Emphasis"/>
        </w:rPr>
        <w:t xml:space="preserve"> </w:t>
      </w:r>
      <w:r w:rsidRPr="00D8166D">
        <w:rPr>
          <w:sz w:val="10"/>
        </w:rPr>
        <w:t xml:space="preserve">and cheaper prices. What has become clear during our inquiry is that in the developed democratic West our national resilience has deteriorated and we have become dependent on imports from China. It becomes a vicious cycle making it impossible to sustain manufacturing and jobs for our own citizens. Why did we not believe Chinese President Xi Jinping in 2020, when he said that China will form a counterattack and deterrence against other countries by fostering killer technologies and strengthening the global supply chain’s dependence on China? He has been as good as his word. On June 11 of this year, a new report from Global Rights Compliance entitled “Critical Minerals and Forced Labor in the Xinjiang Uighur Autonomous Region,” found that despite global condemnation and efforts to block forced labor, “exports are growing” and that China’s critical minerals operations in Xinjiang rely heavily on “state-imposed forced labor programs.” Satellite imagery of a reeducation internment camp in Xinjiang, China, for indoctrinating Uighurs. Satellite imagery of a reeducation internment camp for indoctrinating Uighurs in Xinjiang, China. © GIS It found that titanium mining in Xinjiang is set to rapidly expand, with its magnesium output expected to double in 2025, making democratic countries even more dependent on slave-made products. About 3 million people are subject to forced labor in China. This phenomenon is at its worst in Tibet, Hong Kong and in Xinjiang province, where Uighur Muslims and other Turkic Muslims are the greatest source of slave labor. Labor transfers are deployed in the Uighur region within an environment of unprecedented fear and coercion. Refusal to participate in any government programs, such as labor transfers, is viewed as equivalent to aligning oneself with the three “evils” of separatism, terrorism and religious extremism. Anyone who refuses to work or attempts to walk away from their job risks internment or imprisonment. These programs are tantamount to the forcible transfer of populations, forced labor, human trafficking and enslavement. Globally, it is estimated that one in five garments made from cotton has been linked to forced labor in Xinjiang. Some products sold in the UK and labelled as being from Europe were likely to have been produced in China by forced labor. Deception has become a bulwark of modern slavery. Online shopping has made product identification even more problematic. By 2024, 27 percent of total retail sales in the UK were conducted online, with Britons spending nearly 9 percent of their annual income on online shopping – the highest proportion globally. Companies like China’s Shein and </w:t>
      </w:r>
      <w:proofErr w:type="spellStart"/>
      <w:r w:rsidRPr="00D8166D">
        <w:rPr>
          <w:sz w:val="10"/>
        </w:rPr>
        <w:t>Temu</w:t>
      </w:r>
      <w:proofErr w:type="spellEnd"/>
      <w:r w:rsidRPr="00D8166D">
        <w:rPr>
          <w:sz w:val="10"/>
        </w:rPr>
        <w:t xml:space="preserve">, or Amazon of </w:t>
      </w:r>
      <w:r w:rsidRPr="00993EB2">
        <w:rPr>
          <w:rStyle w:val="Emphasis"/>
          <w:highlight w:val="cyan"/>
        </w:rPr>
        <w:t xml:space="preserve">the United States have massively profited from this </w:t>
      </w:r>
      <w:r w:rsidRPr="00D8166D">
        <w:rPr>
          <w:sz w:val="10"/>
        </w:rPr>
        <w:t>shift. In the automobile industry, Audi, Honda, Ford, General Motors, Mercedes-Benz, Toyota, Tesla, Renault, LEVC – who make electric London black cabs – Aston Martin, Bentley, Daimler, Jaguar and Rolls-Royce all have supply chains at high risk of being compromised by Muslim slave labor. Slave labor is</w:t>
      </w:r>
      <w:r w:rsidRPr="00E119C2">
        <w:rPr>
          <w:rStyle w:val="Emphasis"/>
          <w:highlight w:val="cyan"/>
        </w:rPr>
        <w:t xml:space="preserve"> in agriculture and food supplies</w:t>
      </w:r>
      <w:r w:rsidRPr="00D8166D">
        <w:rPr>
          <w:sz w:val="10"/>
        </w:rPr>
        <w:t xml:space="preserve"> as well. China grows about a third of the world’s tomatoes. Most Chinese tomatoes come from Xinjiang and last year the BBC World Service found that several house brand “Italian” tomato purees sold in UK supermarkets are likely to contain tomatoes grown and picked in China using forced labor. One laborer said that if they failed to pick 450 kilograms a day, they would be strung up by chains from the ceiling and beaten until they fainted. The BBC showed huge factories linked to the detention camps, part of a vast complex that aims to undercut all competition and create a world dependent on an authoritarian state with hegemonic ambitions. The CCP regime is the world’s biggest polluter, and it uses the Uighur region as its national hub for </w:t>
      </w:r>
      <w:r w:rsidRPr="00993EB2">
        <w:rPr>
          <w:rStyle w:val="Emphasis"/>
          <w:highlight w:val="cyan"/>
        </w:rPr>
        <w:t>oil, gas and coal,</w:t>
      </w:r>
      <w:r w:rsidRPr="00D8166D">
        <w:rPr>
          <w:sz w:val="10"/>
        </w:rPr>
        <w:t xml:space="preserve"> fueling their oversized factories with cheap coal and forced labor. The solar panels of Xinjiang are not only made by slave labor but have a higher carbon footprint than those manufactured elsewhere in the world. It is estimated that 97 percent of the world’s solar panels could contain polysilicon made in the Uighur region of China. After a fierce battle with the UK government earlier this year, a version of an all-party House of Lords amendment, which I moved, was finally incorporated into the new Great British Energy Act – which puts a brake on solar energy panels produced by slave labor. There is no contradiction between pursuing environmental sustainability and standing for human dignity. I was encouraged that the chair of the new Great British Energy Company (GBE), Jurgen Maier, told me that GBE is “entirely comfortable” with this amendment and “will put measures in place to prevent slavery. We are a publicly owned company, and we have to live up to that. So, we are comfortable and committed to this amendment. We will have to allocate resources and will do so.” Yet within weeks of the new law being passed the government announced it was spending GBP 200 million on China-made solar panels for British schools and hospitals. Ministers have given no indication of how they have verified that these goods are not tainted by slave </w:t>
      </w:r>
      <w:proofErr w:type="spellStart"/>
      <w:r w:rsidRPr="00D8166D">
        <w:rPr>
          <w:sz w:val="10"/>
        </w:rPr>
        <w:t>labour</w:t>
      </w:r>
      <w:proofErr w:type="spellEnd"/>
      <w:r w:rsidRPr="00D8166D">
        <w:rPr>
          <w:sz w:val="10"/>
        </w:rPr>
        <w:t xml:space="preserve"> or why the money could not have been used to repurpose industry in the UK to make the panels in-country and to employ British workers to do so. There is no contradiction between pursuing environmental sustainability and standing for human dignity. On the contrary, the two are indivisible. Our new green economy must be not only carbon-free but also cruelty-free. There are alternative markets, and we need to use the purchasing power of companies like GBE to grow them. We must lay the foundations for a green future that is truly just – for people and the planet. Having pioneered legislation such as the 2002 Proceeds of Crime Act and the 2015 Modern Slavery Act, the UK has subsequently failed to move from self-regulation and goodwill to something more tangible and effective. It has been the purpose of our inquiry to change that. I have been struck by the contrast between our approach and tougher legislation in the U.S. and European Union. In the U.S., the 2021 Uighur Forced Labor Prevention Act created the presumption that all goods originating from Xinjiang are the product of forced labor and may not be imported into the U.S. unless there is compelling evidence to show otherwise. By November 2024, the U.S. Customs and Border Protection had apprehended 10,633 shipments of goods with 4,524 subsequently denied entry. Similarly, the EU forbids any product made using forced labor. The European Parliament claims that a phenomenal “86 percent of all forced labor cases occur in the private sector, affecting 17.3 million people.” Commonwealth countries are also tightening their laws to combat modern slavery. Canada’s 2024 Fighting Against Forced Labor and Child Labor in Supply Chains Act requires entities with significant operations in Canada to annually report on measures to prevent forced and child labor in their supply chains. Companies must set out what they are doing to address those risks, file their reports with the federal government and make them publicly available – with significant consequences for incorrect or false reporting. If we fail to act, the UK will become a dumping ground for products banned in more slavery-averse jurisdictions. We must learn from best practice in combatting modern slavery. We must use new forensic technology to identify the places of origin and require companies to identify whether slave labor is likely to have been used. And we must also open our eyes to the umbilical cord linking China’s supply chains to countries which provide raw materials required to accelerate Beijing’s economic and military dominance. Democratic Republic of the Congo In recent months, I have also been involved in an inquiry into the Democratic Republic of the Congo (DRC), looking at conflict-related sexual violence, and have heard evidence of the links between conflict, minerals, modern day slavery, sexual violence and human rights violations more broadly. At the time of writing this essay tragic reports have been emerging of significant fatalities in mines caught in terrible floods. I also recently met two British men who had bravely taken a concealed camera into a mine in DRC. They saw </w:t>
      </w:r>
      <w:r w:rsidRPr="00E119C2">
        <w:rPr>
          <w:rStyle w:val="Emphasis"/>
          <w:highlight w:val="cyan"/>
        </w:rPr>
        <w:t xml:space="preserve">children standing knee-deep with their bare skin in toxic pools </w:t>
      </w:r>
      <w:proofErr w:type="gramStart"/>
      <w:r w:rsidRPr="00E119C2">
        <w:rPr>
          <w:rStyle w:val="Emphasis"/>
          <w:highlight w:val="cyan"/>
        </w:rPr>
        <w:t>mining for</w:t>
      </w:r>
      <w:proofErr w:type="gramEnd"/>
      <w:r w:rsidRPr="00E119C2">
        <w:rPr>
          <w:rStyle w:val="Emphasis"/>
          <w:highlight w:val="cyan"/>
        </w:rPr>
        <w:t xml:space="preserve"> cobalt</w:t>
      </w:r>
      <w:r w:rsidRPr="00D8166D">
        <w:rPr>
          <w:sz w:val="10"/>
        </w:rPr>
        <w:t xml:space="preserve">. After witnessing that firsthand, they are now making it their business to challenge the absurdity of companies relying on assurances from state-run Chinese companies operating in DRC that human rights norms are met. They are working with former congressman, Ambassador Tony Hall, who led the campaign against Africa’s “blood diamonds.” Wilberforce would be proud of them. May 25: A child collects cobalt and copper stones by hand in a toxic pit at a mine in the Democratic Republic of Congo, where many Chinese companies own mines </w:t>
      </w:r>
      <w:r w:rsidRPr="00E119C2">
        <w:rPr>
          <w:rStyle w:val="Emphasis"/>
          <w:highlight w:val="cyan"/>
        </w:rPr>
        <w:t xml:space="preserve">to secure raw materials for </w:t>
      </w:r>
      <w:r w:rsidRPr="00D8166D">
        <w:rPr>
          <w:sz w:val="10"/>
        </w:rPr>
        <w:t>batteries in their global electric vehicle and technological product</w:t>
      </w:r>
      <w:r w:rsidRPr="00993EB2">
        <w:rPr>
          <w:rStyle w:val="Emphasis"/>
          <w:sz w:val="10"/>
        </w:rPr>
        <w:t xml:space="preserve"> </w:t>
      </w:r>
      <w:r w:rsidRPr="00E119C2">
        <w:rPr>
          <w:rStyle w:val="Emphasis"/>
          <w:highlight w:val="cyan"/>
        </w:rPr>
        <w:t>supply chains</w:t>
      </w:r>
      <w:r w:rsidRPr="00D8166D">
        <w:rPr>
          <w:sz w:val="10"/>
        </w:rPr>
        <w:t xml:space="preserve">. </w:t>
      </w:r>
    </w:p>
    <w:p w14:paraId="48F6F60B" w14:textId="77777777" w:rsidR="00BE4681" w:rsidRPr="002B2FE0" w:rsidRDefault="00BE4681" w:rsidP="00BE4681">
      <w:pPr>
        <w:keepNext/>
        <w:keepLines/>
        <w:spacing w:before="40" w:after="0" w:line="256" w:lineRule="auto"/>
        <w:outlineLvl w:val="3"/>
        <w:rPr>
          <w:rFonts w:eastAsia="Times New Roman" w:cs="Times New Roman"/>
          <w:b/>
          <w:iCs/>
          <w:sz w:val="32"/>
        </w:rPr>
      </w:pPr>
      <w:r>
        <w:rPr>
          <w:rFonts w:eastAsia="Times New Roman" w:cs="Times New Roman"/>
          <w:b/>
          <w:iCs/>
          <w:sz w:val="32"/>
        </w:rPr>
        <w:t xml:space="preserve">2. Aff starting point is wrong. Relying on unions for solvency is bad because the end result is job losses w/o solvency for either advantage to maintain profit margins. </w:t>
      </w:r>
      <w:r w:rsidRPr="002B2FE0">
        <w:rPr>
          <w:rFonts w:eastAsia="Times New Roman" w:cs="Times New Roman"/>
          <w:b/>
          <w:iCs/>
          <w:sz w:val="32"/>
        </w:rPr>
        <w:t xml:space="preserve">This </w:t>
      </w:r>
      <w:proofErr w:type="gramStart"/>
      <w:r>
        <w:rPr>
          <w:rFonts w:eastAsia="Times New Roman" w:cs="Times New Roman"/>
          <w:b/>
          <w:iCs/>
          <w:sz w:val="32"/>
        </w:rPr>
        <w:t>turns</w:t>
      </w:r>
      <w:proofErr w:type="gramEnd"/>
      <w:r>
        <w:rPr>
          <w:rFonts w:eastAsia="Times New Roman" w:cs="Times New Roman"/>
          <w:b/>
          <w:iCs/>
          <w:sz w:val="32"/>
        </w:rPr>
        <w:t xml:space="preserve"> case because their solvency mechanism puts workers in a worse position.</w:t>
      </w:r>
    </w:p>
    <w:p w14:paraId="4549E8A0" w14:textId="77777777" w:rsidR="00BE4681" w:rsidRPr="002B2FE0" w:rsidRDefault="00BE4681" w:rsidP="00BE4681">
      <w:pPr>
        <w:spacing w:line="256" w:lineRule="auto"/>
        <w:rPr>
          <w:rFonts w:eastAsia="Aptos"/>
          <w:b/>
          <w:bCs/>
          <w:sz w:val="16"/>
        </w:rPr>
      </w:pPr>
      <w:r w:rsidRPr="002B2FE0">
        <w:rPr>
          <w:rFonts w:eastAsia="Aptos"/>
          <w:b/>
          <w:bCs/>
          <w:sz w:val="26"/>
        </w:rPr>
        <w:t xml:space="preserve">John </w:t>
      </w:r>
      <w:r w:rsidRPr="002B2FE0">
        <w:rPr>
          <w:rFonts w:eastAsia="Aptos"/>
          <w:b/>
          <w:bCs/>
          <w:sz w:val="26"/>
          <w:highlight w:val="cyan"/>
        </w:rPr>
        <w:t>Logan</w:t>
      </w:r>
      <w:r w:rsidRPr="002B2FE0">
        <w:rPr>
          <w:rFonts w:eastAsia="Aptos"/>
          <w:b/>
          <w:bCs/>
          <w:sz w:val="26"/>
        </w:rPr>
        <w:t xml:space="preserve"> January 28, </w:t>
      </w:r>
      <w:proofErr w:type="gramStart"/>
      <w:r w:rsidRPr="002B2FE0">
        <w:rPr>
          <w:rFonts w:eastAsia="Aptos"/>
          <w:b/>
          <w:bCs/>
          <w:sz w:val="26"/>
        </w:rPr>
        <w:t>20</w:t>
      </w:r>
      <w:r w:rsidRPr="002B2FE0">
        <w:rPr>
          <w:rFonts w:eastAsia="Aptos"/>
          <w:b/>
          <w:bCs/>
          <w:sz w:val="26"/>
          <w:highlight w:val="cyan"/>
        </w:rPr>
        <w:t>25</w:t>
      </w:r>
      <w:proofErr w:type="gramEnd"/>
      <w:r w:rsidRPr="002B2FE0">
        <w:rPr>
          <w:rFonts w:eastAsia="Aptos"/>
          <w:b/>
          <w:bCs/>
          <w:sz w:val="26"/>
        </w:rPr>
        <w:t xml:space="preserve"> </w:t>
      </w:r>
      <w:r w:rsidRPr="002B2FE0">
        <w:rPr>
          <w:rFonts w:eastAsia="Aptos"/>
        </w:rPr>
        <w:t xml:space="preserve">Corporate union busting in plain sight: How Amazon, Starbucks, and Trader Joe’s crushed dynamic grassroots worker organizing campaigns. (n.d.). Economic Policy Institute. </w:t>
      </w:r>
      <w:r w:rsidRPr="002B2FE0">
        <w:rPr>
          <w:rFonts w:eastAsia="Aptos"/>
          <w:sz w:val="16"/>
        </w:rPr>
        <w:t>https://www.epi.org/publication/corporate-union-busting/</w:t>
      </w:r>
    </w:p>
    <w:p w14:paraId="3F6E19CB" w14:textId="77777777" w:rsidR="00BE4681" w:rsidRPr="00D8166D" w:rsidRDefault="00BE4681" w:rsidP="00BE4681">
      <w:pPr>
        <w:spacing w:line="256" w:lineRule="auto"/>
        <w:rPr>
          <w:rFonts w:eastAsia="Aptos"/>
          <w:sz w:val="12"/>
        </w:rPr>
      </w:pPr>
      <w:r w:rsidRPr="002B2FE0">
        <w:rPr>
          <w:rFonts w:eastAsia="Aptos"/>
          <w:sz w:val="12"/>
        </w:rPr>
        <w:t xml:space="preserve">Labor activism in the United States has had a remarkable resurgence over the last three years (NLRB 2022; Combs 2023). In the past few years, workers mounted successful organizing campaigns at a wide range of companies, including Amazon, Starbucks, Trader Joe’s, Apple, Barnes and Noble, Ben &amp; Jerry’s, Chipotle, REI, and Volkswagen. Moreover, according to Gallup polls, 70% of the U.S. public—and almost 90% of young workers—approve of unions, a figure not seen since the mid-1960s (Saad 2023). Even more remarkable, unions are wildly popular despite their organizational weakness: In the mid-1960s, they represented almost one-third of private-sector workers, while today they represent fewer than 6%. At the bargaining table, unions have won record wage increases at companies such as UPS (Gurley 2023), the Big Three auto companies (Whalen 2023), Kaiser Permanente (Simmons-Duffin 2024), and Disney (Isidore et al. 2023; Rainey et al. 2024). Further, according to recent studies, 60 million American workers want to form unions (Kochan et al. 2018; Mishel et al. 2020; EPI 2021). In recent years, the desire for organizing has been especially apparent among young workers—who entered the labor market after the Great Recession and have experienced precarious employment conditions—who have tried to form unions in multiple sectors (Scheiber 2022). Despite this momentum, union density has continued to decline. The most recent Bureau of Labor Statistics data found that 16 million workers are covered by a union contract, a 170,000 decline from the prior year (BLS 2025). What explains this disconnect? Two intractable problems explain why union popularity, bargaining victories, and renewed labor activism haven’t translated into higher union density: (1) disastrously weak labor laws and (2) ferocious corporate opposition to worker organizing. Until these issues are addressed, union membership and density will continue to decline. Previous studies have analyzed the issues of weak labor laws and strong employer opposition (McNicholas et al. 2019). This report focuses on corporate union busting and examines the tactics, both legal and illegal, that corporations routinely employ to defeat worker organizing efforts and resist reaching </w:t>
      </w:r>
      <w:proofErr w:type="gramStart"/>
      <w:r w:rsidRPr="002B2FE0">
        <w:rPr>
          <w:rFonts w:eastAsia="Aptos"/>
          <w:sz w:val="12"/>
        </w:rPr>
        <w:t>a first</w:t>
      </w:r>
      <w:proofErr w:type="gramEnd"/>
      <w:r w:rsidRPr="002B2FE0">
        <w:rPr>
          <w:rFonts w:eastAsia="Aptos"/>
          <w:sz w:val="12"/>
        </w:rPr>
        <w:t xml:space="preserve"> contract. After reviewing union busting tactics, the report analyzes three high-profile worker organizing campaigns. Corporate union busting is an enormous barrier to worker organizing Workers at Starbucks, Amazon, and Trader Joe’s have encountered multibillion-dollar </w:t>
      </w:r>
      <w:r w:rsidRPr="002B2FE0">
        <w:rPr>
          <w:rFonts w:eastAsia="Aptos"/>
          <w:b/>
          <w:iCs/>
          <w:sz w:val="26"/>
          <w:highlight w:val="cyan"/>
          <w:u w:val="single"/>
        </w:rPr>
        <w:t xml:space="preserve">corporations </w:t>
      </w:r>
      <w:r w:rsidRPr="002B2FE0">
        <w:rPr>
          <w:rFonts w:eastAsia="Aptos"/>
          <w:sz w:val="12"/>
        </w:rPr>
        <w:t>who are prepared to</w:t>
      </w:r>
      <w:r w:rsidRPr="002B2FE0">
        <w:rPr>
          <w:rFonts w:eastAsia="Aptos"/>
          <w:b/>
          <w:iCs/>
          <w:sz w:val="14"/>
          <w:u w:val="single"/>
        </w:rPr>
        <w:t xml:space="preserve"> </w:t>
      </w:r>
      <w:r w:rsidRPr="002B2FE0">
        <w:rPr>
          <w:rFonts w:eastAsia="Aptos"/>
          <w:b/>
          <w:iCs/>
          <w:sz w:val="26"/>
          <w:highlight w:val="cyan"/>
          <w:u w:val="single"/>
        </w:rPr>
        <w:t xml:space="preserve">do whatever is necessary, </w:t>
      </w:r>
      <w:r w:rsidRPr="002B2FE0">
        <w:rPr>
          <w:rFonts w:eastAsia="Aptos"/>
          <w:b/>
          <w:iCs/>
          <w:sz w:val="26"/>
          <w:u w:val="single"/>
        </w:rPr>
        <w:t xml:space="preserve">lawful or unlawful, to crush </w:t>
      </w:r>
      <w:r w:rsidRPr="002B2FE0">
        <w:rPr>
          <w:rFonts w:eastAsia="Aptos"/>
          <w:sz w:val="12"/>
        </w:rPr>
        <w:t>their</w:t>
      </w:r>
      <w:r w:rsidRPr="002B2FE0">
        <w:rPr>
          <w:rFonts w:eastAsia="Aptos"/>
          <w:b/>
          <w:iCs/>
          <w:sz w:val="14"/>
          <w:u w:val="single"/>
        </w:rPr>
        <w:t xml:space="preserve"> </w:t>
      </w:r>
      <w:r w:rsidRPr="002B2FE0">
        <w:rPr>
          <w:rFonts w:eastAsia="Aptos"/>
          <w:b/>
          <w:iCs/>
          <w:sz w:val="26"/>
          <w:u w:val="single"/>
        </w:rPr>
        <w:t>organizing campaigns.</w:t>
      </w:r>
      <w:r w:rsidRPr="002B2FE0">
        <w:rPr>
          <w:rFonts w:eastAsia="Aptos"/>
          <w:sz w:val="12"/>
        </w:rPr>
        <w:t xml:space="preserve"> Unlawful acts have taken multiple forms, including: Terminating union activists and supporters; Committing acts of retaliation against union activists and supporters; Threatening to close unionized facilities; </w:t>
      </w:r>
      <w:r w:rsidRPr="002B2FE0">
        <w:rPr>
          <w:rFonts w:eastAsia="Aptos"/>
          <w:b/>
          <w:iCs/>
          <w:sz w:val="26"/>
          <w:highlight w:val="cyan"/>
          <w:u w:val="single"/>
        </w:rPr>
        <w:t>Closing unionized facilities</w:t>
      </w:r>
      <w:r w:rsidRPr="002B2FE0">
        <w:rPr>
          <w:rFonts w:eastAsia="Aptos"/>
          <w:b/>
          <w:iCs/>
          <w:sz w:val="26"/>
          <w:u w:val="single"/>
        </w:rPr>
        <w:t xml:space="preserve"> </w:t>
      </w:r>
      <w:r w:rsidRPr="002B2FE0">
        <w:rPr>
          <w:rFonts w:eastAsia="Aptos"/>
          <w:sz w:val="12"/>
        </w:rPr>
        <w:t>in order to send a message</w:t>
      </w:r>
      <w:r w:rsidRPr="002B2FE0">
        <w:rPr>
          <w:rFonts w:eastAsia="Aptos"/>
          <w:b/>
          <w:iCs/>
          <w:sz w:val="14"/>
          <w:u w:val="single"/>
        </w:rPr>
        <w:t xml:space="preserve"> </w:t>
      </w:r>
      <w:r w:rsidRPr="002B2FE0">
        <w:rPr>
          <w:rFonts w:eastAsia="Aptos"/>
          <w:sz w:val="12"/>
        </w:rPr>
        <w:t xml:space="preserve">to workers in other facilities who might want to organize; Providing wage increases and benefit improvements to nonunion workers but denying them to workers in stores and workplaces that have voted for unions; Using disciplinary procedures to target union activists in order to </w:t>
      </w:r>
      <w:r w:rsidRPr="002B2FE0">
        <w:rPr>
          <w:rFonts w:eastAsia="Aptos"/>
          <w:b/>
          <w:iCs/>
          <w:sz w:val="26"/>
          <w:highlight w:val="cyan"/>
          <w:u w:val="single"/>
        </w:rPr>
        <w:t>terminate them</w:t>
      </w:r>
      <w:r w:rsidRPr="002B2FE0">
        <w:rPr>
          <w:rFonts w:eastAsia="Aptos"/>
          <w:b/>
          <w:iCs/>
          <w:sz w:val="26"/>
          <w:u w:val="single"/>
        </w:rPr>
        <w:t xml:space="preserve"> or force them to quit</w:t>
      </w:r>
      <w:r w:rsidRPr="002B2FE0">
        <w:rPr>
          <w:rFonts w:eastAsia="Aptos"/>
          <w:sz w:val="12"/>
        </w:rPr>
        <w:t xml:space="preserve">; Threatening to </w:t>
      </w:r>
      <w:r w:rsidRPr="002B2FE0">
        <w:rPr>
          <w:rFonts w:eastAsia="Aptos"/>
          <w:b/>
          <w:iCs/>
          <w:sz w:val="26"/>
          <w:highlight w:val="cyan"/>
          <w:u w:val="single"/>
        </w:rPr>
        <w:t>take away</w:t>
      </w:r>
      <w:r w:rsidRPr="002B2FE0">
        <w:rPr>
          <w:rFonts w:eastAsia="Aptos"/>
          <w:b/>
          <w:iCs/>
          <w:sz w:val="26"/>
          <w:u w:val="single"/>
        </w:rPr>
        <w:t xml:space="preserve"> </w:t>
      </w:r>
      <w:r w:rsidRPr="002B2FE0">
        <w:rPr>
          <w:rFonts w:eastAsia="Aptos"/>
          <w:sz w:val="12"/>
        </w:rPr>
        <w:t xml:space="preserve">essential health benefits if workers support unionization; Promising workers rewards if they oppose unionization; Reducing workers’ hours to the point they no longer qualify for </w:t>
      </w:r>
      <w:r w:rsidRPr="002B2FE0">
        <w:rPr>
          <w:rStyle w:val="Emphasis"/>
          <w:highlight w:val="cyan"/>
        </w:rPr>
        <w:t>health care and other essential benefits</w:t>
      </w:r>
      <w:r w:rsidRPr="002B2FE0">
        <w:rPr>
          <w:rFonts w:eastAsia="Aptos"/>
          <w:sz w:val="12"/>
        </w:rPr>
        <w:t xml:space="preserve">; Rigidly enforcing previously unenforced personnel policies to discipline union supporters; Targeting workers who are the most fearful of management pressure with anti-union propaganda; Using stalling and delaying tactics during first contract negotiations; Other corporate anti-union tactics are currently lawful but nevertheless effective at undermining workers’ right to organize, including: Spending millions of dollars on sophisticated and powerful union avoidance law firms, such as Littler Mendelson (Logan 2022b) and Morgan Lewis (Logan 2021b), to crush worker organizing; </w:t>
      </w:r>
      <w:r w:rsidRPr="002B2FE0">
        <w:rPr>
          <w:rFonts w:eastAsia="Aptos"/>
          <w:b/>
          <w:iCs/>
          <w:sz w:val="26"/>
          <w:u w:val="single"/>
        </w:rPr>
        <w:t xml:space="preserve">Spending millions </w:t>
      </w:r>
      <w:r w:rsidRPr="002B2FE0">
        <w:rPr>
          <w:rFonts w:eastAsia="Aptos"/>
          <w:sz w:val="12"/>
        </w:rPr>
        <w:t>of dollars</w:t>
      </w:r>
      <w:r w:rsidRPr="002B2FE0">
        <w:rPr>
          <w:rFonts w:eastAsia="Aptos"/>
          <w:b/>
          <w:iCs/>
          <w:sz w:val="16"/>
          <w:u w:val="single"/>
        </w:rPr>
        <w:t xml:space="preserve"> </w:t>
      </w:r>
      <w:r w:rsidRPr="002B2FE0">
        <w:rPr>
          <w:rFonts w:eastAsia="Aptos"/>
          <w:b/>
          <w:iCs/>
          <w:sz w:val="26"/>
          <w:u w:val="single"/>
        </w:rPr>
        <w:t xml:space="preserve">on </w:t>
      </w:r>
      <w:r w:rsidRPr="002B2FE0">
        <w:rPr>
          <w:rFonts w:eastAsia="Aptos"/>
          <w:sz w:val="12"/>
        </w:rPr>
        <w:t>external and internal</w:t>
      </w:r>
      <w:r w:rsidRPr="002B2FE0">
        <w:rPr>
          <w:rFonts w:eastAsia="Aptos"/>
          <w:b/>
          <w:iCs/>
          <w:sz w:val="26"/>
          <w:u w:val="single"/>
        </w:rPr>
        <w:t xml:space="preserve"> anti-union consultants, whose only job is to make it as difficult as possible for workers to be able to get a union</w:t>
      </w:r>
      <w:r w:rsidRPr="002B2FE0">
        <w:rPr>
          <w:rFonts w:eastAsia="Aptos"/>
          <w:sz w:val="12"/>
        </w:rPr>
        <w:t xml:space="preserve"> (Logan 2006; Logan 2020; Logan 2021a; McNicholas et al. 2023a); Firing managers—from store managers to senior executives—who are viewed as being insufficiently engaged in corporate anti-union campaigns; Using increasingly sophisticated tactics, including data analytics, employee data surveys, covert surveillance, and anti-union “heat maps” in their union avoidance activities (Kessler 2020; Vogel 2021). These tactics create a climate of fear and intimidation around worker organizing Workplace organizers at Starbucks, Amazon, and Trader Joe’s report that union busting has had a devastating impact: Workers have been scared out of supporting unions; elections have been lost that otherwise would have been won; workers have stopped organizing after witnessing anti-union discrimination at other stores; and unlawful union busting has created a powerful chilling atmosphere when it comes to support for unionization (Logan 2021a; Greenhouse 2023; </w:t>
      </w:r>
      <w:proofErr w:type="spellStart"/>
      <w:r w:rsidRPr="002B2FE0">
        <w:rPr>
          <w:rFonts w:eastAsia="Aptos"/>
          <w:sz w:val="12"/>
        </w:rPr>
        <w:t>Brisack</w:t>
      </w:r>
      <w:proofErr w:type="spellEnd"/>
      <w:r w:rsidRPr="002B2FE0">
        <w:rPr>
          <w:rFonts w:eastAsia="Aptos"/>
          <w:sz w:val="12"/>
        </w:rPr>
        <w:t xml:space="preserve"> 2025). Corporations want workers to believe that the </w:t>
      </w:r>
      <w:r w:rsidRPr="002B2FE0">
        <w:rPr>
          <w:rFonts w:eastAsia="Aptos"/>
          <w:b/>
          <w:iCs/>
          <w:sz w:val="26"/>
          <w:highlight w:val="cyan"/>
          <w:u w:val="single"/>
        </w:rPr>
        <w:t>real choice they are facing is not between a union or no union, but</w:t>
      </w:r>
      <w:r w:rsidRPr="002B2FE0">
        <w:rPr>
          <w:rFonts w:eastAsia="Aptos"/>
          <w:sz w:val="12"/>
          <w:highlight w:val="cyan"/>
        </w:rPr>
        <w:t xml:space="preserve"> </w:t>
      </w:r>
      <w:r w:rsidRPr="002B2FE0">
        <w:rPr>
          <w:rFonts w:eastAsia="Aptos"/>
          <w:b/>
          <w:iCs/>
          <w:sz w:val="26"/>
          <w:highlight w:val="cyan"/>
          <w:u w:val="single"/>
        </w:rPr>
        <w:t>between a union or their job</w:t>
      </w:r>
      <w:r w:rsidRPr="002B2FE0">
        <w:rPr>
          <w:rFonts w:eastAsia="Aptos"/>
          <w:sz w:val="12"/>
        </w:rPr>
        <w:t xml:space="preserve"> (Logan 2022d; </w:t>
      </w:r>
      <w:proofErr w:type="spellStart"/>
      <w:r w:rsidRPr="002B2FE0">
        <w:rPr>
          <w:rFonts w:eastAsia="Aptos"/>
          <w:sz w:val="12"/>
        </w:rPr>
        <w:t>Brisack</w:t>
      </w:r>
      <w:proofErr w:type="spellEnd"/>
      <w:r w:rsidRPr="002B2FE0">
        <w:rPr>
          <w:rFonts w:eastAsia="Aptos"/>
          <w:sz w:val="12"/>
        </w:rPr>
        <w:t xml:space="preserve"> 2025) </w:t>
      </w:r>
      <w:r w:rsidRPr="002B2FE0">
        <w:rPr>
          <w:rFonts w:eastAsia="Aptos"/>
          <w:b/>
          <w:iCs/>
          <w:sz w:val="26"/>
          <w:highlight w:val="cyan"/>
          <w:u w:val="single"/>
        </w:rPr>
        <w:t>and</w:t>
      </w:r>
      <w:r w:rsidRPr="002B2FE0">
        <w:rPr>
          <w:rFonts w:eastAsia="Aptos"/>
          <w:sz w:val="12"/>
        </w:rPr>
        <w:t xml:space="preserve"> that </w:t>
      </w:r>
      <w:r w:rsidRPr="002B2FE0">
        <w:rPr>
          <w:rFonts w:eastAsia="Aptos"/>
          <w:b/>
          <w:iCs/>
          <w:sz w:val="26"/>
          <w:highlight w:val="cyan"/>
          <w:u w:val="single"/>
        </w:rPr>
        <w:t xml:space="preserve">they will suffer </w:t>
      </w:r>
      <w:r w:rsidRPr="002B2FE0">
        <w:rPr>
          <w:rFonts w:eastAsia="Aptos"/>
          <w:sz w:val="12"/>
        </w:rPr>
        <w:t xml:space="preserve">negative consequences, individually and collectively, </w:t>
      </w:r>
      <w:r w:rsidRPr="002B2FE0">
        <w:rPr>
          <w:rFonts w:eastAsia="Aptos"/>
          <w:b/>
          <w:iCs/>
          <w:sz w:val="26"/>
          <w:highlight w:val="cyan"/>
          <w:u w:val="single"/>
        </w:rPr>
        <w:t xml:space="preserve">should they </w:t>
      </w:r>
      <w:r w:rsidRPr="002B2FE0">
        <w:rPr>
          <w:rFonts w:eastAsia="Aptos"/>
          <w:sz w:val="12"/>
        </w:rPr>
        <w:t>vote to</w:t>
      </w:r>
      <w:r w:rsidRPr="002B2FE0">
        <w:rPr>
          <w:rFonts w:eastAsia="Aptos"/>
          <w:b/>
          <w:iCs/>
          <w:sz w:val="14"/>
          <w:highlight w:val="cyan"/>
          <w:u w:val="single"/>
        </w:rPr>
        <w:t xml:space="preserve"> </w:t>
      </w:r>
      <w:r w:rsidRPr="002B2FE0">
        <w:rPr>
          <w:rFonts w:eastAsia="Aptos"/>
          <w:b/>
          <w:iCs/>
          <w:sz w:val="26"/>
          <w:highlight w:val="cyan"/>
          <w:u w:val="single"/>
        </w:rPr>
        <w:t>unionize</w:t>
      </w:r>
      <w:r w:rsidRPr="002B2FE0">
        <w:rPr>
          <w:rFonts w:eastAsia="Aptos"/>
          <w:sz w:val="12"/>
        </w:rPr>
        <w:t xml:space="preserve"> (Logan 2012). In addition to </w:t>
      </w:r>
      <w:r w:rsidRPr="002B2FE0">
        <w:rPr>
          <w:rStyle w:val="Emphasis"/>
        </w:rPr>
        <w:t>intimidating and coercing workers</w:t>
      </w:r>
      <w:r w:rsidRPr="002B2FE0">
        <w:rPr>
          <w:rFonts w:eastAsia="Aptos"/>
          <w:sz w:val="12"/>
        </w:rPr>
        <w:t xml:space="preserve">, corporations manipulate the election process, forcing delays by filing frivolous, unnecessary litigation to disrupt the momentum of organizing campaigns. Campaigns cannot stop and start while the legal process plays out—a process that often takes years to resolve. When it comes to worker organizing at mega-corporations, time is on the side of the lawbreaking corporations. The last few years have shown that </w:t>
      </w:r>
      <w:r w:rsidRPr="002B2FE0">
        <w:rPr>
          <w:rFonts w:eastAsia="Aptos"/>
          <w:b/>
          <w:iCs/>
          <w:sz w:val="26"/>
          <w:u w:val="single"/>
        </w:rPr>
        <w:t xml:space="preserve">corporations with the resources and </w:t>
      </w:r>
      <w:r w:rsidRPr="002B2FE0">
        <w:rPr>
          <w:rFonts w:eastAsia="Aptos"/>
          <w:sz w:val="12"/>
        </w:rPr>
        <w:t>the stomach for a fight—i.e.,</w:t>
      </w:r>
      <w:r w:rsidRPr="002B2FE0">
        <w:rPr>
          <w:rFonts w:eastAsia="Aptos"/>
          <w:b/>
          <w:iCs/>
          <w:sz w:val="16"/>
          <w:u w:val="single"/>
        </w:rPr>
        <w:t xml:space="preserve"> </w:t>
      </w:r>
      <w:r w:rsidRPr="002B2FE0">
        <w:rPr>
          <w:rFonts w:eastAsia="Aptos"/>
          <w:b/>
          <w:iCs/>
          <w:sz w:val="26"/>
          <w:u w:val="single"/>
        </w:rPr>
        <w:t>the willingness to break the law to break the union—will prevail over worker organizing</w:t>
      </w:r>
      <w:r w:rsidRPr="002B2FE0">
        <w:rPr>
          <w:rFonts w:eastAsia="Aptos"/>
          <w:sz w:val="12"/>
        </w:rPr>
        <w:t xml:space="preserve"> in most cases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 </w:t>
      </w:r>
      <w:r w:rsidRPr="002B2FE0">
        <w:rPr>
          <w:rFonts w:eastAsia="Aptos"/>
          <w:b/>
          <w:iCs/>
          <w:sz w:val="26"/>
          <w:highlight w:val="cyan"/>
          <w:u w:val="single"/>
        </w:rPr>
        <w:t>Even if they withstand ferocious anti-union campaigns and vote to organize, workers frequently don’t win a voice at work</w:t>
      </w:r>
      <w:r w:rsidRPr="002B2FE0">
        <w:rPr>
          <w:rFonts w:eastAsia="Aptos"/>
          <w:sz w:val="12"/>
        </w:rPr>
        <w:t xml:space="preserve"> (Combs 2024). Anti-union corporations view NLRB elections as just the first round of their fight against unionization, adopting the view that they haven’t “lost” to the union until they sign a first contract (Logan 2002).</w:t>
      </w:r>
      <w:r w:rsidRPr="002B2FE0">
        <w:rPr>
          <w:rFonts w:eastAsia="Aptos"/>
          <w:b/>
          <w:iCs/>
          <w:sz w:val="16"/>
          <w:u w:val="single"/>
        </w:rPr>
        <w:t xml:space="preserve"> </w:t>
      </w:r>
      <w:r w:rsidRPr="002B2FE0">
        <w:rPr>
          <w:rFonts w:eastAsia="Aptos"/>
          <w:b/>
          <w:iCs/>
          <w:sz w:val="26"/>
          <w:highlight w:val="cyan"/>
          <w:u w:val="single"/>
        </w:rPr>
        <w:t>Because of corporate opposition to collective bargaining, almost none of the workers involved in the recent high-profile union drives have gained</w:t>
      </w:r>
      <w:r w:rsidRPr="002B2FE0">
        <w:rPr>
          <w:rFonts w:eastAsia="Aptos"/>
          <w:sz w:val="12"/>
        </w:rPr>
        <w:t xml:space="preserve"> a first contract. The current system of union representation is both a marathon and a minefield for workers, a process that powerful corporations and their high-paid consultants and law firms abuse and exploit at every turn (Logan 2006). 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7DE04826" w14:textId="77777777" w:rsidR="00BE4681" w:rsidRPr="00D8166D" w:rsidRDefault="00BE4681" w:rsidP="00BE4681">
      <w:pPr>
        <w:spacing w:line="256" w:lineRule="auto"/>
        <w:rPr>
          <w:rFonts w:eastAsia="Aptos"/>
        </w:rPr>
      </w:pPr>
    </w:p>
    <w:p w14:paraId="0E6B56AA" w14:textId="77777777" w:rsidR="00BE4681" w:rsidRPr="00DC4D39" w:rsidRDefault="00BE4681" w:rsidP="00BE4681"/>
    <w:p w14:paraId="067E758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FF009" w14:textId="77777777" w:rsidR="001D289F" w:rsidRDefault="001D289F" w:rsidP="00066D2C">
      <w:pPr>
        <w:spacing w:after="0" w:line="240" w:lineRule="auto"/>
      </w:pPr>
      <w:r>
        <w:separator/>
      </w:r>
    </w:p>
  </w:endnote>
  <w:endnote w:type="continuationSeparator" w:id="0">
    <w:p w14:paraId="459C4055" w14:textId="77777777" w:rsidR="001D289F" w:rsidRDefault="001D289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NewRomanPSMT">
    <w:altName w:val="Times New Roman"/>
    <w:charset w:val="00"/>
    <w:family w:val="roman"/>
    <w:pitch w:val="variable"/>
    <w:sig w:usb0="E0002AE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F7D6D" w14:textId="77777777" w:rsidR="001D289F" w:rsidRDefault="001D289F" w:rsidP="00066D2C">
      <w:pPr>
        <w:spacing w:after="0" w:line="240" w:lineRule="auto"/>
      </w:pPr>
      <w:r>
        <w:separator/>
      </w:r>
    </w:p>
  </w:footnote>
  <w:footnote w:type="continuationSeparator" w:id="0">
    <w:p w14:paraId="6E4AA7B6" w14:textId="77777777" w:rsidR="001D289F" w:rsidRDefault="001D289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ylie"/>
    <w:docVar w:name="OS" w:val="Windows NT"/>
    <w:docVar w:name="OSVersion" w:val="10.0"/>
    <w:docVar w:name="RibbonPointer" w:val="2440105714704"/>
    <w:docVar w:name="VerbatimVersion" w:val="6.0.0"/>
    <w:docVar w:name="WordVersion" w:val="16.0"/>
  </w:docVars>
  <w:rsids>
    <w:rsidRoot w:val="00BE4681"/>
    <w:rsid w:val="00001C7E"/>
    <w:rsid w:val="0000487C"/>
    <w:rsid w:val="00011FEF"/>
    <w:rsid w:val="00013C8B"/>
    <w:rsid w:val="00023750"/>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E73"/>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89F"/>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0E7"/>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5D1"/>
    <w:rsid w:val="00754ABD"/>
    <w:rsid w:val="00754D3B"/>
    <w:rsid w:val="00760D6A"/>
    <w:rsid w:val="0076343C"/>
    <w:rsid w:val="00764C12"/>
    <w:rsid w:val="00773E53"/>
    <w:rsid w:val="007750DF"/>
    <w:rsid w:val="00777C19"/>
    <w:rsid w:val="00782487"/>
    <w:rsid w:val="00784342"/>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0F6E"/>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E5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6C10"/>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CEF"/>
    <w:rsid w:val="00A47EF1"/>
    <w:rsid w:val="00A51D29"/>
    <w:rsid w:val="00A54D46"/>
    <w:rsid w:val="00A56505"/>
    <w:rsid w:val="00A56998"/>
    <w:rsid w:val="00A56D51"/>
    <w:rsid w:val="00A60D18"/>
    <w:rsid w:val="00A61207"/>
    <w:rsid w:val="00A61700"/>
    <w:rsid w:val="00A6201A"/>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B5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0E0"/>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E15"/>
    <w:rsid w:val="00BD11D3"/>
    <w:rsid w:val="00BD2B47"/>
    <w:rsid w:val="00BD2CAA"/>
    <w:rsid w:val="00BD3B65"/>
    <w:rsid w:val="00BE1C5C"/>
    <w:rsid w:val="00BE3E67"/>
    <w:rsid w:val="00BE4681"/>
    <w:rsid w:val="00BE50E6"/>
    <w:rsid w:val="00BE61B2"/>
    <w:rsid w:val="00BE7CC3"/>
    <w:rsid w:val="00BF2B0D"/>
    <w:rsid w:val="00BF4E3B"/>
    <w:rsid w:val="00BF5454"/>
    <w:rsid w:val="00BF7EC9"/>
    <w:rsid w:val="00C00D8A"/>
    <w:rsid w:val="00C01C49"/>
    <w:rsid w:val="00C066E6"/>
    <w:rsid w:val="00C1002D"/>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37A"/>
    <w:rsid w:val="00D839C5"/>
    <w:rsid w:val="00D84043"/>
    <w:rsid w:val="00D91348"/>
    <w:rsid w:val="00D9566D"/>
    <w:rsid w:val="00DA0EF7"/>
    <w:rsid w:val="00DA4B3F"/>
    <w:rsid w:val="00DA4EB6"/>
    <w:rsid w:val="00DA5F0C"/>
    <w:rsid w:val="00DB20EB"/>
    <w:rsid w:val="00DB33F6"/>
    <w:rsid w:val="00DB38CC"/>
    <w:rsid w:val="00DC08B6"/>
    <w:rsid w:val="00DC1AD2"/>
    <w:rsid w:val="00DC277F"/>
    <w:rsid w:val="00DD0950"/>
    <w:rsid w:val="00DD0BFE"/>
    <w:rsid w:val="00DD29B1"/>
    <w:rsid w:val="00DD4AF9"/>
    <w:rsid w:val="00DD5DF4"/>
    <w:rsid w:val="00DD5EE9"/>
    <w:rsid w:val="00DD7497"/>
    <w:rsid w:val="00DD782F"/>
    <w:rsid w:val="00DE0414"/>
    <w:rsid w:val="00DE0826"/>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51DAA2"/>
  <w15:chartTrackingRefBased/>
  <w15:docId w15:val="{AF0C8D3F-E999-4C4E-BD55-4A65064DE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3E53"/>
    <w:rPr>
      <w:rFonts w:ascii="Calibri" w:hAnsi="Calibri" w:cs="Calibri"/>
    </w:rPr>
  </w:style>
  <w:style w:type="paragraph" w:styleId="Heading1">
    <w:name w:val="heading 1"/>
    <w:aliases w:val="Pocket"/>
    <w:basedOn w:val="Normal"/>
    <w:next w:val="Normal"/>
    <w:link w:val="Heading1Char"/>
    <w:qFormat/>
    <w:rsid w:val="00773E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73E53"/>
    <w:pPr>
      <w:keepNext/>
      <w:keepLines/>
      <w:pageBreakBefore/>
      <w:spacing w:before="40" w:after="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qFormat/>
    <w:rsid w:val="00773E53"/>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773E53"/>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773E5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73E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3E53"/>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Style1,Box,s"/>
    <w:basedOn w:val="DefaultParagraphFont"/>
    <w:link w:val="textbold"/>
    <w:uiPriority w:val="8"/>
    <w:qFormat/>
    <w:rsid w:val="00773E53"/>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773E53"/>
    <w:rPr>
      <w:color w:val="auto"/>
      <w:u w:val="none"/>
    </w:rPr>
  </w:style>
  <w:style w:type="character" w:customStyle="1" w:styleId="Heading1Char">
    <w:name w:val="Heading 1 Char"/>
    <w:aliases w:val="Pocket Char"/>
    <w:basedOn w:val="DefaultParagraphFont"/>
    <w:link w:val="Heading1"/>
    <w:rsid w:val="00773E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73E53"/>
    <w:rPr>
      <w:rFonts w:ascii="Calibri" w:eastAsiaTheme="majorEastAsia" w:hAnsi="Calibri" w:cstheme="majorBidi"/>
      <w:b/>
      <w:sz w:val="40"/>
      <w:szCs w:val="26"/>
      <w:u w:val="double"/>
    </w:rPr>
  </w:style>
  <w:style w:type="character" w:customStyle="1" w:styleId="Heading3Char">
    <w:name w:val="Heading 3 Char"/>
    <w:aliases w:val="Block Char"/>
    <w:basedOn w:val="DefaultParagraphFont"/>
    <w:link w:val="Heading3"/>
    <w:uiPriority w:val="2"/>
    <w:rsid w:val="00773E53"/>
    <w:rPr>
      <w:rFonts w:ascii="Calibri" w:eastAsiaTheme="majorEastAsia" w:hAnsi="Calibri" w:cstheme="majorBidi"/>
      <w:b/>
      <w:sz w:val="36"/>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73E53"/>
    <w:rPr>
      <w:rFonts w:ascii="Calibri" w:eastAsiaTheme="majorEastAsia" w:hAnsi="Calibri" w:cstheme="majorBidi"/>
      <w:b/>
      <w:iCs/>
      <w:sz w:val="3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73E53"/>
    <w:rPr>
      <w:b/>
      <w:bCs/>
      <w:sz w:val="26"/>
      <w:u w:val="none"/>
    </w:rPr>
  </w:style>
  <w:style w:type="character" w:customStyle="1" w:styleId="StyleUnderline">
    <w:name w:val="Style Underline"/>
    <w:aliases w:val="Underline"/>
    <w:basedOn w:val="DefaultParagraphFont"/>
    <w:uiPriority w:val="7"/>
    <w:qFormat/>
    <w:rsid w:val="00773E53"/>
    <w:rPr>
      <w:b/>
      <w:sz w:val="26"/>
      <w:u w:val="single"/>
    </w:rPr>
  </w:style>
  <w:style w:type="character" w:styleId="Strong">
    <w:name w:val="Strong"/>
    <w:basedOn w:val="DefaultParagraphFont"/>
    <w:uiPriority w:val="22"/>
    <w:semiHidden/>
    <w:qFormat/>
    <w:rsid w:val="00773E53"/>
    <w:rPr>
      <w:b/>
      <w:bCs/>
    </w:rPr>
  </w:style>
  <w:style w:type="character" w:styleId="BookTitle">
    <w:name w:val="Book Title"/>
    <w:basedOn w:val="DefaultParagraphFont"/>
    <w:uiPriority w:val="33"/>
    <w:semiHidden/>
    <w:qFormat/>
    <w:rsid w:val="00773E53"/>
    <w:rPr>
      <w:b/>
      <w:bCs/>
      <w:i/>
      <w:iCs/>
      <w:spacing w:val="5"/>
    </w:rPr>
  </w:style>
  <w:style w:type="character" w:customStyle="1" w:styleId="Heading5Char">
    <w:name w:val="Heading 5 Char"/>
    <w:basedOn w:val="DefaultParagraphFont"/>
    <w:link w:val="Heading5"/>
    <w:uiPriority w:val="9"/>
    <w:semiHidden/>
    <w:rsid w:val="00773E5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3E53"/>
  </w:style>
  <w:style w:type="paragraph" w:styleId="Header">
    <w:name w:val="header"/>
    <w:basedOn w:val="Normal"/>
    <w:link w:val="HeaderChar"/>
    <w:uiPriority w:val="99"/>
    <w:semiHidden/>
    <w:rsid w:val="00773E5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73E53"/>
    <w:rPr>
      <w:rFonts w:ascii="Calibri" w:hAnsi="Calibri" w:cs="Calibri"/>
    </w:rPr>
  </w:style>
  <w:style w:type="paragraph" w:styleId="Footer">
    <w:name w:val="footer"/>
    <w:basedOn w:val="Normal"/>
    <w:link w:val="FooterChar"/>
    <w:uiPriority w:val="99"/>
    <w:semiHidden/>
    <w:rsid w:val="00773E5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73E53"/>
    <w:rPr>
      <w:rFonts w:ascii="Calibri" w:hAnsi="Calibri" w:cs="Calibri"/>
    </w:rPr>
  </w:style>
  <w:style w:type="paragraph" w:styleId="BodyText">
    <w:name w:val="Body Text"/>
    <w:basedOn w:val="Normal"/>
    <w:link w:val="BodyTextChar"/>
    <w:uiPriority w:val="99"/>
    <w:semiHidden/>
    <w:unhideWhenUsed/>
    <w:rsid w:val="00773E53"/>
    <w:pPr>
      <w:spacing w:after="120"/>
    </w:pPr>
  </w:style>
  <w:style w:type="character" w:customStyle="1" w:styleId="BodyTextChar">
    <w:name w:val="Body Text Char"/>
    <w:basedOn w:val="DefaultParagraphFont"/>
    <w:link w:val="BodyText"/>
    <w:uiPriority w:val="99"/>
    <w:semiHidden/>
    <w:rsid w:val="00773E53"/>
    <w:rPr>
      <w:rFonts w:ascii="Calibri" w:hAnsi="Calibri" w:cs="Calibri"/>
    </w:rPr>
  </w:style>
  <w:style w:type="paragraph" w:styleId="NoSpacing">
    <w:name w:val="No Spacing"/>
    <w:link w:val="NoSpacingChar"/>
    <w:uiPriority w:val="99"/>
    <w:semiHidden/>
    <w:unhideWhenUsed/>
    <w:qFormat/>
    <w:rsid w:val="00773E5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73E53"/>
    <w:rPr>
      <w:rFonts w:ascii="Calibri" w:hAnsi="Calibri" w:cs="Calibri"/>
    </w:rPr>
  </w:style>
  <w:style w:type="character" w:styleId="Hyperlink">
    <w:name w:val="Hyperlink"/>
    <w:basedOn w:val="DefaultParagraphFont"/>
    <w:uiPriority w:val="99"/>
    <w:unhideWhenUsed/>
    <w:rsid w:val="00773E53"/>
    <w:rPr>
      <w:color w:val="0563C1" w:themeColor="hyperlink"/>
      <w:u w:val="single"/>
    </w:rPr>
  </w:style>
  <w:style w:type="character" w:styleId="UnresolvedMention">
    <w:name w:val="Unresolved Mention"/>
    <w:basedOn w:val="DefaultParagraphFont"/>
    <w:uiPriority w:val="99"/>
    <w:semiHidden/>
    <w:unhideWhenUsed/>
    <w:rsid w:val="00773E53"/>
    <w:rPr>
      <w:color w:val="605E5C"/>
      <w:shd w:val="clear" w:color="auto" w:fill="E1DFDD"/>
    </w:rPr>
  </w:style>
  <w:style w:type="paragraph" w:customStyle="1" w:styleId="textbold">
    <w:name w:val="text bold"/>
    <w:basedOn w:val="Normal"/>
    <w:link w:val="Emphasis"/>
    <w:uiPriority w:val="8"/>
    <w:qFormat/>
    <w:rsid w:val="00BE4681"/>
    <w:pPr>
      <w:ind w:left="720"/>
      <w:jc w:val="both"/>
    </w:pPr>
    <w:rPr>
      <w:b/>
      <w:iCs/>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lib.jmu.edu/cgi/viewcontent.cgi?article=1001&amp;context=ca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18408</Words>
  <Characters>104928</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Rylie Gilbert</dc:creator>
  <cp:keywords>6.0.0</cp:keywords>
  <dc:description/>
  <cp:lastModifiedBy>Rylie Gilbert</cp:lastModifiedBy>
  <cp:revision>4</cp:revision>
  <dcterms:created xsi:type="dcterms:W3CDTF">2025-11-08T03:11:00Z</dcterms:created>
  <dcterms:modified xsi:type="dcterms:W3CDTF">2025-11-15T16:09:00Z</dcterms:modified>
</cp:coreProperties>
</file>