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FB61D" w14:textId="34E56F24" w:rsidR="004F543E" w:rsidRDefault="004F543E" w:rsidP="004F543E">
      <w:pPr>
        <w:pStyle w:val="Heading2"/>
      </w:pPr>
      <w:r>
        <w:t>Case</w:t>
      </w:r>
    </w:p>
    <w:p w14:paraId="3EC07F7A" w14:textId="77777777" w:rsidR="004F543E" w:rsidRPr="004F543E" w:rsidRDefault="004F543E" w:rsidP="004F543E"/>
    <w:p w14:paraId="6A91C3E7" w14:textId="61A2372C" w:rsidR="00475E5D" w:rsidRDefault="00475E5D" w:rsidP="00475E5D">
      <w:pPr>
        <w:pStyle w:val="Heading4"/>
        <w:numPr>
          <w:ilvl w:val="0"/>
          <w:numId w:val="1"/>
        </w:numPr>
      </w:pPr>
      <w:r>
        <w:t xml:space="preserve">Presumption the aff doesn’t create a departure from the squo, but ask you to endorse a squo epistemology. </w:t>
      </w:r>
    </w:p>
    <w:p w14:paraId="62B8C791" w14:textId="77777777" w:rsidR="00475E5D" w:rsidRDefault="00475E5D" w:rsidP="00475E5D">
      <w:pPr>
        <w:pStyle w:val="Heading4"/>
        <w:numPr>
          <w:ilvl w:val="0"/>
          <w:numId w:val="1"/>
        </w:numPr>
        <w:tabs>
          <w:tab w:val="num" w:pos="360"/>
        </w:tabs>
        <w:ind w:left="0" w:firstLine="0"/>
      </w:pPr>
      <w:r>
        <w:t xml:space="preserve">Universalism- The Aff reproduces western </w:t>
      </w:r>
      <w:r w:rsidRPr="00E70737">
        <w:rPr>
          <w:u w:val="single"/>
        </w:rPr>
        <w:t>universalism</w:t>
      </w:r>
      <w:r>
        <w:t xml:space="preserve"> through it’s all-encompassing framework of feminism. That turns the aff because universalism flattens understandings of oppression through race, class and global subjectivity. </w:t>
      </w:r>
    </w:p>
    <w:p w14:paraId="65CCFBE9" w14:textId="77777777" w:rsidR="00475E5D" w:rsidRDefault="00475E5D" w:rsidP="00475E5D">
      <w:r>
        <w:t xml:space="preserve">Maria </w:t>
      </w:r>
      <w:r w:rsidRPr="00785817">
        <w:rPr>
          <w:rFonts w:eastAsiaTheme="majorEastAsia" w:cstheme="majorBidi"/>
          <w:b/>
          <w:iCs/>
          <w:sz w:val="26"/>
        </w:rPr>
        <w:t>Lugones 20</w:t>
      </w:r>
      <w:r>
        <w:t xml:space="preserve"> [“</w:t>
      </w:r>
      <w:r w:rsidRPr="00785817">
        <w:t>Gender and Universality in Colonial Methodology</w:t>
      </w:r>
      <w:r>
        <w:t xml:space="preserve">”. </w:t>
      </w:r>
      <w:r w:rsidRPr="00785817">
        <w:t>Critical Philosophy of Race , Vol. 8, No. 1-2, SPECIAL ISSUE: TOWARD DECOLONIAL FEMINISMS (2020), pp. 25-47</w:t>
      </w:r>
      <w:r>
        <w:t xml:space="preserve">. </w:t>
      </w:r>
      <w:r w:rsidRPr="00785817">
        <w:t>https://www.jstor.org/stable/10.5325/critphilrace.8.1-2.0025</w:t>
      </w:r>
      <w:r>
        <w:t xml:space="preserve">] SB </w:t>
      </w:r>
    </w:p>
    <w:p w14:paraId="03E90B9D" w14:textId="77777777" w:rsidR="00475E5D" w:rsidRPr="00F753BB" w:rsidRDefault="00475E5D" w:rsidP="00475E5D">
      <w:pPr>
        <w:pStyle w:val="Heading4"/>
        <w:rPr>
          <w:rFonts w:eastAsiaTheme="minorHAnsi" w:cs="Calibri"/>
          <w:b w:val="0"/>
          <w:iCs w:val="0"/>
          <w:sz w:val="16"/>
          <w:szCs w:val="16"/>
        </w:rPr>
      </w:pPr>
      <w:r w:rsidRPr="00F753BB">
        <w:rPr>
          <w:rStyle w:val="Emphasis"/>
        </w:rPr>
        <w:lastRenderedPageBreak/>
        <w:t xml:space="preserve">This piece offers a decolonial methodology that is frankly political in its confrontation with feminism in its universal face. Yet, I offer it as a conversation with social scientists, feminist philosophers, and theorists to think together about gender. I mean gender, the concept, not specific instances of use or unexamined common usage in which </w:t>
      </w:r>
      <w:r w:rsidRPr="000D1186">
        <w:rPr>
          <w:rStyle w:val="Emphasis"/>
        </w:rPr>
        <w:t>“gender” has become interchangeable with “women” in many contexts</w:t>
      </w:r>
      <w:r w:rsidRPr="003A3B63">
        <w:rPr>
          <w:rStyle w:val="Emphasis"/>
        </w:rPr>
        <w:t>.</w:t>
      </w:r>
      <w:r w:rsidRPr="003A3B63">
        <w:rPr>
          <w:rStyle w:val="StyleUnderline"/>
        </w:rPr>
        <w:t xml:space="preserve"> </w:t>
      </w:r>
      <w:r w:rsidRPr="003A3B63">
        <w:rPr>
          <w:rFonts w:eastAsiaTheme="minorHAnsi" w:cs="Calibri"/>
          <w:b w:val="0"/>
          <w:iCs w:val="0"/>
          <w:sz w:val="16"/>
          <w:szCs w:val="16"/>
        </w:rPr>
        <w:t xml:space="preserve">Here, I am questioning the universality tied to the concept, not the characteristics of particular gender systems. I am not questioning that </w:t>
      </w:r>
      <w:r w:rsidRPr="00785817">
        <w:rPr>
          <w:rStyle w:val="Emphasis"/>
          <w:highlight w:val="yellow"/>
        </w:rPr>
        <w:t>the modern/colonial capitalist gender system is</w:t>
      </w:r>
      <w:r w:rsidRPr="003A3B63">
        <w:rPr>
          <w:rFonts w:eastAsiaTheme="minorHAnsi" w:cs="Calibri"/>
          <w:b w:val="0"/>
          <w:iCs w:val="0"/>
          <w:sz w:val="16"/>
          <w:szCs w:val="16"/>
        </w:rPr>
        <w:t xml:space="preserve"> an </w:t>
      </w:r>
      <w:r w:rsidRPr="00785817">
        <w:rPr>
          <w:rStyle w:val="Emphasis"/>
          <w:highlight w:val="yellow"/>
        </w:rPr>
        <w:t>oppressive</w:t>
      </w:r>
      <w:r w:rsidRPr="003A3B63">
        <w:rPr>
          <w:rFonts w:eastAsiaTheme="minorHAnsi" w:cs="Calibri"/>
          <w:b w:val="0"/>
          <w:iCs w:val="0"/>
          <w:sz w:val="16"/>
          <w:szCs w:val="16"/>
        </w:rPr>
        <w:t xml:space="preserve">, variable, systemic organization of power, I am </w:t>
      </w:r>
      <w:r w:rsidRPr="00785817">
        <w:rPr>
          <w:rStyle w:val="Emphasis"/>
          <w:highlight w:val="yellow"/>
        </w:rPr>
        <w:t>just</w:t>
      </w:r>
      <w:r w:rsidRPr="003A3B63">
        <w:rPr>
          <w:rFonts w:eastAsiaTheme="minorHAnsi" w:cs="Calibri"/>
          <w:b w:val="0"/>
          <w:iCs w:val="0"/>
          <w:sz w:val="16"/>
          <w:szCs w:val="16"/>
        </w:rPr>
        <w:t xml:space="preserve"> arguing that it is </w:t>
      </w:r>
      <w:r w:rsidRPr="00785817">
        <w:rPr>
          <w:rStyle w:val="Emphasis"/>
          <w:highlight w:val="yellow"/>
        </w:rPr>
        <w:t>not universal</w:t>
      </w:r>
      <w:r w:rsidRPr="003A3B63">
        <w:rPr>
          <w:rFonts w:eastAsiaTheme="minorHAnsi" w:cs="Calibri"/>
          <w:b w:val="0"/>
          <w:iCs w:val="0"/>
          <w:sz w:val="16"/>
          <w:szCs w:val="16"/>
        </w:rPr>
        <w:t xml:space="preserve">, that is, that </w:t>
      </w:r>
      <w:r w:rsidRPr="00785817">
        <w:rPr>
          <w:rStyle w:val="Emphasis"/>
          <w:highlight w:val="yellow"/>
        </w:rPr>
        <w:t>not all peoples organize their relations in terms of and on the grounds of gender</w:t>
      </w:r>
      <w:r w:rsidRPr="003A3B63">
        <w:rPr>
          <w:rStyle w:val="Emphasis"/>
        </w:rPr>
        <w:t>.</w:t>
      </w:r>
      <w:r w:rsidRPr="003A3B63">
        <w:rPr>
          <w:rFonts w:eastAsiaTheme="minorHAnsi" w:cs="Calibri"/>
          <w:b w:val="0"/>
          <w:iCs w:val="0"/>
          <w:sz w:val="16"/>
          <w:szCs w:val="16"/>
        </w:rPr>
        <w:t xml:space="preserve"> This </w:t>
      </w:r>
      <w:r w:rsidRPr="00785817">
        <w:rPr>
          <w:rStyle w:val="Emphasis"/>
          <w:highlight w:val="yellow"/>
        </w:rPr>
        <w:t>gender system</w:t>
      </w:r>
      <w:r w:rsidRPr="003A3B63">
        <w:rPr>
          <w:rFonts w:eastAsiaTheme="minorHAnsi" w:cs="Calibri"/>
          <w:b w:val="0"/>
          <w:iCs w:val="0"/>
          <w:sz w:val="16"/>
          <w:szCs w:val="16"/>
        </w:rPr>
        <w:t xml:space="preserve"> that applies most forcefully to bourgeois white women has been resisted, but this </w:t>
      </w:r>
      <w:r w:rsidRPr="00785817">
        <w:rPr>
          <w:rStyle w:val="Emphasis"/>
          <w:highlight w:val="yellow"/>
        </w:rPr>
        <w:t>resistance continues to retain two egregious faults</w:t>
      </w:r>
      <w:r w:rsidRPr="003A3B63">
        <w:rPr>
          <w:rStyle w:val="Emphasis"/>
        </w:rPr>
        <w:t>:</w:t>
      </w:r>
      <w:r w:rsidRPr="003A3B63">
        <w:rPr>
          <w:rFonts w:eastAsiaTheme="minorHAnsi" w:cs="Calibri"/>
          <w:b w:val="0"/>
          <w:iCs w:val="0"/>
          <w:sz w:val="16"/>
          <w:szCs w:val="16"/>
        </w:rPr>
        <w:t xml:space="preserve"> (1) </w:t>
      </w:r>
      <w:r w:rsidRPr="00785817">
        <w:rPr>
          <w:rStyle w:val="Emphasis"/>
          <w:highlight w:val="yellow"/>
        </w:rPr>
        <w:t>it does not address the conditions of subordination and oppression of non-white women</w:t>
      </w:r>
      <w:r w:rsidRPr="003A3B63">
        <w:rPr>
          <w:rStyle w:val="Emphasis"/>
        </w:rPr>
        <w:t xml:space="preserve"> </w:t>
      </w:r>
      <w:r w:rsidRPr="003A3B63">
        <w:rPr>
          <w:rFonts w:eastAsiaTheme="minorHAnsi" w:cs="Calibri"/>
          <w:b w:val="0"/>
          <w:iCs w:val="0"/>
          <w:sz w:val="16"/>
          <w:szCs w:val="16"/>
        </w:rPr>
        <w:t xml:space="preserve">(Amos and Prarmar 1984), </w:t>
      </w:r>
      <w:r w:rsidRPr="00785817">
        <w:rPr>
          <w:rStyle w:val="Emphasis"/>
          <w:highlight w:val="yellow"/>
        </w:rPr>
        <w:t>and</w:t>
      </w:r>
      <w:r w:rsidRPr="003A3B63">
        <w:rPr>
          <w:rStyle w:val="Emphasis"/>
        </w:rPr>
        <w:t xml:space="preserve"> </w:t>
      </w:r>
      <w:r w:rsidRPr="003A3B63">
        <w:rPr>
          <w:rFonts w:eastAsiaTheme="minorHAnsi" w:cs="Calibri"/>
          <w:b w:val="0"/>
          <w:iCs w:val="0"/>
          <w:sz w:val="16"/>
          <w:szCs w:val="16"/>
        </w:rPr>
        <w:t>(2)</w:t>
      </w:r>
      <w:r w:rsidRPr="003A3B63">
        <w:t xml:space="preserve"> </w:t>
      </w:r>
      <w:r w:rsidRPr="003A3B63">
        <w:rPr>
          <w:b w:val="0"/>
          <w:bCs/>
          <w:sz w:val="16"/>
          <w:szCs w:val="16"/>
        </w:rPr>
        <w:t xml:space="preserve">it fails to offer another humanity, another sense of being a woman, if such a being should continue to exist under that name. That </w:t>
      </w:r>
      <w:r w:rsidRPr="003A3B63">
        <w:rPr>
          <w:rFonts w:eastAsiaTheme="minorHAnsi" w:cs="Calibri"/>
          <w:b w:val="0"/>
          <w:iCs w:val="0"/>
          <w:sz w:val="16"/>
          <w:szCs w:val="16"/>
        </w:rPr>
        <w:t xml:space="preserve">is, </w:t>
      </w:r>
      <w:r w:rsidRPr="00785817">
        <w:rPr>
          <w:rStyle w:val="Emphasis"/>
          <w:highlight w:val="yellow"/>
        </w:rPr>
        <w:t>it fails to</w:t>
      </w:r>
      <w:r w:rsidRPr="003A3B63">
        <w:rPr>
          <w:rFonts w:eastAsiaTheme="minorHAnsi" w:cs="Calibri"/>
          <w:b w:val="0"/>
          <w:iCs w:val="0"/>
          <w:sz w:val="16"/>
          <w:szCs w:val="16"/>
        </w:rPr>
        <w:t xml:space="preserve"> offer a sense of being a woman who does </w:t>
      </w:r>
      <w:r w:rsidRPr="00785817">
        <w:rPr>
          <w:rStyle w:val="Emphasis"/>
          <w:highlight w:val="yellow"/>
        </w:rPr>
        <w:t>not follow the positions and aspirations of white men</w:t>
      </w:r>
      <w:r w:rsidRPr="003A3B63">
        <w:rPr>
          <w:rFonts w:eastAsiaTheme="minorHAnsi" w:cs="Calibri"/>
          <w:b w:val="0"/>
          <w:iCs w:val="0"/>
          <w:sz w:val="16"/>
          <w:szCs w:val="16"/>
        </w:rPr>
        <w:t xml:space="preserve">, but rather is a being different, distant, and at odds with whiteness, capitalism, and neoliberalism; a sense of being a woman that arises from an understanding of and dealing with the travails, difficulties, and possibilities of the times we live in. </w:t>
      </w:r>
      <w:r w:rsidRPr="00785817">
        <w:rPr>
          <w:rStyle w:val="Emphasis"/>
          <w:highlight w:val="yellow"/>
        </w:rPr>
        <w:t>They fail to conceive the possibility that other peoples have knowledges that constitute</w:t>
      </w:r>
      <w:r w:rsidRPr="003A3B63">
        <w:rPr>
          <w:rFonts w:eastAsiaTheme="minorHAnsi" w:cs="Calibri"/>
          <w:b w:val="0"/>
          <w:iCs w:val="0"/>
          <w:sz w:val="16"/>
          <w:szCs w:val="16"/>
        </w:rPr>
        <w:t xml:space="preserve"> “woman” and </w:t>
      </w:r>
      <w:r w:rsidRPr="00785817">
        <w:rPr>
          <w:rStyle w:val="Emphasis"/>
          <w:highlight w:val="yellow"/>
        </w:rPr>
        <w:t>the “human” with</w:t>
      </w:r>
      <w:r w:rsidRPr="00BE3603">
        <w:rPr>
          <w:rStyle w:val="Emphasis"/>
        </w:rPr>
        <w:t xml:space="preserve"> very </w:t>
      </w:r>
      <w:r w:rsidRPr="00785817">
        <w:rPr>
          <w:rStyle w:val="Emphasis"/>
          <w:highlight w:val="yellow"/>
        </w:rPr>
        <w:t>different, appreciable meanings</w:t>
      </w:r>
      <w:r w:rsidRPr="00785817">
        <w:rPr>
          <w:rFonts w:eastAsiaTheme="minorHAnsi" w:cs="Calibri"/>
          <w:b w:val="0"/>
          <w:iCs w:val="0"/>
          <w:sz w:val="16"/>
          <w:szCs w:val="16"/>
          <w:highlight w:val="yellow"/>
        </w:rPr>
        <w:t>.</w:t>
      </w:r>
      <w:r w:rsidRPr="003A3B63">
        <w:rPr>
          <w:rFonts w:eastAsiaTheme="minorHAnsi" w:cs="Calibri"/>
          <w:b w:val="0"/>
          <w:iCs w:val="0"/>
          <w:sz w:val="16"/>
          <w:szCs w:val="16"/>
        </w:rPr>
        <w:t xml:space="preserve"> Feminist anthropologists of racialized peoples in the Americas tend not to think about the concept of gender when they use the term as a classificatory instrument, they take its meaning for granted. This, I claim, is an example of a colonial methodology. Though the claim that gender, the concept, applies universally is not explicitly stated, it is implied. In both group and conference conversations </w:t>
      </w:r>
      <w:r w:rsidRPr="00BE3603">
        <w:rPr>
          <w:rStyle w:val="Emphasis"/>
        </w:rPr>
        <w:t>I have heard the claim</w:t>
      </w:r>
      <w:r w:rsidRPr="00785817">
        <w:rPr>
          <w:rStyle w:val="Emphasis"/>
        </w:rPr>
        <w:t xml:space="preserve"> that </w:t>
      </w:r>
      <w:r w:rsidRPr="00785817">
        <w:rPr>
          <w:rStyle w:val="Emphasis"/>
          <w:highlight w:val="yellow"/>
        </w:rPr>
        <w:t>“gender is everywhere</w:t>
      </w:r>
      <w:r w:rsidRPr="003A3B63">
        <w:rPr>
          <w:rStyle w:val="Emphasis"/>
        </w:rPr>
        <w:t>,”</w:t>
      </w:r>
      <w:r w:rsidRPr="003A3B63">
        <w:rPr>
          <w:rFonts w:eastAsiaTheme="minorHAnsi" w:cs="Calibri"/>
          <w:b w:val="0"/>
          <w:iCs w:val="0"/>
          <w:sz w:val="16"/>
          <w:szCs w:val="16"/>
        </w:rPr>
        <w:t xml:space="preserve"> meaning, technically, that sexual difference is socialized everywhere. </w:t>
      </w:r>
      <w:r w:rsidRPr="00785817">
        <w:rPr>
          <w:rStyle w:val="Emphasis"/>
          <w:highlight w:val="yellow"/>
        </w:rPr>
        <w:t>The claim</w:t>
      </w:r>
      <w:r w:rsidRPr="003A3B63">
        <w:rPr>
          <w:rFonts w:eastAsiaTheme="minorHAnsi" w:cs="Calibri"/>
          <w:b w:val="0"/>
          <w:iCs w:val="0"/>
          <w:sz w:val="16"/>
          <w:szCs w:val="16"/>
        </w:rPr>
        <w:t>, implied or explicit</w:t>
      </w:r>
      <w:r w:rsidRPr="00785817">
        <w:rPr>
          <w:rFonts w:eastAsiaTheme="minorHAnsi" w:cs="Calibri"/>
          <w:b w:val="0"/>
          <w:iCs w:val="0"/>
          <w:sz w:val="16"/>
          <w:szCs w:val="16"/>
          <w:highlight w:val="yellow"/>
        </w:rPr>
        <w:t xml:space="preserve">, </w:t>
      </w:r>
      <w:r w:rsidRPr="00785817">
        <w:rPr>
          <w:rStyle w:val="Emphasis"/>
          <w:highlight w:val="yellow"/>
        </w:rPr>
        <w:t>is that all societies organize dimorphic sexuality, reproductive sexuality, in terms of dichotomous roles that are hierarchically arranged and normatively enforced</w:t>
      </w:r>
      <w:r w:rsidRPr="003A3B63">
        <w:rPr>
          <w:rFonts w:eastAsiaTheme="minorHAnsi" w:cs="Calibri"/>
          <w:b w:val="0"/>
          <w:iCs w:val="0"/>
          <w:sz w:val="16"/>
          <w:szCs w:val="16"/>
        </w:rPr>
        <w:t xml:space="preserve">. That is, </w:t>
      </w:r>
      <w:r w:rsidRPr="00785817">
        <w:rPr>
          <w:rStyle w:val="Emphasis"/>
          <w:highlight w:val="yellow"/>
        </w:rPr>
        <w:t>gender is the normative social conceptualization of sex, the biological fact of the matter</w:t>
      </w:r>
      <w:r w:rsidRPr="003A3B63">
        <w:rPr>
          <w:rFonts w:eastAsiaTheme="minorHAnsi" w:cs="Calibri"/>
          <w:b w:val="0"/>
          <w:iCs w:val="0"/>
          <w:sz w:val="16"/>
          <w:szCs w:val="16"/>
        </w:rPr>
        <w:t>. The claim regarding the necessity of gender in the organization of social, political, economic life is sometimes justified or explained in terms of the nature of humans, their experiences, and the nature of biological and social reproduction. No characterization of particular social, political, economic, religious, or moral life is given as necessitating gender given the assumed facts of sex or of reproduction. The claim is not about desirability of oppression but about a descriptive fact: gender is a reality of social, economic, and political organization, though the forms it takes are variable. The position is stated briefly, for it is treated as obvious—“gender is everywhere, of course.” It is the “of course” that betrays the universalism. It is not a claim that results from a critical use of gender, the concept. Indeed, to claim the necessity of gender is quite different from claiming the necessity of sex. The latter, sex, is a given, assumed to be dimorphic as a fact. The former, gender, is the socially necessary regulated version of sex, necessary because sex needs to be regulated as the case of the colonized and enslaved makes clear: without regulation sex is wild. Though variation among societies is quite possible, gender is generally understood to take a normative,</w:t>
      </w:r>
      <w:r>
        <w:rPr>
          <w:rFonts w:eastAsiaTheme="minorHAnsi" w:cs="Calibri"/>
          <w:b w:val="0"/>
          <w:iCs w:val="0"/>
          <w:sz w:val="16"/>
          <w:szCs w:val="16"/>
        </w:rPr>
        <w:t xml:space="preserve"> </w:t>
      </w:r>
      <w:r w:rsidRPr="003A3B63">
        <w:rPr>
          <w:rFonts w:eastAsiaTheme="minorHAnsi" w:cs="Calibri"/>
          <w:b w:val="0"/>
          <w:iCs w:val="0"/>
          <w:sz w:val="16"/>
          <w:szCs w:val="16"/>
        </w:rPr>
        <w:t xml:space="preserve">dichotomous hierarchical form. The term “gender” was introduced into the vocabulary of feminism and psychology with this meaning rather than the prior grammatical one of the early 1970s. For example, in Spanish words which end in “a” are feminine while those ending “o” are masculine. Thus, ciruela and máquina (plum and machine) are feminine and cuadro and perro (tractor and color) are masculine. Before the 1970s there was no sex/gender distinction, gendered social roles as well as biological marks were thought to be natural. </w:t>
      </w:r>
      <w:r w:rsidRPr="003A3B63">
        <w:rPr>
          <w:rStyle w:val="Emphasis"/>
        </w:rPr>
        <w:t>New thinking about gender has accompanied the critique of the binary</w:t>
      </w:r>
      <w:r w:rsidRPr="003A3B63">
        <w:rPr>
          <w:rFonts w:eastAsiaTheme="minorHAnsi" w:cs="Calibri"/>
          <w:b w:val="0"/>
          <w:iCs w:val="0"/>
          <w:sz w:val="16"/>
          <w:szCs w:val="16"/>
        </w:rPr>
        <w:t xml:space="preserve"> provoked by focusing on intersexuality, transgender, transsexuality, and the introduction of “queer” as a non-binary understanding of gender. </w:t>
      </w:r>
      <w:r w:rsidRPr="003A3B63">
        <w:rPr>
          <w:rStyle w:val="Emphasis"/>
        </w:rPr>
        <w:t xml:space="preserve">Yet, </w:t>
      </w:r>
      <w:r w:rsidRPr="00785817">
        <w:rPr>
          <w:rStyle w:val="Emphasis"/>
          <w:highlight w:val="yellow"/>
        </w:rPr>
        <w:t>the critique of the binary has not been accompanied by an unveiling of the relation between colonization, race, and gender, nor by an analysis of gender as a colonial introduction of control of the humanity of the colonized, nor by an understanding that gender obscures rather than uncovers the organization of life among the colonized.</w:t>
      </w:r>
      <w:r w:rsidRPr="003A3B63">
        <w:rPr>
          <w:rStyle w:val="Emphasis"/>
        </w:rPr>
        <w:t xml:space="preserve"> </w:t>
      </w:r>
      <w:r w:rsidRPr="003A3B63">
        <w:rPr>
          <w:rFonts w:eastAsiaTheme="minorHAnsi" w:cs="Calibri"/>
          <w:b w:val="0"/>
          <w:iCs w:val="0"/>
          <w:sz w:val="16"/>
          <w:szCs w:val="16"/>
        </w:rPr>
        <w:t>The critique has favored thinking of more sexes and genders than two, yet it has not abandoned the universality of gender arrangements. So, given the critique of the binary, one can think of gender as the socialization of reconceived sexual differences, remembering that not all sexual differences have been unambiguously socialized.</w:t>
      </w:r>
      <w:r w:rsidRPr="003A3B63">
        <w:rPr>
          <w:rFonts w:eastAsiaTheme="minorHAnsi" w:cs="Calibri"/>
          <w:b w:val="0"/>
          <w:iCs w:val="0"/>
          <w:sz w:val="22"/>
        </w:rPr>
        <w:t xml:space="preserve"> </w:t>
      </w:r>
      <w:r w:rsidRPr="003A3B63">
        <w:rPr>
          <w:rFonts w:eastAsiaTheme="minorHAnsi" w:cs="Calibri"/>
          <w:b w:val="0"/>
          <w:iCs w:val="0"/>
          <w:sz w:val="16"/>
          <w:szCs w:val="16"/>
        </w:rPr>
        <w:t>o theorize the relation between the user of the concept and the one being referred to as situated in particular geographies, times, and worlds of meaning that permeate the structures and institutions of particular societies. My focus on methodology is an attempt to offer a decolonial methodology to both study colonized people who live at the colonial difference, but also to engage in decolonial coalition. To see the colonial difference is to see coloniality/modernity as the place the colonized inhabits and the situation of oppression from which the colonized creates meanings that are not assimilated; meanings that are not the “original” Indigenous meanings but new meanings that reject, resist, and decry the coloniality/ modernity relation and its logics. Thinking about this direction, I need to answer the question I ask myself when I address this task: Why am I spending so much of my time and intellectual energy addressing a question that seems banal or misguided to people? Why am I not happy with letting go and telling myself, “There is gender everywhere, of course. I see it. It is obvious”</w:t>
      </w:r>
    </w:p>
    <w:p w14:paraId="1E6F4414" w14:textId="3A2CFA79" w:rsidR="00475E5D" w:rsidRPr="00B61BFE" w:rsidRDefault="00475E5D" w:rsidP="00475E5D">
      <w:pPr>
        <w:pStyle w:val="Heading4"/>
        <w:numPr>
          <w:ilvl w:val="0"/>
          <w:numId w:val="1"/>
        </w:numPr>
        <w:tabs>
          <w:tab w:val="num" w:pos="360"/>
        </w:tabs>
        <w:ind w:left="0" w:firstLine="0"/>
      </w:pPr>
      <w:r>
        <w:lastRenderedPageBreak/>
        <w:t xml:space="preserve">Inclusion- </w:t>
      </w:r>
      <w:r w:rsidRPr="00B61BFE">
        <w:t>Don't let the neg subsume indigenous theories within mainstream feminism - inclusion just leave</w:t>
      </w:r>
      <w:r>
        <w:t>s</w:t>
      </w:r>
      <w:r w:rsidRPr="00B61BFE">
        <w:t xml:space="preserve"> colonialism in place. </w:t>
      </w:r>
    </w:p>
    <w:p w14:paraId="2D937607" w14:textId="77777777" w:rsidR="00475E5D" w:rsidRPr="00B61BFE" w:rsidRDefault="00475E5D" w:rsidP="00475E5D">
      <w:pPr>
        <w:rPr>
          <w:rFonts w:asciiTheme="minorHAnsi" w:hAnsiTheme="minorHAnsi"/>
          <w:b/>
        </w:rPr>
      </w:pPr>
      <w:r w:rsidRPr="00B61BFE">
        <w:rPr>
          <w:b/>
        </w:rPr>
        <w:t>Arvin, Tuck, Morill 13</w:t>
      </w:r>
    </w:p>
    <w:p w14:paraId="0D23BE51" w14:textId="77777777" w:rsidR="00475E5D" w:rsidRPr="00B61BFE" w:rsidRDefault="00475E5D" w:rsidP="00475E5D">
      <w:r w:rsidRPr="00B61BFE">
        <w:t>Maile Arvin, PhD candidate in ethnic studies at the University of California San Diego. Eve Tuck, ass. Prof. of educational foundations at SUNY. Angie Morrill, PhD candidate in ethnic studies at the University of California, San Diego. “Decolonizing Feminism: Challenging Connections between Settler Colonialism and Heteropatriarchy”, Feminist Formations, Vol. 25 No. 1 (Spring), pp. 8-34</w:t>
      </w:r>
    </w:p>
    <w:p w14:paraId="2F48DFC0" w14:textId="77777777" w:rsidR="00475E5D" w:rsidRDefault="00475E5D" w:rsidP="00475E5D">
      <w:pPr>
        <w:pStyle w:val="card"/>
        <w:rPr>
          <w:rFonts w:ascii="GoudyStd" w:hAnsi="GoudyStd" w:cs="GoudyStd"/>
          <w:color w:val="1C1B1A"/>
          <w:sz w:val="12"/>
          <w:szCs w:val="12"/>
        </w:rPr>
      </w:pPr>
      <w:r w:rsidRPr="00B61BFE">
        <w:rPr>
          <w:rStyle w:val="StyleUnderline"/>
          <w:rFonts w:eastAsiaTheme="majorEastAsia"/>
        </w:rPr>
        <w:t>The second challenge is to refuse the erasure of Indigenous women within gender and women’s studies and reconsider the implications of the end game of (only) inclusion</w:t>
      </w:r>
      <w:r w:rsidRPr="00B61BFE">
        <w:rPr>
          <w:rFonts w:ascii="GoudyStd" w:hAnsi="GoudyStd" w:cs="GoudyStd"/>
          <w:color w:val="1C1B1A"/>
          <w:sz w:val="20"/>
        </w:rPr>
        <w:t xml:space="preserve">. At first, this may read as a fundamental contradiction, but it is important for feminist discourses to determine ways to engage Native feminist theories and the experiential realities of Indigenous women–identified people without absorbing or merely including them into the existing canon of gender and women’s studies literature. </w:t>
      </w:r>
      <w:r w:rsidRPr="00B61BFE">
        <w:rPr>
          <w:rStyle w:val="StyleUnderline"/>
          <w:rFonts w:eastAsiaTheme="majorEastAsia"/>
          <w:highlight w:val="yellow"/>
        </w:rPr>
        <w:t>Native feminist analyses contend that inclusion</w:t>
      </w:r>
      <w:r w:rsidRPr="00B61BFE">
        <w:rPr>
          <w:rFonts w:ascii="GoudyStd" w:hAnsi="GoudyStd" w:cs="GoudyStd"/>
          <w:color w:val="1C1B1A"/>
          <w:sz w:val="20"/>
          <w:highlight w:val="yellow"/>
        </w:rPr>
        <w:t xml:space="preserve"> (</w:t>
      </w:r>
      <w:r w:rsidRPr="00B61BFE">
        <w:rPr>
          <w:rStyle w:val="Emphasis"/>
          <w:rFonts w:eastAsiaTheme="majorEastAsia"/>
          <w:highlight w:val="yellow"/>
        </w:rPr>
        <w:t xml:space="preserve">of Native feminist theories within whitestream or other types of feminism, or of Indigenous peoples within settler colonial nation-states), cannot be the primary goal </w:t>
      </w:r>
      <w:r w:rsidRPr="00B61BFE">
        <w:rPr>
          <w:rStyle w:val="StyleUnderline"/>
          <w:rFonts w:eastAsiaTheme="majorEastAsia"/>
          <w:highlight w:val="yellow"/>
        </w:rPr>
        <w:t>because inclusion</w:t>
      </w:r>
      <w:r w:rsidRPr="00B61BFE">
        <w:rPr>
          <w:rFonts w:ascii="GoudyStd" w:hAnsi="GoudyStd" w:cs="GoudyStd"/>
          <w:color w:val="1C1B1A"/>
          <w:sz w:val="20"/>
          <w:highlight w:val="yellow"/>
        </w:rPr>
        <w:t xml:space="preserve"> </w:t>
      </w:r>
      <w:r w:rsidRPr="00B61BFE">
        <w:rPr>
          <w:rFonts w:ascii="GoudyStd" w:hAnsi="GoudyStd" w:cs="GoudyStd"/>
          <w:color w:val="1C1B1A"/>
          <w:sz w:val="20"/>
        </w:rPr>
        <w:t xml:space="preserve">confers a preeminent hierarchy, and inclusion </w:t>
      </w:r>
      <w:r w:rsidRPr="00B61BFE">
        <w:rPr>
          <w:rStyle w:val="StyleUnderline"/>
          <w:rFonts w:eastAsiaTheme="majorEastAsia"/>
          <w:highlight w:val="yellow"/>
        </w:rPr>
        <w:t>is central to hierarchical power. The project of inclusion can serve to control</w:t>
      </w:r>
      <w:r w:rsidRPr="00B61BFE">
        <w:rPr>
          <w:rFonts w:ascii="GoudyStd" w:hAnsi="GoudyStd" w:cs="GoudyStd"/>
          <w:color w:val="1C1B1A"/>
          <w:sz w:val="20"/>
          <w:highlight w:val="yellow"/>
        </w:rPr>
        <w:t xml:space="preserve"> </w:t>
      </w:r>
      <w:r w:rsidRPr="00B61BFE">
        <w:rPr>
          <w:rFonts w:ascii="GoudyStd" w:hAnsi="GoudyStd" w:cs="GoudyStd"/>
          <w:color w:val="1C1B1A"/>
          <w:sz w:val="20"/>
        </w:rPr>
        <w:t xml:space="preserve">and absorb </w:t>
      </w:r>
      <w:r w:rsidRPr="00B61BFE">
        <w:rPr>
          <w:rStyle w:val="StyleUnderline"/>
          <w:rFonts w:eastAsiaTheme="majorEastAsia"/>
          <w:highlight w:val="yellow"/>
        </w:rPr>
        <w:t>dissent rather than allow institutions like feminism and the nation-state to be radically transformed by differing perspectives and goals</w:t>
      </w:r>
      <w:r w:rsidRPr="00B61BFE">
        <w:rPr>
          <w:rFonts w:ascii="GoudyStd" w:hAnsi="GoudyStd" w:cs="GoudyStd"/>
          <w:color w:val="1C1B1A"/>
          <w:sz w:val="20"/>
          <w:highlight w:val="yellow"/>
        </w:rPr>
        <w:t>.</w:t>
      </w:r>
      <w:r w:rsidRPr="00B61BFE">
        <w:rPr>
          <w:rFonts w:ascii="GoudyStd" w:hAnsi="GoudyStd" w:cs="GoudyStd"/>
          <w:color w:val="1C1B1A"/>
          <w:sz w:val="20"/>
        </w:rPr>
        <w:t xml:space="preserve"> Instead</w:t>
      </w:r>
      <w:r w:rsidRPr="00B61BFE">
        <w:rPr>
          <w:rStyle w:val="StyleUnderline"/>
          <w:rFonts w:eastAsiaTheme="majorEastAsia"/>
        </w:rPr>
        <w:t xml:space="preserve">, </w:t>
      </w:r>
      <w:r w:rsidRPr="00B61BFE">
        <w:rPr>
          <w:rStyle w:val="StyleUnderline"/>
          <w:rFonts w:eastAsiaTheme="majorEastAsia"/>
          <w:highlight w:val="yellow"/>
        </w:rPr>
        <w:t>feminist discourses might expect to engage Indigenous women and Native feminist theories and to be changed by this engagement in ways that are meaningful and still emerging</w:t>
      </w:r>
      <w:r w:rsidRPr="00B61BFE">
        <w:rPr>
          <w:rFonts w:ascii="GoudyStd" w:hAnsi="GoudyStd" w:cs="GoudyStd"/>
          <w:color w:val="1C1B1A"/>
          <w:sz w:val="20"/>
          <w:highlight w:val="yellow"/>
        </w:rPr>
        <w:t xml:space="preserve">. </w:t>
      </w:r>
      <w:r w:rsidRPr="00B61BFE">
        <w:rPr>
          <w:rStyle w:val="StyleUnderline"/>
          <w:rFonts w:eastAsiaTheme="majorEastAsia"/>
          <w:highlight w:val="yellow"/>
        </w:rPr>
        <w:t xml:space="preserve">Read </w:t>
      </w:r>
      <w:r w:rsidRPr="00B61BFE">
        <w:rPr>
          <w:rFonts w:ascii="GoudyStd" w:hAnsi="GoudyStd" w:cs="GoudyStd"/>
          <w:color w:val="1C1B1A"/>
          <w:sz w:val="20"/>
        </w:rPr>
        <w:t xml:space="preserve">only </w:t>
      </w:r>
      <w:r w:rsidRPr="00B61BFE">
        <w:rPr>
          <w:rStyle w:val="StyleUnderline"/>
          <w:rFonts w:eastAsiaTheme="majorEastAsia"/>
          <w:highlight w:val="yellow"/>
        </w:rPr>
        <w:t>as an identity label</w:t>
      </w:r>
      <w:r w:rsidRPr="00B61BFE">
        <w:rPr>
          <w:rFonts w:ascii="GoudyStd" w:hAnsi="GoudyStd" w:cs="GoudyStd"/>
          <w:color w:val="1C1B1A"/>
          <w:sz w:val="20"/>
          <w:highlight w:val="yellow"/>
        </w:rPr>
        <w:t xml:space="preserve"> </w:t>
      </w:r>
      <w:r w:rsidRPr="00B61BFE">
        <w:rPr>
          <w:rFonts w:ascii="GoudyStd" w:hAnsi="GoudyStd" w:cs="GoudyStd"/>
          <w:color w:val="1C1B1A"/>
          <w:sz w:val="20"/>
        </w:rPr>
        <w:t xml:space="preserve">from a non-Native perspective, </w:t>
      </w:r>
      <w:r w:rsidRPr="00B61BFE">
        <w:rPr>
          <w:rStyle w:val="StyleUnderline"/>
          <w:rFonts w:eastAsiaTheme="majorEastAsia"/>
          <w:highlight w:val="yellow"/>
        </w:rPr>
        <w:t>Native feminism can easily be considered merely a specialized subset of whitestream feminism</w:t>
      </w:r>
      <w:r w:rsidRPr="00B61BFE">
        <w:rPr>
          <w:rFonts w:ascii="GoudyStd" w:hAnsi="GoudyStd" w:cs="GoudyStd"/>
          <w:color w:val="1C1B1A"/>
          <w:sz w:val="20"/>
        </w:rPr>
        <w:t xml:space="preserve">, which often stands in as the seemingly neutral field of feminism as a whole. </w:t>
      </w:r>
      <w:r w:rsidRPr="00B61BFE">
        <w:rPr>
          <w:rStyle w:val="StyleUnderline"/>
          <w:rFonts w:eastAsiaTheme="majorEastAsia"/>
          <w:highlight w:val="yellow"/>
        </w:rPr>
        <w:t>This is one of the key reasons that the term “Native feminist” is contested by Native women</w:t>
      </w:r>
      <w:r w:rsidRPr="00B61BFE">
        <w:rPr>
          <w:rFonts w:ascii="GoudyStd" w:hAnsi="GoudyStd" w:cs="GoudyStd"/>
          <w:color w:val="1C1B1A"/>
          <w:sz w:val="20"/>
        </w:rPr>
        <w:t>, despite the fact that Native feminist theorists have long insisted on the plurality of Native feminisms rather than attempt to define any singular mode of Native feminism.</w:t>
      </w:r>
      <w:r w:rsidRPr="00B61BFE">
        <w:rPr>
          <w:rFonts w:ascii="GoudyStd" w:hAnsi="GoudyStd" w:cs="GoudyStd"/>
          <w:color w:val="1C1B1A"/>
          <w:sz w:val="12"/>
          <w:szCs w:val="12"/>
        </w:rPr>
        <w:t>8</w:t>
      </w:r>
    </w:p>
    <w:p w14:paraId="5F90FB14" w14:textId="11A69216" w:rsidR="00475E5D" w:rsidRDefault="00475E5D" w:rsidP="00475E5D">
      <w:pPr>
        <w:pStyle w:val="Heading4"/>
        <w:numPr>
          <w:ilvl w:val="0"/>
          <w:numId w:val="1"/>
        </w:numPr>
      </w:pPr>
      <w:r>
        <w:t xml:space="preserve">Humanism- Their deployment of western feminism reproduces western categories of human which structure colonial modernity. </w:t>
      </w:r>
    </w:p>
    <w:p w14:paraId="57FD1777" w14:textId="77777777" w:rsidR="00475E5D" w:rsidRPr="00DB13C3" w:rsidRDefault="00475E5D" w:rsidP="00475E5D">
      <w:pPr>
        <w:rPr>
          <w:sz w:val="16"/>
        </w:rPr>
      </w:pPr>
      <w:r w:rsidRPr="00012CA9">
        <w:rPr>
          <w:rStyle w:val="Style13ptBold"/>
        </w:rPr>
        <w:t xml:space="preserve">King ’16 </w:t>
      </w:r>
      <w:r w:rsidRPr="00012CA9">
        <w:rPr>
          <w:sz w:val="16"/>
        </w:rPr>
        <w:t xml:space="preserve">[Tiffany Lethabo King, “New World Grammars: The ‘Unthought’ Black Discourses of Conquest” Project Muse. </w:t>
      </w:r>
      <w:r w:rsidRPr="00012CA9">
        <w:rPr>
          <w:i/>
          <w:sz w:val="16"/>
        </w:rPr>
        <w:t xml:space="preserve">Theory &amp; Event </w:t>
      </w:r>
      <w:r w:rsidRPr="00012CA9">
        <w:rPr>
          <w:sz w:val="16"/>
        </w:rPr>
        <w:t>19(4) 2016. Accessed 12/26/16.]ap</w:t>
      </w:r>
    </w:p>
    <w:p w14:paraId="237A0AF8" w14:textId="77777777" w:rsidR="00475E5D" w:rsidRPr="00DB13C3" w:rsidRDefault="00475E5D" w:rsidP="00475E5D">
      <w:pPr>
        <w:rPr>
          <w:u w:val="single"/>
        </w:rPr>
      </w:pPr>
      <w:r w:rsidRPr="00DB13C3">
        <w:rPr>
          <w:sz w:val="16"/>
        </w:rPr>
        <w:t xml:space="preserve">While Indigenous theorists like Robert A. Williams have traced the legacy of conquest within AngloAmerican legal discourse in the 19th and 20th centuries, there are other ways that conquest appears in the realm of the everyday. Sylvia Wynter (1989, 1990, 2003) and Jodi A. Byrd (2011) provide incisive examples of how to mine </w:t>
      </w:r>
      <w:r w:rsidRPr="00152ACD">
        <w:rPr>
          <w:highlight w:val="yellow"/>
          <w:u w:val="single"/>
        </w:rPr>
        <w:t>the philosophical and epistemic traditions of the West</w:t>
      </w:r>
      <w:r w:rsidRPr="00DB13C3">
        <w:rPr>
          <w:sz w:val="16"/>
        </w:rPr>
        <w:t xml:space="preserve"> (structural and post structural theories) in order to </w:t>
      </w:r>
      <w:r w:rsidRPr="00152ACD">
        <w:rPr>
          <w:highlight w:val="yellow"/>
          <w:u w:val="single"/>
        </w:rPr>
        <w:t>reveal the reproduction of</w:t>
      </w:r>
      <w:r w:rsidRPr="00DB13C3">
        <w:rPr>
          <w:u w:val="single"/>
        </w:rPr>
        <w:t xml:space="preserve"> a pious </w:t>
      </w:r>
      <w:r w:rsidRPr="00152ACD">
        <w:rPr>
          <w:highlight w:val="yellow"/>
          <w:u w:val="single"/>
        </w:rPr>
        <w:t>universalism</w:t>
      </w:r>
      <w:r w:rsidRPr="00DB13C3">
        <w:rPr>
          <w:u w:val="single"/>
        </w:rPr>
        <w:t xml:space="preserve"> even in their liberatory and nonidentitarian inflections. Critical theories’ </w:t>
      </w:r>
      <w:r w:rsidRPr="00295B20">
        <w:rPr>
          <w:highlight w:val="yellow"/>
          <w:u w:val="single"/>
        </w:rPr>
        <w:t>univ</w:t>
      </w:r>
      <w:r w:rsidRPr="00152ACD">
        <w:rPr>
          <w:highlight w:val="yellow"/>
          <w:u w:val="single"/>
        </w:rPr>
        <w:t>ersalism fails to interrogate humanist impulses and the ways that it reproduces conquest and empire even when it espouses to advance anti and post humanist thought.</w:t>
      </w:r>
      <w:r w:rsidRPr="00DB13C3">
        <w:rPr>
          <w:sz w:val="16"/>
        </w:rPr>
        <w:t xml:space="preserve"> In Wynter’s text “Beyond the Word of Man,” </w:t>
      </w:r>
      <w:r w:rsidRPr="00152ACD">
        <w:rPr>
          <w:highlight w:val="yellow"/>
          <w:u w:val="single"/>
        </w:rPr>
        <w:t>Marxism and Feminism</w:t>
      </w:r>
      <w:r w:rsidRPr="00DB13C3">
        <w:rPr>
          <w:sz w:val="16"/>
        </w:rPr>
        <w:t xml:space="preserve"> are categorized as epistemological shifts that are internal to Western culture. In fact, they only </w:t>
      </w:r>
      <w:r w:rsidRPr="00152ACD">
        <w:rPr>
          <w:highlight w:val="yellow"/>
          <w:u w:val="single"/>
        </w:rPr>
        <w:t>reproduce different genres of Man or humanism in the guise the “proletarian/Worker” and “woman/Gender.”</w:t>
      </w:r>
      <w:r w:rsidRPr="00DB13C3">
        <w:rPr>
          <w:sz w:val="16"/>
        </w:rPr>
        <w:t xml:space="preserve">30 These new versions that the expand the category of Man move us from the first verison of Man (found in the 16th, 17th and 18th centuries) to modern man—or what Wynter refers to as Man2. The second version or “late modern” Man (19th century to the present) is birthed from the economic revolution and rationalization of empire. </w:t>
      </w:r>
      <w:r w:rsidRPr="00152ACD">
        <w:rPr>
          <w:highlight w:val="yellow"/>
          <w:u w:val="single"/>
        </w:rPr>
        <w:t>Marx’s worker and its female counterpart could both become intensified</w:t>
      </w:r>
      <w:r w:rsidRPr="00DB13C3">
        <w:rPr>
          <w:u w:val="single"/>
        </w:rPr>
        <w:t xml:space="preserve"> Foucauldian </w:t>
      </w:r>
      <w:r w:rsidRPr="00152ACD">
        <w:rPr>
          <w:highlight w:val="yellow"/>
          <w:u w:val="single"/>
        </w:rPr>
        <w:t>individuals and subjects due to the enslavement of Blacks that expelled them outside of the limits of the humanworker</w:t>
      </w:r>
      <w:r w:rsidRPr="00DB13C3">
        <w:rPr>
          <w:u w:val="single"/>
        </w:rPr>
        <w:t>. The “worker” and the “woman” in fact constitute the normative human bourgeois family</w:t>
      </w:r>
      <w:r w:rsidRPr="00DB13C3">
        <w:rPr>
          <w:sz w:val="16"/>
        </w:rPr>
        <w:t xml:space="preserve"> that was reproduced through Darwin’s </w:t>
      </w:r>
      <w:r w:rsidRPr="00DB13C3">
        <w:rPr>
          <w:sz w:val="16"/>
        </w:rPr>
        <w:lastRenderedPageBreak/>
        <w:t xml:space="preserve">eveolutionary process of natural selection. Further, the birth of the “heterosexual” and “homosexual” as variations of human sexual identities in the 19th century are simply more variations of late modern Man within Wynter’s theorization of the modern human. These subjects and the critical theories that birthed them are also the theoretical building blocks of much of white settler colonial scholarship.31 </w:t>
      </w:r>
      <w:r w:rsidRPr="00152ACD">
        <w:rPr>
          <w:highlight w:val="yellow"/>
          <w:u w:val="single"/>
        </w:rPr>
        <w:t>Continental theory has a</w:t>
      </w:r>
      <w:r w:rsidRPr="00DB13C3">
        <w:rPr>
          <w:u w:val="single"/>
        </w:rPr>
        <w:t xml:space="preserve"> long </w:t>
      </w:r>
      <w:r w:rsidRPr="00152ACD">
        <w:rPr>
          <w:highlight w:val="yellow"/>
          <w:u w:val="single"/>
        </w:rPr>
        <w:t>legacy of cordoning off the gratuitous violence that birthed and continues to structure its intellectual tradition.</w:t>
      </w:r>
      <w:r w:rsidRPr="00DB13C3">
        <w:rPr>
          <w:u w:val="single"/>
        </w:rPr>
        <w:t xml:space="preserve"> </w:t>
      </w:r>
      <w:r w:rsidRPr="00152ACD">
        <w:rPr>
          <w:highlight w:val="yellow"/>
          <w:u w:val="single"/>
        </w:rPr>
        <w:t>Continental theory has not typically had the stomach for sustaining an investigation of the kind of unspeakable violence that enabled</w:t>
      </w:r>
      <w:r w:rsidRPr="00DB13C3">
        <w:rPr>
          <w:sz w:val="16"/>
        </w:rPr>
        <w:t xml:space="preserve"> the Marxist worker, the Foucauldian subjectasdiscourse and queer and affective theories’ </w:t>
      </w:r>
      <w:r w:rsidRPr="00152ACD">
        <w:rPr>
          <w:highlight w:val="yellow"/>
          <w:u w:val="single"/>
        </w:rPr>
        <w:t>subjectless discourses</w:t>
      </w:r>
      <w:r w:rsidRPr="00DB13C3">
        <w:rPr>
          <w:u w:val="single"/>
        </w:rPr>
        <w:t xml:space="preserve"> (one can only strive for subjectlessness if you possess it</w:t>
      </w:r>
      <w:r w:rsidRPr="00152ACD">
        <w:rPr>
          <w:highlight w:val="yellow"/>
          <w:u w:val="single"/>
        </w:rPr>
        <w:t>) to exist</w:t>
      </w:r>
      <w:r w:rsidRPr="00DB13C3">
        <w:rPr>
          <w:u w:val="single"/>
        </w:rPr>
        <w:t xml:space="preserve">. Even in its postidentitarian, nonrepresentational and subjectless modes, </w:t>
      </w:r>
      <w:r w:rsidRPr="00152ACD">
        <w:rPr>
          <w:highlight w:val="yellow"/>
          <w:u w:val="single"/>
        </w:rPr>
        <w:t>continental theories’</w:t>
      </w:r>
      <w:r w:rsidRPr="00DB13C3">
        <w:rPr>
          <w:u w:val="single"/>
        </w:rPr>
        <w:t xml:space="preserve"> transgressive moves (affective, sensational, masochistic) the </w:t>
      </w:r>
      <w:r w:rsidRPr="00152ACD">
        <w:rPr>
          <w:highlight w:val="yellow"/>
          <w:u w:val="single"/>
        </w:rPr>
        <w:t>erasure of the</w:t>
      </w:r>
      <w:r w:rsidRPr="00DB13C3">
        <w:rPr>
          <w:u w:val="single"/>
        </w:rPr>
        <w:t xml:space="preserve"> (white) </w:t>
      </w:r>
      <w:r w:rsidRPr="00152ACD">
        <w:rPr>
          <w:highlight w:val="yellow"/>
          <w:u w:val="single"/>
        </w:rPr>
        <w:t>bodyassubject has been more effective in covering the bloody trail of white/humanself actualization than it has been successful at offering a way around and beyond the entrapments of liberal humanism.</w:t>
      </w:r>
    </w:p>
    <w:p w14:paraId="1C03A4A9" w14:textId="77777777" w:rsidR="00475E5D" w:rsidRDefault="00475E5D" w:rsidP="00475E5D"/>
    <w:p w14:paraId="4233FD80" w14:textId="77777777" w:rsidR="00475E5D" w:rsidRPr="00475E5D" w:rsidRDefault="00475E5D" w:rsidP="00475E5D"/>
    <w:p w14:paraId="19BC96AE" w14:textId="560B52AF" w:rsidR="00475E5D" w:rsidRPr="00B61BFE" w:rsidRDefault="00475E5D" w:rsidP="00475E5D">
      <w:pPr>
        <w:pStyle w:val="Heading4"/>
        <w:numPr>
          <w:ilvl w:val="0"/>
          <w:numId w:val="1"/>
        </w:numPr>
        <w:tabs>
          <w:tab w:val="num" w:pos="360"/>
        </w:tabs>
        <w:ind w:left="0" w:firstLine="0"/>
      </w:pPr>
      <w:r>
        <w:t xml:space="preserve"> </w:t>
      </w:r>
      <w:r w:rsidRPr="00B61BFE">
        <w:t xml:space="preserve">The aff is white feminism because it only theorizes in relation to </w:t>
      </w:r>
      <w:r>
        <w:t>patriarchy. That produces colonial gender relations and means the aff is doomed to reproduce sexual dimorphism.</w:t>
      </w:r>
    </w:p>
    <w:p w14:paraId="72ED4116" w14:textId="77777777" w:rsidR="00475E5D" w:rsidRPr="00B61BFE" w:rsidRDefault="00475E5D" w:rsidP="00475E5D">
      <w:pPr>
        <w:rPr>
          <w:sz w:val="16"/>
        </w:rPr>
      </w:pPr>
      <w:r w:rsidRPr="00B61BFE">
        <w:rPr>
          <w:rStyle w:val="Style13ptBold"/>
        </w:rPr>
        <w:t>Lugones ’07</w:t>
      </w:r>
      <w:r w:rsidRPr="00B61BFE">
        <w:rPr>
          <w:sz w:val="16"/>
        </w:rPr>
        <w:t xml:space="preserve"> [Lugones, Maria. “Heterosexualism and the Colonial / Modern Gender System” Hypatia vol. 22, no. 1 (Winter 2007) 186-187. Accessed 17 January 2016.]ap</w:t>
      </w:r>
    </w:p>
    <w:p w14:paraId="12E6EBD2" w14:textId="77777777" w:rsidR="00475E5D" w:rsidRDefault="00475E5D" w:rsidP="00475E5D">
      <w:pPr>
        <w:rPr>
          <w:sz w:val="12"/>
        </w:rPr>
      </w:pPr>
      <w:r w:rsidRPr="00B61BFE">
        <w:rPr>
          <w:sz w:val="16"/>
        </w:rPr>
        <w:t xml:space="preserve">In a theoretico-praxical vein, I am offering a framework to begin thinking about heterosexism as a key part of how gender fuses with race in the operations of colonial power. </w:t>
      </w:r>
      <w:r w:rsidRPr="0080340B">
        <w:rPr>
          <w:rStyle w:val="StyleUnderline"/>
          <w:highlight w:val="yellow"/>
        </w:rPr>
        <w:t>Colonialism</w:t>
      </w:r>
      <w:r w:rsidRPr="00B61BFE">
        <w:rPr>
          <w:rStyle w:val="StyleUnderline"/>
        </w:rPr>
        <w:t xml:space="preserve"> did not impose precolonial, European gender arrangements on the colonized. It </w:t>
      </w:r>
      <w:r w:rsidRPr="0080340B">
        <w:rPr>
          <w:rStyle w:val="StyleUnderline"/>
          <w:highlight w:val="yellow"/>
        </w:rPr>
        <w:t>imposed a new gender system that created very different arrangements for colonized males and females</w:t>
      </w:r>
      <w:r w:rsidRPr="00B61BFE">
        <w:rPr>
          <w:rStyle w:val="StyleUnderline"/>
        </w:rPr>
        <w:t xml:space="preserve"> than for white bourgeois colonizers. Thus, </w:t>
      </w:r>
      <w:r w:rsidRPr="0080340B">
        <w:rPr>
          <w:rStyle w:val="StyleUnderline"/>
          <w:highlight w:val="yellow"/>
        </w:rPr>
        <w:t>it introduced</w:t>
      </w:r>
      <w:r w:rsidRPr="00B61BFE">
        <w:rPr>
          <w:rStyle w:val="StyleUnderline"/>
        </w:rPr>
        <w:t xml:space="preserve"> many genders and </w:t>
      </w:r>
      <w:r w:rsidRPr="0080340B">
        <w:rPr>
          <w:rStyle w:val="StyleUnderline"/>
          <w:highlight w:val="yellow"/>
        </w:rPr>
        <w:t>gender itself as a colonial concept</w:t>
      </w:r>
      <w:r w:rsidRPr="00B61BFE">
        <w:rPr>
          <w:rStyle w:val="StyleUnderline"/>
        </w:rPr>
        <w:t xml:space="preserve"> and mode of organization of relations of production, property relations, of cosmologies and ways of knowing. But we cannot understand this gender system without understanding</w:t>
      </w:r>
      <w:r w:rsidRPr="00B61BFE">
        <w:rPr>
          <w:sz w:val="16"/>
        </w:rPr>
        <w:t xml:space="preserve"> what Anibal Quijano calls </w:t>
      </w:r>
      <w:r w:rsidRPr="00B61BFE">
        <w:rPr>
          <w:rStyle w:val="StyleUnderline"/>
        </w:rPr>
        <w:t>“the coloniality of power”</w:t>
      </w:r>
      <w:r w:rsidRPr="00B61BFE">
        <w:rPr>
          <w:sz w:val="16"/>
        </w:rPr>
        <w:t xml:space="preserve"> (2000a, 2000b, 2001–2002). The reason to historicize gender formation is that </w:t>
      </w:r>
      <w:r w:rsidRPr="0080340B">
        <w:rPr>
          <w:rStyle w:val="StyleUnderline"/>
          <w:highlight w:val="yellow"/>
        </w:rPr>
        <w:t>without this history, we keep on centering our analysis on the patriarchy</w:t>
      </w:r>
      <w:r w:rsidRPr="00B61BFE">
        <w:rPr>
          <w:rStyle w:val="StyleUnderline"/>
        </w:rPr>
        <w:t xml:space="preserve">; that is, on </w:t>
      </w:r>
      <w:r w:rsidRPr="0080340B">
        <w:rPr>
          <w:rStyle w:val="StyleUnderline"/>
          <w:highlight w:val="yellow"/>
        </w:rPr>
        <w:t>a</w:t>
      </w:r>
      <w:r w:rsidRPr="00B61BFE">
        <w:rPr>
          <w:rStyle w:val="StyleUnderline"/>
        </w:rPr>
        <w:t xml:space="preserve"> binary, hierarchical, oppressive </w:t>
      </w:r>
      <w:r w:rsidRPr="0080340B">
        <w:rPr>
          <w:rStyle w:val="StyleUnderline"/>
          <w:highlight w:val="yellow"/>
        </w:rPr>
        <w:t>gender formation that rests on male supremacy without any clear understanding of the mechanisms by which heterosexuality, capitalism, and racial classification are impossible to understand apart from each other</w:t>
      </w:r>
      <w:r w:rsidRPr="00B61BFE">
        <w:rPr>
          <w:rStyle w:val="StyleUnderline"/>
        </w:rPr>
        <w:t xml:space="preserve">. </w:t>
      </w:r>
      <w:r w:rsidRPr="0080340B">
        <w:rPr>
          <w:rStyle w:val="StyleUnderline"/>
          <w:highlight w:val="yellow"/>
        </w:rPr>
        <w:t>The heterosexualist patriarchy has been an ahistorical framework of analysis</w:t>
      </w:r>
      <w:r w:rsidRPr="00B61BFE">
        <w:rPr>
          <w:rStyle w:val="StyleUnderline"/>
        </w:rPr>
        <w:t>. To understand the relation of the birth of the colonial/modern gender system to the birth of global colonial capitalism—with the centrality of the coloniality of power to that system of global power—is to understand our present organization of life anew.</w:t>
      </w:r>
      <w:r w:rsidRPr="00B61BFE">
        <w:rPr>
          <w:rStyle w:val="StyleUnderline"/>
          <w:sz w:val="12"/>
        </w:rPr>
        <w:t>¶</w:t>
      </w:r>
      <w:r w:rsidRPr="00B61BFE">
        <w:rPr>
          <w:sz w:val="16"/>
        </w:rPr>
        <w:t xml:space="preserve"> This attempt at historicizing gender and heterosexualism is thus an attempt to move, dislodge, complicate what has faced me and others engaged in liberatory/ decolonial projects as hard barriers that are both conceptual and political. </w:t>
      </w:r>
      <w:r w:rsidRPr="0080340B">
        <w:rPr>
          <w:rStyle w:val="StyleUnderline"/>
          <w:highlight w:val="yellow"/>
        </w:rPr>
        <w:t>These are barriers to the conceptualization and enactment of liberatory possibilities as de-colonial possibilities</w:t>
      </w:r>
      <w:r w:rsidRPr="00B61BFE">
        <w:rPr>
          <w:rStyle w:val="StyleUnderline"/>
        </w:rPr>
        <w:t xml:space="preserve">. Liberatory possibilities that emphasize the light side of the colonial/modern gender system affirm rather than reject an oppressive organization of life. </w:t>
      </w:r>
      <w:r w:rsidRPr="00F4193D">
        <w:rPr>
          <w:rStyle w:val="StyleUnderline"/>
          <w:highlight w:val="yellow"/>
        </w:rPr>
        <w:t>There has been a persistent absence of a deep imbrication of race into the analysis that takes gender and sexuality as central in much white feminist theory and practice</w:t>
      </w:r>
      <w:r w:rsidRPr="00F4193D">
        <w:rPr>
          <w:sz w:val="16"/>
          <w:highlight w:val="yellow"/>
        </w:rPr>
        <w:t>,</w:t>
      </w:r>
      <w:r w:rsidRPr="00B61BFE">
        <w:rPr>
          <w:sz w:val="16"/>
        </w:rPr>
        <w:t xml:space="preserve"> particularly feminist philosophy. I am cautious when I call it “white” feminist theory and practice. One can suspect a redundancy involved in the claim: </w:t>
      </w:r>
      <w:r w:rsidRPr="00F4193D">
        <w:rPr>
          <w:rStyle w:val="StyleUnderline"/>
          <w:highlight w:val="yellow"/>
        </w:rPr>
        <w:t>it is white because it seems unavoidably enmeshed in a sense of gender and of gendered sexuality</w:t>
      </w:r>
      <w:r w:rsidRPr="00B61BFE">
        <w:rPr>
          <w:rStyle w:val="StyleUnderline"/>
        </w:rPr>
        <w:t xml:space="preserve"> that issues from what I call the light side of the modern/colonial gender system.</w:t>
      </w:r>
      <w:r w:rsidRPr="00B61BFE">
        <w:rPr>
          <w:sz w:val="16"/>
        </w:rPr>
        <w:t xml:space="preserve"> But that is, of course, a conclusion from within an understanding of gender that sees it as a colonial concept. Yet, I arrive at this conclusion by walking a political/ praxical/theoretical path that has yet to become central in gender work: the path marked by taking seriously the coloniality of power. As I make clear later in this essay, it is also politically important </w:t>
      </w:r>
      <w:r w:rsidRPr="00B61BFE">
        <w:rPr>
          <w:sz w:val="16"/>
        </w:rPr>
        <w:lastRenderedPageBreak/>
        <w:t>that many who have taken the coloniality of power seriously have tended to naturalize gender. That position is also one that entrenches oppressive colonial gender arrangements, oppressive organizations of life.</w:t>
      </w:r>
      <w:r w:rsidRPr="00B61BFE">
        <w:rPr>
          <w:sz w:val="12"/>
        </w:rPr>
        <w:t>¶</w:t>
      </w:r>
    </w:p>
    <w:p w14:paraId="0AC5528A" w14:textId="397E0574" w:rsidR="00475E5D" w:rsidRPr="00F15E4B" w:rsidRDefault="00475E5D" w:rsidP="00475E5D">
      <w:pPr>
        <w:pStyle w:val="Heading4"/>
        <w:numPr>
          <w:ilvl w:val="0"/>
          <w:numId w:val="1"/>
        </w:numPr>
      </w:pPr>
      <w:r>
        <w:t xml:space="preserve">Colonialism Impact- The impact to western epistemologies is the imposition of the logics of conquest at the root of climate change, slavery, and indigenous dispossession vis vi the creation of the “human” </w:t>
      </w:r>
    </w:p>
    <w:p w14:paraId="4EFC33DA" w14:textId="77777777" w:rsidR="00475E5D" w:rsidRPr="00CB333A" w:rsidRDefault="00475E5D" w:rsidP="00475E5D">
      <w:pPr>
        <w:rPr>
          <w:rStyle w:val="StyleUnderline"/>
          <w:sz w:val="16"/>
        </w:rPr>
      </w:pPr>
      <w:r w:rsidRPr="00232511">
        <w:rPr>
          <w:rStyle w:val="Style13ptBold"/>
        </w:rPr>
        <w:t>Lugones ’10</w:t>
      </w:r>
      <w:r w:rsidRPr="00CB333A">
        <w:rPr>
          <w:sz w:val="16"/>
        </w:rPr>
        <w:t xml:space="preserve"> [Maria Lugones. Argentine feminist philosopher, social critic, and Associate Professor of Comparative Literature and Philosophy, Interpretation and Culture, and of Philosophy, and of Women's Studies at Binghamton University in New York. “Toward a Decolonial Feminism”. 743-745 Hypatia vol. 25 no. 4. Fall 2010. Accessed 7 March 2015. Ap]</w:t>
      </w:r>
    </w:p>
    <w:p w14:paraId="3C5E031E" w14:textId="77777777" w:rsidR="00475E5D" w:rsidRDefault="00475E5D" w:rsidP="00475E5D">
      <w:pPr>
        <w:rPr>
          <w:sz w:val="12"/>
        </w:rPr>
      </w:pPr>
      <w:r w:rsidRPr="007B31F6">
        <w:rPr>
          <w:sz w:val="16"/>
        </w:rPr>
        <w:t xml:space="preserve">Modernity organizes the world ontologically in terms of atomic, homogeneous, separable categories. Contemporary women of color and third-world women's critique of feminist universalism centers the claim that the intersection of race, class, sexuality, and gender exceeds the categories of modernity. If woman and black are terms for homogeneous, atomic, separable categories, then their intersection shows us the absence of black women rather than their presence. So, to see non-white women is to exceed "categorical" logic. I propose the modern, colonial, gender system as a lens through which to theorize further the oppres- sive logic of colonial modernity. It’s use of hierarchical dichotomies and categorical logic. I want to emphasize categorical, dichotomous, hierarchical logic as central to modern, colonial, capitalist thinking about race, gender, and sexuality. This permits me to search for social organizations from which people have resisted modern, capitalist modernity that are in tension with its logic. Following </w:t>
      </w:r>
      <w:r w:rsidRPr="00B6545E">
        <w:rPr>
          <w:sz w:val="12"/>
        </w:rPr>
        <w:t>Aparicio and Blaser, I will call such ways of organizing the social, the cosmological, the ecological, the economic, and the spiritual non-modern. With Aparicio and Blaser and others, I use non-modern to express that these ways are not premodern. The modern apparatus reduces them to premodern ways. So, non-modern knowledges, relations, and values, and eco- logical, economic, and spiritual practices are logically constituted to be at odds with a dichotomous, hierarchical, "categorical" logic. I understand the dichotomous hierarchy between the human and the non- human as the central dichotomy of colonial modernity</w:t>
      </w:r>
      <w:r w:rsidRPr="005C139D">
        <w:rPr>
          <w:rStyle w:val="StyleUnderline"/>
        </w:rPr>
        <w:t xml:space="preserve">. </w:t>
      </w:r>
      <w:r w:rsidRPr="007C001A">
        <w:rPr>
          <w:rStyle w:val="StyleUnderline"/>
        </w:rPr>
        <w:t xml:space="preserve">Beginning </w:t>
      </w:r>
      <w:r w:rsidRPr="007B45E9">
        <w:rPr>
          <w:rStyle w:val="StyleUnderline"/>
          <w:highlight w:val="yellow"/>
        </w:rPr>
        <w:t>with the colonization of the Americas</w:t>
      </w:r>
      <w:r w:rsidRPr="00B6545E">
        <w:rPr>
          <w:sz w:val="12"/>
        </w:rPr>
        <w:t xml:space="preserve"> and the Caribbean,</w:t>
      </w:r>
      <w:r w:rsidRPr="00EC3E02">
        <w:rPr>
          <w:rStyle w:val="StyleUnderline"/>
        </w:rPr>
        <w:t xml:space="preserve"> </w:t>
      </w:r>
      <w:r w:rsidRPr="007B45E9">
        <w:rPr>
          <w:rStyle w:val="StyleUnderline"/>
          <w:highlight w:val="yellow"/>
        </w:rPr>
        <w:t xml:space="preserve">a hierarchical, dichotomous distinction between human and non-human was imposed on the </w:t>
      </w:r>
      <w:r w:rsidRPr="007C001A">
        <w:rPr>
          <w:rStyle w:val="StyleUnderline"/>
          <w:highlight w:val="yellow"/>
        </w:rPr>
        <w:t>colonized</w:t>
      </w:r>
      <w:r w:rsidRPr="007C001A">
        <w:rPr>
          <w:rStyle w:val="StyleUnderline"/>
        </w:rPr>
        <w:t xml:space="preserve"> </w:t>
      </w:r>
      <w:r w:rsidRPr="00B6545E">
        <w:rPr>
          <w:sz w:val="12"/>
        </w:rPr>
        <w:t>in the service of Western man. It was</w:t>
      </w:r>
      <w:r w:rsidRPr="007C001A">
        <w:rPr>
          <w:rStyle w:val="StyleUnderline"/>
        </w:rPr>
        <w:t xml:space="preserve"> </w:t>
      </w:r>
      <w:r w:rsidRPr="007B45E9">
        <w:rPr>
          <w:rStyle w:val="StyleUnderline"/>
          <w:highlight w:val="yellow"/>
        </w:rPr>
        <w:t>accompanied by</w:t>
      </w:r>
      <w:r w:rsidRPr="00BE495F">
        <w:rPr>
          <w:rStyle w:val="StyleUnderline"/>
        </w:rPr>
        <w:t xml:space="preserve"> other</w:t>
      </w:r>
      <w:r w:rsidRPr="00B6545E">
        <w:rPr>
          <w:sz w:val="12"/>
        </w:rPr>
        <w:t xml:space="preserve"> dichotomous </w:t>
      </w:r>
      <w:r w:rsidRPr="00BE495F">
        <w:rPr>
          <w:rStyle w:val="StyleUnderline"/>
        </w:rPr>
        <w:t xml:space="preserve">hier- archical </w:t>
      </w:r>
      <w:r w:rsidRPr="007B45E9">
        <w:rPr>
          <w:rStyle w:val="StyleUnderline"/>
          <w:highlight w:val="yellow"/>
        </w:rPr>
        <w:t>distinctions</w:t>
      </w:r>
      <w:r w:rsidRPr="00B6545E">
        <w:rPr>
          <w:sz w:val="12"/>
        </w:rPr>
        <w:t>, among them that</w:t>
      </w:r>
      <w:r w:rsidRPr="005C139D">
        <w:rPr>
          <w:rStyle w:val="StyleUnderline"/>
        </w:rPr>
        <w:t xml:space="preserve"> </w:t>
      </w:r>
      <w:r w:rsidRPr="00BE495F">
        <w:rPr>
          <w:rStyle w:val="StyleUnderline"/>
          <w:highlight w:val="yellow"/>
        </w:rPr>
        <w:t>between men and women</w:t>
      </w:r>
      <w:r w:rsidRPr="00B6545E">
        <w:rPr>
          <w:sz w:val="12"/>
        </w:rPr>
        <w:t>. This distinction became a mark of the human and a mark of civilization. Only the civilized are men or women.</w:t>
      </w:r>
      <w:r w:rsidRPr="005C139D">
        <w:rPr>
          <w:rStyle w:val="StyleUnderline"/>
        </w:rPr>
        <w:t xml:space="preserve"> </w:t>
      </w:r>
      <w:r w:rsidRPr="007B45E9">
        <w:rPr>
          <w:rStyle w:val="StyleUnderline"/>
          <w:highlight w:val="yellow"/>
        </w:rPr>
        <w:t>Indigenous peoples</w:t>
      </w:r>
      <w:r w:rsidRPr="00B6545E">
        <w:rPr>
          <w:sz w:val="12"/>
        </w:rPr>
        <w:t xml:space="preserve"> of the Americas </w:t>
      </w:r>
      <w:r w:rsidRPr="007B45E9">
        <w:rPr>
          <w:rStyle w:val="StyleUnderline"/>
          <w:highlight w:val="yellow"/>
        </w:rPr>
        <w:t>and enslaved Africans were classified as not human</w:t>
      </w:r>
      <w:r w:rsidRPr="005C139D">
        <w:rPr>
          <w:rStyle w:val="StyleUnderline"/>
        </w:rPr>
        <w:t xml:space="preserve"> in species-</w:t>
      </w:r>
      <w:r w:rsidRPr="0074584D">
        <w:rPr>
          <w:rStyle w:val="StyleUnderline"/>
        </w:rPr>
        <w:t>as animals, uncontrollably sexual and wild</w:t>
      </w:r>
      <w:r w:rsidRPr="00A00B7A">
        <w:rPr>
          <w:rStyle w:val="StyleUnderline"/>
        </w:rPr>
        <w:t xml:space="preserve">. </w:t>
      </w:r>
      <w:r w:rsidRPr="00BE495F">
        <w:rPr>
          <w:rStyle w:val="StyleUnderline"/>
          <w:highlight w:val="yellow"/>
        </w:rPr>
        <w:t>The European</w:t>
      </w:r>
      <w:r w:rsidRPr="00BE495F">
        <w:rPr>
          <w:rStyle w:val="StyleUnderline"/>
        </w:rPr>
        <w:t xml:space="preserve">, bourgeois, colonial, modern </w:t>
      </w:r>
      <w:r w:rsidRPr="00BE495F">
        <w:rPr>
          <w:rStyle w:val="StyleUnderline"/>
          <w:highlight w:val="yellow"/>
        </w:rPr>
        <w:t>man became</w:t>
      </w:r>
      <w:r w:rsidRPr="00BE495F">
        <w:rPr>
          <w:rStyle w:val="StyleUnderline"/>
        </w:rPr>
        <w:t xml:space="preserve"> a subject/agent, </w:t>
      </w:r>
      <w:r w:rsidRPr="00BE495F">
        <w:rPr>
          <w:rStyle w:val="StyleUnderline"/>
          <w:highlight w:val="yellow"/>
        </w:rPr>
        <w:t>fit for rule</w:t>
      </w:r>
      <w:r w:rsidRPr="00BE495F">
        <w:rPr>
          <w:rStyle w:val="StyleUnderline"/>
        </w:rPr>
        <w:t xml:space="preserve">, for public life and titling, </w:t>
      </w:r>
      <w:r w:rsidRPr="00BE495F">
        <w:rPr>
          <w:rStyle w:val="StyleUnderline"/>
          <w:highlight w:val="yellow"/>
        </w:rPr>
        <w:t xml:space="preserve">a being of </w:t>
      </w:r>
      <w:r w:rsidRPr="00A12A35">
        <w:rPr>
          <w:rStyle w:val="StyleUnderline"/>
        </w:rPr>
        <w:t xml:space="preserve">civilization, heterosexual, Christian, a being </w:t>
      </w:r>
      <w:r w:rsidRPr="00BE495F">
        <w:rPr>
          <w:rStyle w:val="StyleUnderline"/>
          <w:highlight w:val="yellow"/>
        </w:rPr>
        <w:t>of mind and reason.</w:t>
      </w:r>
      <w:r w:rsidRPr="007B45E9">
        <w:rPr>
          <w:rStyle w:val="StyleUnderline"/>
        </w:rPr>
        <w:t xml:space="preserve"> </w:t>
      </w:r>
      <w:r w:rsidRPr="007B31F6">
        <w:rPr>
          <w:sz w:val="16"/>
        </w:rPr>
        <w:t>The European bourgeois woman was not understood as his complement, but as someone who repro- duced race and capital through her sexual purity, passivity, and being home- bound in the service of the white, European bourgeoisie man.</w:t>
      </w:r>
      <w:r w:rsidRPr="007B31F6">
        <w:rPr>
          <w:rStyle w:val="StyleUnderline"/>
          <w:sz w:val="16"/>
        </w:rPr>
        <w:t xml:space="preserve"> </w:t>
      </w:r>
      <w:r w:rsidRPr="007B45E9">
        <w:rPr>
          <w:rStyle w:val="StyleUnderline"/>
          <w:highlight w:val="yellow"/>
        </w:rPr>
        <w:t>The imposition of these</w:t>
      </w:r>
      <w:r w:rsidRPr="005C139D">
        <w:rPr>
          <w:rStyle w:val="StyleUnderline"/>
        </w:rPr>
        <w:t xml:space="preserve"> dichotomous </w:t>
      </w:r>
      <w:r w:rsidRPr="007B45E9">
        <w:rPr>
          <w:rStyle w:val="StyleUnderline"/>
          <w:highlight w:val="yellow"/>
        </w:rPr>
        <w:t>hierarchies became woven into</w:t>
      </w:r>
      <w:r w:rsidRPr="005C139D">
        <w:rPr>
          <w:rStyle w:val="StyleUnderline"/>
        </w:rPr>
        <w:t xml:space="preserve"> the historicity of </w:t>
      </w:r>
      <w:r w:rsidRPr="007B45E9">
        <w:rPr>
          <w:rStyle w:val="StyleUnderline"/>
          <w:highlight w:val="yellow"/>
        </w:rPr>
        <w:t>relations</w:t>
      </w:r>
      <w:r w:rsidRPr="005C139D">
        <w:rPr>
          <w:rStyle w:val="StyleUnderline"/>
        </w:rPr>
        <w:t>, including intimate relations</w:t>
      </w:r>
      <w:r w:rsidRPr="00B6545E">
        <w:rPr>
          <w:sz w:val="12"/>
        </w:rPr>
        <w:t xml:space="preserve">. </w:t>
      </w:r>
      <w:r w:rsidRPr="005C139D">
        <w:rPr>
          <w:rStyle w:val="StyleUnderline"/>
        </w:rPr>
        <w:t xml:space="preserve">In this paper </w:t>
      </w:r>
      <w:r w:rsidRPr="00EC3E02">
        <w:rPr>
          <w:rStyle w:val="StyleUnderline"/>
        </w:rPr>
        <w:t>I want to figure out how to think about intimate, everyday resistant interactions to the colonial difference</w:t>
      </w:r>
      <w:r w:rsidRPr="005C139D">
        <w:rPr>
          <w:rStyle w:val="StyleUnderline"/>
        </w:rPr>
        <w:t>.</w:t>
      </w:r>
      <w:r w:rsidRPr="00B6545E">
        <w:rPr>
          <w:sz w:val="12"/>
        </w:rPr>
        <w:t xml:space="preserve"> When I think of intimacy here, I am not thinking exclusively' or mainly about sexual relations. </w:t>
      </w:r>
      <w:r w:rsidRPr="005C139D">
        <w:rPr>
          <w:rStyle w:val="StyleUnderline"/>
        </w:rPr>
        <w:t>I am thinking of the interwoven social life among people who are not acting as representatives or officials</w:t>
      </w:r>
      <w:r w:rsidRPr="00B6545E">
        <w:rPr>
          <w:sz w:val="12"/>
        </w:rPr>
        <w:t xml:space="preserve">. I begin, then, with a need to understand that the colonized became subjects in colonial situations in the first modernity, in the tensions created by the bru- tal imposition of the modern, colonial, gender system. </w:t>
      </w:r>
      <w:r w:rsidRPr="00A00B7A">
        <w:rPr>
          <w:rStyle w:val="StyleUnderline"/>
        </w:rPr>
        <w:t xml:space="preserve">Under the imposed gender framework, the bourgeois white Europeans were civilized; they were fully human. The hierarchical dichotomy as a mark of the human also became a normative tool to damn the colonized. </w:t>
      </w:r>
      <w:r w:rsidRPr="007C001A">
        <w:rPr>
          <w:rStyle w:val="StyleUnderline"/>
        </w:rPr>
        <w:t xml:space="preserve">The </w:t>
      </w:r>
      <w:r w:rsidRPr="007B45E9">
        <w:rPr>
          <w:rStyle w:val="StyleUnderline"/>
        </w:rPr>
        <w:t xml:space="preserve">behaviors of </w:t>
      </w:r>
      <w:r w:rsidRPr="007B45E9">
        <w:rPr>
          <w:rStyle w:val="StyleUnderline"/>
          <w:highlight w:val="yellow"/>
        </w:rPr>
        <w:t>the colonized</w:t>
      </w:r>
      <w:r w:rsidRPr="005C139D">
        <w:rPr>
          <w:rStyle w:val="StyleUnderline"/>
        </w:rPr>
        <w:t xml:space="preserve"> and their personalities/souls </w:t>
      </w:r>
      <w:r w:rsidRPr="007B45E9">
        <w:rPr>
          <w:rStyle w:val="StyleUnderline"/>
          <w:highlight w:val="yellow"/>
        </w:rPr>
        <w:t>were judged as bestial and thus non-gendered</w:t>
      </w:r>
      <w:r w:rsidRPr="0074584D">
        <w:rPr>
          <w:rStyle w:val="StyleUnderline"/>
        </w:rPr>
        <w:t>, promiscuous</w:t>
      </w:r>
      <w:r w:rsidRPr="005C139D">
        <w:rPr>
          <w:rStyle w:val="StyleUnderline"/>
        </w:rPr>
        <w:t xml:space="preserve">, grotesquely sexual, </w:t>
      </w:r>
      <w:r w:rsidRPr="0074584D">
        <w:rPr>
          <w:rStyle w:val="StyleUnderline"/>
        </w:rPr>
        <w:t>and sinful</w:t>
      </w:r>
      <w:r w:rsidRPr="00B6545E">
        <w:rPr>
          <w:sz w:val="12"/>
        </w:rPr>
        <w:t xml:space="preserve">. Though at this time the understanding of sex was not dimorphic, animals were differentiated as males and females. the male being the perfection, the female the inversion and deformation of the male.2 Hermaphrodites, sodomites, viragos, and the colonized were all under- stood to be aberrations of mate perfection. </w:t>
      </w:r>
      <w:r w:rsidRPr="007B31F6">
        <w:rPr>
          <w:rStyle w:val="StyleUnderline"/>
          <w:highlight w:val="yellow"/>
        </w:rPr>
        <w:t>The civilizing mission</w:t>
      </w:r>
      <w:r w:rsidRPr="005C139D">
        <w:rPr>
          <w:rStyle w:val="StyleUnderline"/>
        </w:rPr>
        <w:t xml:space="preserve">, including conversion to Christianity, </w:t>
      </w:r>
      <w:r w:rsidRPr="00BE495F">
        <w:rPr>
          <w:rStyle w:val="StyleUnderline"/>
          <w:highlight w:val="yellow"/>
        </w:rPr>
        <w:t xml:space="preserve">was present </w:t>
      </w:r>
      <w:r w:rsidRPr="007B31F6">
        <w:rPr>
          <w:rStyle w:val="StyleUnderline"/>
          <w:highlight w:val="yellow"/>
        </w:rPr>
        <w:t>in the</w:t>
      </w:r>
      <w:r w:rsidRPr="00BE495F">
        <w:rPr>
          <w:rStyle w:val="StyleUnderline"/>
        </w:rPr>
        <w:t xml:space="preserve"> ideological</w:t>
      </w:r>
      <w:r w:rsidRPr="003727EE">
        <w:rPr>
          <w:rStyle w:val="StyleUnderline"/>
        </w:rPr>
        <w:t xml:space="preserve"> </w:t>
      </w:r>
      <w:r w:rsidRPr="007B31F6">
        <w:rPr>
          <w:rStyle w:val="StyleUnderline"/>
        </w:rPr>
        <w:t xml:space="preserve">conception of </w:t>
      </w:r>
      <w:r w:rsidRPr="007B31F6">
        <w:rPr>
          <w:rStyle w:val="StyleUnderline"/>
          <w:highlight w:val="yellow"/>
        </w:rPr>
        <w:t>conquest and colonization</w:t>
      </w:r>
      <w:r w:rsidRPr="00BE495F">
        <w:rPr>
          <w:rStyle w:val="StyleUnderline"/>
          <w:highlight w:val="yellow"/>
        </w:rPr>
        <w:t>, judging the colonized for their deficiencies</w:t>
      </w:r>
      <w:r w:rsidRPr="003727EE">
        <w:rPr>
          <w:rStyle w:val="StyleUnderline"/>
        </w:rPr>
        <w:t xml:space="preserve"> </w:t>
      </w:r>
      <w:r w:rsidRPr="00BE495F">
        <w:rPr>
          <w:rStyle w:val="StyleUnderline"/>
        </w:rPr>
        <w:t>from the</w:t>
      </w:r>
      <w:r w:rsidRPr="003727EE">
        <w:rPr>
          <w:rStyle w:val="StyleUnderline"/>
        </w:rPr>
        <w:t xml:space="preserve"> </w:t>
      </w:r>
      <w:r w:rsidRPr="005C139D">
        <w:rPr>
          <w:rStyle w:val="StyleUnderline"/>
        </w:rPr>
        <w:t xml:space="preserve">point of </w:t>
      </w:r>
      <w:r w:rsidRPr="00BE495F">
        <w:rPr>
          <w:rStyle w:val="StyleUnderline"/>
        </w:rPr>
        <w:t xml:space="preserve">view of the civilizing mission </w:t>
      </w:r>
      <w:r w:rsidRPr="007B45E9">
        <w:rPr>
          <w:rStyle w:val="StyleUnderline"/>
          <w:highlight w:val="yellow"/>
        </w:rPr>
        <w:t>justified enormous cruelty</w:t>
      </w:r>
      <w:r w:rsidRPr="00B6545E">
        <w:rPr>
          <w:sz w:val="12"/>
        </w:rPr>
        <w:t xml:space="preserve">. </w:t>
      </w:r>
      <w:r w:rsidRPr="007B31F6">
        <w:rPr>
          <w:sz w:val="16"/>
        </w:rPr>
        <w:t>I propose to interpret the colonized, non-human males from the civilizing perspective as judged from the nonnative understanding of "man," the human being par excellence. Females were judged from the normative understanding of "women," the human inversion of men.</w:t>
      </w:r>
      <w:r w:rsidRPr="00A00B7A">
        <w:rPr>
          <w:rStyle w:val="StyleUnderline"/>
        </w:rPr>
        <w:t xml:space="preserve">3 </w:t>
      </w:r>
      <w:r w:rsidRPr="005C139D">
        <w:rPr>
          <w:rStyle w:val="StyleUnderline"/>
        </w:rPr>
        <w:t xml:space="preserve">From this point of view, </w:t>
      </w:r>
      <w:r w:rsidRPr="007B45E9">
        <w:rPr>
          <w:rStyle w:val="StyleUnderline"/>
          <w:highlight w:val="yellow"/>
        </w:rPr>
        <w:t>colonized people became males and females</w:t>
      </w:r>
      <w:r w:rsidRPr="00A00B7A">
        <w:rPr>
          <w:rStyle w:val="StyleUnderline"/>
        </w:rPr>
        <w:t xml:space="preserve">. </w:t>
      </w:r>
      <w:r w:rsidRPr="007B31F6">
        <w:rPr>
          <w:sz w:val="16"/>
        </w:rPr>
        <w:t>Males became not-human-as-not-men, and colonized females became not-human-as-not-women. Consequently, colonized females were never understood as lacking because they were not men-like, and were turned into viragos. Colonized men were not understood to be lacking as not being women-like. What has been understood as the ''feminization'' of colonized "men" seems rather a gesture of humiliation, attributing to them sexual passivity under the threat of rape. This tension be- tween hypersexuality and sexual passivity defines one of the domains of masculine subjection of the colonized.</w:t>
      </w:r>
      <w:r w:rsidRPr="007B31F6">
        <w:rPr>
          <w:rStyle w:val="StyleUnderline"/>
          <w:sz w:val="16"/>
        </w:rPr>
        <w:t xml:space="preserve"> </w:t>
      </w:r>
      <w:r w:rsidRPr="005C139D">
        <w:rPr>
          <w:rStyle w:val="StyleUnderline"/>
        </w:rPr>
        <w:t xml:space="preserve">lt is important to note that often, </w:t>
      </w:r>
      <w:r w:rsidRPr="00E76540">
        <w:rPr>
          <w:rStyle w:val="StyleUnderline"/>
        </w:rPr>
        <w:t>when</w:t>
      </w:r>
      <w:r w:rsidRPr="00600062">
        <w:rPr>
          <w:rStyle w:val="StyleUnderline"/>
        </w:rPr>
        <w:t xml:space="preserve"> </w:t>
      </w:r>
      <w:r w:rsidRPr="00051D31">
        <w:rPr>
          <w:rStyle w:val="StyleUnderline"/>
          <w:highlight w:val="yellow"/>
        </w:rPr>
        <w:t xml:space="preserve">social scientists investigate colonized </w:t>
      </w:r>
      <w:r w:rsidRPr="007B31F6">
        <w:rPr>
          <w:rStyle w:val="StyleUnderline"/>
          <w:highlight w:val="yellow"/>
        </w:rPr>
        <w:t xml:space="preserve">societies, the search </w:t>
      </w:r>
      <w:r w:rsidRPr="00051D31">
        <w:rPr>
          <w:rStyle w:val="StyleUnderline"/>
          <w:highlight w:val="yellow"/>
        </w:rPr>
        <w:t>for</w:t>
      </w:r>
      <w:r w:rsidRPr="00600062">
        <w:rPr>
          <w:rStyle w:val="StyleUnderline"/>
        </w:rPr>
        <w:t xml:space="preserve"> the </w:t>
      </w:r>
      <w:r w:rsidRPr="00051D31">
        <w:rPr>
          <w:rStyle w:val="StyleUnderline"/>
          <w:highlight w:val="yellow"/>
        </w:rPr>
        <w:t xml:space="preserve">sexual </w:t>
      </w:r>
      <w:r w:rsidRPr="00051D31">
        <w:rPr>
          <w:rStyle w:val="StyleUnderline"/>
          <w:highlight w:val="yellow"/>
        </w:rPr>
        <w:lastRenderedPageBreak/>
        <w:t xml:space="preserve">distinction </w:t>
      </w:r>
      <w:r w:rsidRPr="007B31F6">
        <w:rPr>
          <w:rStyle w:val="StyleUnderline"/>
          <w:highlight w:val="yellow"/>
        </w:rPr>
        <w:t>and</w:t>
      </w:r>
      <w:r w:rsidRPr="007B31F6">
        <w:rPr>
          <w:rStyle w:val="StyleUnderline"/>
        </w:rPr>
        <w:t xml:space="preserve"> then </w:t>
      </w:r>
      <w:r w:rsidRPr="007B31F6">
        <w:rPr>
          <w:rStyle w:val="StyleUnderline"/>
          <w:highlight w:val="yellow"/>
        </w:rPr>
        <w:t>the construction of</w:t>
      </w:r>
      <w:r w:rsidRPr="005C139D">
        <w:rPr>
          <w:rStyle w:val="StyleUnderline"/>
        </w:rPr>
        <w:t xml:space="preserve"> the </w:t>
      </w:r>
      <w:r w:rsidRPr="00051D31">
        <w:rPr>
          <w:rStyle w:val="StyleUnderline"/>
          <w:highlight w:val="yellow"/>
        </w:rPr>
        <w:t>gende</w:t>
      </w:r>
      <w:r w:rsidRPr="00600062">
        <w:rPr>
          <w:rStyle w:val="StyleUnderline"/>
          <w:highlight w:val="yellow"/>
        </w:rPr>
        <w:t>r</w:t>
      </w:r>
      <w:r w:rsidRPr="005C139D">
        <w:rPr>
          <w:rStyle w:val="StyleUnderline"/>
        </w:rPr>
        <w:t xml:space="preserve"> distinction </w:t>
      </w:r>
      <w:r w:rsidRPr="007B31F6">
        <w:rPr>
          <w:rStyle w:val="StyleUnderline"/>
          <w:highlight w:val="yellow"/>
        </w:rPr>
        <w:t>results from observations</w:t>
      </w:r>
      <w:r w:rsidRPr="005C139D">
        <w:rPr>
          <w:rStyle w:val="StyleUnderline"/>
        </w:rPr>
        <w:t xml:space="preserve"> of the tasks performed by each sex</w:t>
      </w:r>
      <w:r w:rsidRPr="00B6545E">
        <w:rPr>
          <w:sz w:val="12"/>
        </w:rPr>
        <w:t xml:space="preserve">. </w:t>
      </w:r>
      <w:r w:rsidRPr="005C139D">
        <w:rPr>
          <w:rStyle w:val="StyleUnderline"/>
        </w:rPr>
        <w:t>In so doing they affirm the inseparability of sex and gender charac- teristic mainly of earlier feminist analysis</w:t>
      </w:r>
      <w:r w:rsidRPr="00B6545E">
        <w:rPr>
          <w:sz w:val="12"/>
        </w:rPr>
        <w:t xml:space="preserve">. More contemporary analysis has introduced arguments for the claim that gender constructs sex. But in the ear- lier version, sex grounded gender. Often, they became conflated: where you see sex, you will see gender and vice versa. But, if l am right about the coloniality of gender, in the distinction between the human and the non-human, sex had to stand alone. </w:t>
      </w:r>
      <w:r w:rsidRPr="005C139D">
        <w:rPr>
          <w:rStyle w:val="StyleUnderline"/>
        </w:rPr>
        <w:t>Gender and sex could not be both inseparably tied and racialized</w:t>
      </w:r>
      <w:r w:rsidRPr="00EC3E02">
        <w:rPr>
          <w:rStyle w:val="StyleUnderline"/>
          <w:sz w:val="16"/>
        </w:rPr>
        <w:t>.</w:t>
      </w:r>
      <w:r w:rsidRPr="005C139D">
        <w:rPr>
          <w:rStyle w:val="StyleUnderline"/>
        </w:rPr>
        <w:t xml:space="preserve"> Sexual dimorphism became the grounding for the dichotomous understanding of gender, the human characteristic</w:t>
      </w:r>
      <w:r w:rsidRPr="00EC3E02">
        <w:rPr>
          <w:rStyle w:val="StyleUnderline"/>
          <w:sz w:val="16"/>
        </w:rPr>
        <w:t xml:space="preserve">. One may well be interested in arguing that the sex that stood alone in the bestialization of the colonized, was, after all, gendered. What is important to me here is that sex was made to stand alone in the characterization of the colonized. </w:t>
      </w:r>
      <w:r w:rsidRPr="00B6545E">
        <w:rPr>
          <w:sz w:val="12"/>
        </w:rPr>
        <w:t xml:space="preserve">This strikes me as a good entry point for research that takes coloniality seriously and aims to study the historicity and meaning of the relations between race and gender. The colonial "civilizing mission" was the euphemistic mask of brutal access to people's bodies through unimaginable exploitation, violent sexual violation, control of reproduction, and systematic terror (feeding people alive to dogs or making pouches and hats from the vaginas of brutally killed indigenous females, for example). The civilizing mission used the hierarchical gender dichotomy as a judgment, though the attainment of dichotomous gendering for the colonized was not the point of the nonnative judgment. </w:t>
      </w:r>
      <w:r w:rsidRPr="00EC3E02">
        <w:rPr>
          <w:rStyle w:val="StyleUnderline"/>
          <w:sz w:val="16"/>
        </w:rPr>
        <w:t>Turning the colonized into human beings was not a colonial goal.</w:t>
      </w:r>
      <w:r w:rsidRPr="00B6545E">
        <w:rPr>
          <w:sz w:val="12"/>
        </w:rPr>
        <w:t xml:space="preserve"> The difficulty of imagining this as a goal can be appreciated clearly when one sees that this transfonnation of the colonized into men and women would have been a transformation nor in identity, but in nature. </w:t>
      </w:r>
      <w:r w:rsidRPr="00553FB0">
        <w:rPr>
          <w:rStyle w:val="StyleUnderline"/>
        </w:rPr>
        <w:t xml:space="preserve">But </w:t>
      </w:r>
      <w:r w:rsidRPr="00600062">
        <w:rPr>
          <w:rStyle w:val="StyleUnderline"/>
        </w:rPr>
        <w:t>turning the colonized against themselves was included in the civilizing mission's</w:t>
      </w:r>
      <w:r w:rsidRPr="00553FB0">
        <w:rPr>
          <w:rStyle w:val="StyleUnderline"/>
        </w:rPr>
        <w:t xml:space="preserve"> repertoire of </w:t>
      </w:r>
      <w:r w:rsidRPr="00600062">
        <w:rPr>
          <w:rStyle w:val="StyleUnderline"/>
        </w:rPr>
        <w:t>justi- fications for abuse</w:t>
      </w:r>
      <w:r w:rsidRPr="00A00B7A">
        <w:rPr>
          <w:rStyle w:val="StyleUnderline"/>
        </w:rPr>
        <w:t xml:space="preserve">. </w:t>
      </w:r>
      <w:r w:rsidRPr="00EC3E02">
        <w:rPr>
          <w:rStyle w:val="StyleUnderline"/>
        </w:rPr>
        <w:t xml:space="preserve">Christian confession, sin, and </w:t>
      </w:r>
      <w:r w:rsidRPr="003727EE">
        <w:rPr>
          <w:rStyle w:val="StyleUnderline"/>
        </w:rPr>
        <w:t>the Manichean division between good and evil</w:t>
      </w:r>
      <w:r w:rsidRPr="00553FB0">
        <w:rPr>
          <w:rStyle w:val="StyleUnderline"/>
        </w:rPr>
        <w:t xml:space="preserve"> </w:t>
      </w:r>
      <w:r w:rsidRPr="003727EE">
        <w:rPr>
          <w:rStyle w:val="StyleUnderline"/>
        </w:rPr>
        <w:t xml:space="preserve">served to imprint female sexuality as evil, </w:t>
      </w:r>
      <w:r w:rsidRPr="00051D31">
        <w:rPr>
          <w:rStyle w:val="StyleUnderline"/>
        </w:rPr>
        <w:t>as</w:t>
      </w:r>
      <w:r w:rsidRPr="00600062">
        <w:rPr>
          <w:rStyle w:val="StyleUnderline"/>
        </w:rPr>
        <w:t xml:space="preserve"> </w:t>
      </w:r>
      <w:r w:rsidRPr="00EC3E02">
        <w:rPr>
          <w:rStyle w:val="StyleUnderline"/>
        </w:rPr>
        <w:t>colonized females were understood in relation to Satan</w:t>
      </w:r>
      <w:r w:rsidRPr="00553FB0">
        <w:rPr>
          <w:rStyle w:val="StyleUnderline"/>
        </w:rPr>
        <w:t xml:space="preserve">, sometimes as mounted by Satan. </w:t>
      </w:r>
      <w:r w:rsidRPr="00051D31">
        <w:rPr>
          <w:rStyle w:val="StyleUnderline"/>
          <w:highlight w:val="yellow"/>
        </w:rPr>
        <w:t>The</w:t>
      </w:r>
      <w:r w:rsidRPr="007C001A">
        <w:rPr>
          <w:rStyle w:val="StyleUnderline"/>
        </w:rPr>
        <w:t xml:space="preserve"> civilizing </w:t>
      </w:r>
      <w:r w:rsidRPr="00051D31">
        <w:rPr>
          <w:rStyle w:val="StyleUnderline"/>
          <w:highlight w:val="yellow"/>
        </w:rPr>
        <w:t>transformation justified the colonization of memory, and</w:t>
      </w:r>
      <w:r w:rsidRPr="00600062">
        <w:rPr>
          <w:rStyle w:val="StyleUnderline"/>
        </w:rPr>
        <w:t xml:space="preserve"> </w:t>
      </w:r>
      <w:r w:rsidRPr="00EC3E02">
        <w:rPr>
          <w:rStyle w:val="StyleUnderline"/>
        </w:rPr>
        <w:t xml:space="preserve">thus of </w:t>
      </w:r>
      <w:r w:rsidRPr="00051D31">
        <w:rPr>
          <w:rStyle w:val="StyleUnderline"/>
          <w:highlight w:val="yellow"/>
        </w:rPr>
        <w:t>people's senses of self</w:t>
      </w:r>
      <w:r w:rsidRPr="003727EE">
        <w:rPr>
          <w:rStyle w:val="StyleUnderline"/>
        </w:rPr>
        <w:t>, of intersubjective relation,</w:t>
      </w:r>
      <w:r w:rsidRPr="00E76540">
        <w:rPr>
          <w:rStyle w:val="StyleUnderline"/>
        </w:rPr>
        <w:t xml:space="preserve"> of </w:t>
      </w:r>
      <w:r w:rsidRPr="00051D31">
        <w:rPr>
          <w:rStyle w:val="StyleUnderline"/>
          <w:highlight w:val="yellow"/>
        </w:rPr>
        <w:t>their relation to the spirit world,</w:t>
      </w:r>
      <w:r w:rsidRPr="00E76540">
        <w:rPr>
          <w:rStyle w:val="StyleUnderline"/>
        </w:rPr>
        <w:t xml:space="preserve"> to </w:t>
      </w:r>
      <w:r w:rsidRPr="00051D31">
        <w:rPr>
          <w:rStyle w:val="StyleUnderline"/>
          <w:highlight w:val="yellow"/>
        </w:rPr>
        <w:t>land, to the very fabric of their</w:t>
      </w:r>
      <w:r w:rsidRPr="007B31F6">
        <w:rPr>
          <w:rStyle w:val="StyleUnderline"/>
        </w:rPr>
        <w:t xml:space="preserve"> </w:t>
      </w:r>
      <w:r w:rsidRPr="00EC3E02">
        <w:rPr>
          <w:rStyle w:val="StyleUnderline"/>
        </w:rPr>
        <w:t xml:space="preserve">conception of </w:t>
      </w:r>
      <w:r w:rsidRPr="00051D31">
        <w:rPr>
          <w:rStyle w:val="StyleUnderline"/>
          <w:highlight w:val="yellow"/>
        </w:rPr>
        <w:t>reality, identity, and social, ecological, and cosmological organization</w:t>
      </w:r>
      <w:r w:rsidRPr="00B6545E">
        <w:rPr>
          <w:sz w:val="12"/>
        </w:rPr>
        <w:t xml:space="preserve">. </w:t>
      </w:r>
      <w:r w:rsidRPr="00553FB0">
        <w:rPr>
          <w:rStyle w:val="StyleUnderline"/>
        </w:rPr>
        <w:t xml:space="preserve">Thus, </w:t>
      </w:r>
      <w:r w:rsidRPr="007C001A">
        <w:rPr>
          <w:rStyle w:val="StyleUnderline"/>
        </w:rPr>
        <w:t>as Christianity be- came</w:t>
      </w:r>
      <w:r w:rsidRPr="00553FB0">
        <w:rPr>
          <w:rStyle w:val="StyleUnderline"/>
        </w:rPr>
        <w:t xml:space="preserve"> the most </w:t>
      </w:r>
      <w:r w:rsidRPr="007C001A">
        <w:rPr>
          <w:rStyle w:val="StyleUnderline"/>
        </w:rPr>
        <w:t>powerful</w:t>
      </w:r>
      <w:r w:rsidRPr="00553FB0">
        <w:rPr>
          <w:rStyle w:val="StyleUnderline"/>
        </w:rPr>
        <w:t xml:space="preserve"> instrument in the mission of transformation, </w:t>
      </w:r>
      <w:r w:rsidRPr="007C001A">
        <w:rPr>
          <w:rStyle w:val="StyleUnderline"/>
        </w:rPr>
        <w:t xml:space="preserve">the </w:t>
      </w:r>
      <w:r w:rsidRPr="00051D31">
        <w:rPr>
          <w:rStyle w:val="StyleUnderline"/>
          <w:highlight w:val="yellow"/>
        </w:rPr>
        <w:t>normativity</w:t>
      </w:r>
      <w:r w:rsidRPr="007B31F6">
        <w:rPr>
          <w:rStyle w:val="StyleUnderline"/>
        </w:rPr>
        <w:t xml:space="preserve"> </w:t>
      </w:r>
      <w:r w:rsidRPr="00EC3E02">
        <w:rPr>
          <w:rStyle w:val="StyleUnderline"/>
        </w:rPr>
        <w:t xml:space="preserve">that connected gender and civilization </w:t>
      </w:r>
      <w:r w:rsidRPr="00051D31">
        <w:rPr>
          <w:rStyle w:val="StyleUnderline"/>
          <w:highlight w:val="yellow"/>
        </w:rPr>
        <w:t>became intent on erasing community, ecological practices, knowledge of planting, of weaving, of the cosmos, and not only on changing and controlling reproductive and sexual practices</w:t>
      </w:r>
      <w:r w:rsidRPr="00553FB0">
        <w:rPr>
          <w:rStyle w:val="StyleUnderline"/>
        </w:rPr>
        <w:t xml:space="preserve"> </w:t>
      </w:r>
      <w:r w:rsidRPr="00E76540">
        <w:rPr>
          <w:rStyle w:val="StyleUnderline"/>
        </w:rPr>
        <w:t>One can</w:t>
      </w:r>
      <w:r w:rsidRPr="00553FB0">
        <w:rPr>
          <w:rStyle w:val="StyleUnderline"/>
        </w:rPr>
        <w:t xml:space="preserve"> begin to </w:t>
      </w:r>
      <w:r w:rsidRPr="00E76540">
        <w:rPr>
          <w:rStyle w:val="StyleUnderline"/>
        </w:rPr>
        <w:t>appreciate the tie between</w:t>
      </w:r>
      <w:r w:rsidRPr="00553FB0">
        <w:rPr>
          <w:rStyle w:val="StyleUnderline"/>
        </w:rPr>
        <w:t xml:space="preserve"> the </w:t>
      </w:r>
      <w:r w:rsidRPr="00E76540">
        <w:rPr>
          <w:rStyle w:val="StyleUnderline"/>
        </w:rPr>
        <w:t xml:space="preserve">colonial introduc- tion of </w:t>
      </w:r>
      <w:r w:rsidRPr="00EC3E02">
        <w:rPr>
          <w:rStyle w:val="StyleUnderline"/>
        </w:rPr>
        <w:t>the</w:t>
      </w:r>
      <w:r w:rsidRPr="00553FB0">
        <w:rPr>
          <w:rStyle w:val="StyleUnderline"/>
        </w:rPr>
        <w:t xml:space="preserve"> instrumental </w:t>
      </w:r>
      <w:r w:rsidRPr="00EC3E02">
        <w:rPr>
          <w:rStyle w:val="StyleUnderline"/>
        </w:rPr>
        <w:t xml:space="preserve">modern concept of </w:t>
      </w:r>
      <w:r w:rsidRPr="00E76540">
        <w:rPr>
          <w:rStyle w:val="StyleUnderline"/>
        </w:rPr>
        <w:t>nature central to capitalism</w:t>
      </w:r>
      <w:r w:rsidRPr="00553FB0">
        <w:rPr>
          <w:rStyle w:val="StyleUnderline"/>
        </w:rPr>
        <w:t xml:space="preserve">, </w:t>
      </w:r>
      <w:r w:rsidRPr="00E76540">
        <w:rPr>
          <w:rStyle w:val="StyleUnderline"/>
        </w:rPr>
        <w:t>and the colonial introduction of the modern concept of gender</w:t>
      </w:r>
      <w:r w:rsidRPr="00EC3E02">
        <w:rPr>
          <w:rStyle w:val="StyleUnderline"/>
        </w:rPr>
        <w:t>, and appreciate it as macabre and heavy in its impressive ramification</w:t>
      </w:r>
      <w:r w:rsidRPr="00B6545E">
        <w:rPr>
          <w:sz w:val="12"/>
        </w:rPr>
        <w:t>s. One can also recognize, in the scope I am giving to the imposition of the modern, colonial, gender system, the dehumanization constitutive of the coloniality of being. The concept of the coloniality of being that I understand as related to the process of dehumanization was developed by Nelson Maldonado Torres (2008).</w:t>
      </w:r>
    </w:p>
    <w:p w14:paraId="7DAA7654" w14:textId="77777777" w:rsidR="00475E5D" w:rsidRDefault="00475E5D" w:rsidP="00475E5D">
      <w:pPr>
        <w:rPr>
          <w:sz w:val="12"/>
        </w:rPr>
      </w:pPr>
    </w:p>
    <w:p w14:paraId="48BCCBE5" w14:textId="3BA8758F" w:rsidR="00475E5D" w:rsidRDefault="00475E5D" w:rsidP="00475E5D">
      <w:pPr>
        <w:pStyle w:val="Heading4"/>
        <w:numPr>
          <w:ilvl w:val="0"/>
          <w:numId w:val="1"/>
        </w:numPr>
      </w:pPr>
      <w:r>
        <w:t xml:space="preserve">Care work- Your care work fails because it isn’t oriented toward anti-capitalism, which means it reifies charity models, which commodify disabled people and reinforce capitalist ablism. </w:t>
      </w:r>
    </w:p>
    <w:p w14:paraId="0DE6E58A" w14:textId="77777777" w:rsidR="00475E5D" w:rsidRPr="00A508A7" w:rsidRDefault="00475E5D" w:rsidP="00475E5D">
      <w:pPr>
        <w:rPr>
          <w:rStyle w:val="Style13ptBold"/>
        </w:rPr>
      </w:pPr>
      <w:r w:rsidRPr="00A508A7">
        <w:rPr>
          <w:rStyle w:val="Style13ptBold"/>
          <w:highlight w:val="green"/>
        </w:rPr>
        <w:t>Hubrid ‘21</w:t>
      </w:r>
    </w:p>
    <w:p w14:paraId="6E008E56" w14:textId="77777777" w:rsidR="00475E5D" w:rsidRDefault="00475E5D" w:rsidP="00475E5D">
      <w:r>
        <w:t xml:space="preserve">[Ada Hubrig, “Care Work, Queercrib Labor Politics, and Queer Generosities,” QED Vol 8, No 3. Fall 2021. </w:t>
      </w:r>
      <w:r w:rsidRPr="00A508A7">
        <w:t>https://muse.jhu.edu/pub/26/article/852971/pdf</w:t>
      </w:r>
      <w:r>
        <w:t xml:space="preserve">]Lo </w:t>
      </w:r>
    </w:p>
    <w:p w14:paraId="266163B8" w14:textId="77777777" w:rsidR="00475E5D" w:rsidRPr="00A508A7" w:rsidRDefault="00475E5D" w:rsidP="00475E5D">
      <w:pPr>
        <w:rPr>
          <w:sz w:val="16"/>
        </w:rPr>
      </w:pPr>
      <w:r w:rsidRPr="00A508A7">
        <w:rPr>
          <w:sz w:val="16"/>
        </w:rPr>
        <w:t xml:space="preserve">In imagining queer generosity through queercrip politics, I begin with hesita- tion and uneasiness about this word “generosity” that must be addressed. For many disabled people, any framework calling itself “generosity” may bring with it connotations of charity models. And these </w:t>
      </w:r>
      <w:r w:rsidRPr="00A508A7">
        <w:rPr>
          <w:rStyle w:val="StyleUnderline"/>
          <w:highlight w:val="green"/>
        </w:rPr>
        <w:t>charity models</w:t>
      </w:r>
      <w:r w:rsidRPr="000A73C8">
        <w:rPr>
          <w:rStyle w:val="StyleUnderline"/>
        </w:rPr>
        <w:t xml:space="preserve"> often </w:t>
      </w:r>
      <w:r w:rsidRPr="00A508A7">
        <w:rPr>
          <w:rStyle w:val="StyleUnderline"/>
          <w:highlight w:val="green"/>
        </w:rPr>
        <w:t>harm disabled people and reinforce</w:t>
      </w:r>
      <w:r w:rsidRPr="00A508A7">
        <w:rPr>
          <w:sz w:val="16"/>
          <w:highlight w:val="green"/>
        </w:rPr>
        <w:t xml:space="preserve"> the very </w:t>
      </w:r>
      <w:r w:rsidRPr="00A508A7">
        <w:rPr>
          <w:rStyle w:val="StyleUnderline"/>
          <w:highlight w:val="green"/>
        </w:rPr>
        <w:t>inequalities</w:t>
      </w:r>
      <w:r w:rsidRPr="00A508A7">
        <w:rPr>
          <w:sz w:val="16"/>
        </w:rPr>
        <w:t xml:space="preserve"> they supposedly address.</w:t>
      </w:r>
    </w:p>
    <w:p w14:paraId="013B41AB" w14:textId="77777777" w:rsidR="00475E5D" w:rsidRPr="00A508A7" w:rsidRDefault="00475E5D" w:rsidP="00475E5D">
      <w:pPr>
        <w:rPr>
          <w:sz w:val="16"/>
        </w:rPr>
      </w:pPr>
      <w:r w:rsidRPr="00A508A7">
        <w:rPr>
          <w:sz w:val="16"/>
        </w:rPr>
        <w:t xml:space="preserve">I point to the supposed generosity of GoFundMe pages. </w:t>
      </w:r>
      <w:r w:rsidRPr="000A73C8">
        <w:rPr>
          <w:rStyle w:val="StyleUnderline"/>
        </w:rPr>
        <w:t>GoFundMe</w:t>
      </w:r>
      <w:r w:rsidRPr="00A508A7">
        <w:rPr>
          <w:sz w:val="16"/>
        </w:rPr>
        <w:t xml:space="preserve"> often operates on </w:t>
      </w:r>
      <w:r w:rsidRPr="00A508A7">
        <w:rPr>
          <w:rStyle w:val="StyleUnderline"/>
          <w:highlight w:val="green"/>
        </w:rPr>
        <w:t>charity</w:t>
      </w:r>
      <w:r w:rsidRPr="00A508A7">
        <w:rPr>
          <w:sz w:val="16"/>
        </w:rPr>
        <w:t xml:space="preserve">-­ </w:t>
      </w:r>
      <w:r w:rsidRPr="000A73C8">
        <w:rPr>
          <w:rStyle w:val="StyleUnderline"/>
        </w:rPr>
        <w:t xml:space="preserve">driven </w:t>
      </w:r>
      <w:r w:rsidRPr="00A508A7">
        <w:rPr>
          <w:rStyle w:val="StyleUnderline"/>
          <w:highlight w:val="green"/>
        </w:rPr>
        <w:t>models</w:t>
      </w:r>
      <w:r w:rsidRPr="00A508A7">
        <w:rPr>
          <w:sz w:val="16"/>
        </w:rPr>
        <w:t xml:space="preserve"> of generosity, and often disabled people are </w:t>
      </w:r>
      <w:r w:rsidRPr="00A508A7">
        <w:rPr>
          <w:rStyle w:val="StyleUnderline"/>
          <w:highlight w:val="green"/>
        </w:rPr>
        <w:t>ask</w:t>
      </w:r>
      <w:r w:rsidRPr="00A508A7">
        <w:rPr>
          <w:sz w:val="16"/>
        </w:rPr>
        <w:t xml:space="preserve">ed </w:t>
      </w:r>
      <w:r w:rsidRPr="00A508A7">
        <w:rPr>
          <w:rStyle w:val="StyleUnderline"/>
          <w:highlight w:val="green"/>
        </w:rPr>
        <w:t>to</w:t>
      </w:r>
      <w:r w:rsidRPr="00A508A7">
        <w:rPr>
          <w:sz w:val="16"/>
          <w:highlight w:val="green"/>
        </w:rPr>
        <w:t xml:space="preserve"> </w:t>
      </w:r>
      <w:r w:rsidRPr="00A508A7">
        <w:rPr>
          <w:rStyle w:val="StyleUnderline"/>
          <w:highlight w:val="green"/>
        </w:rPr>
        <w:t>package their traumas to receive</w:t>
      </w:r>
      <w:r w:rsidRPr="00A508A7">
        <w:rPr>
          <w:sz w:val="16"/>
        </w:rPr>
        <w:t xml:space="preserve"> necessary </w:t>
      </w:r>
      <w:r w:rsidRPr="00A508A7">
        <w:rPr>
          <w:rStyle w:val="StyleUnderline"/>
          <w:highlight w:val="green"/>
        </w:rPr>
        <w:t>aid</w:t>
      </w:r>
      <w:r w:rsidRPr="00A508A7">
        <w:rPr>
          <w:sz w:val="16"/>
        </w:rPr>
        <w:t>. My own survival has depended on such an ability to</w:t>
      </w:r>
      <w:r w:rsidRPr="000A73C8">
        <w:rPr>
          <w:rStyle w:val="StyleUnderline"/>
        </w:rPr>
        <w:t xml:space="preserve"> </w:t>
      </w:r>
      <w:r w:rsidRPr="00A508A7">
        <w:rPr>
          <w:rStyle w:val="StyleUnderline"/>
          <w:highlight w:val="green"/>
        </w:rPr>
        <w:t>package my medical traumas</w:t>
      </w:r>
      <w:r w:rsidRPr="00A508A7">
        <w:rPr>
          <w:sz w:val="16"/>
        </w:rPr>
        <w:t xml:space="preserve"> in these models </w:t>
      </w:r>
      <w:r w:rsidRPr="00A508A7">
        <w:rPr>
          <w:rStyle w:val="StyleUnderline"/>
          <w:highlight w:val="green"/>
        </w:rPr>
        <w:t>as a commodity to survive</w:t>
      </w:r>
      <w:r w:rsidRPr="00A508A7">
        <w:rPr>
          <w:sz w:val="16"/>
        </w:rPr>
        <w:t xml:space="preserve">, to be the smiling, long-­ suffering crip. Although I’m grateful to those who created the fundraising page and those who donated, I also know the impact of such “charitable” systems in commodifying trauma and of perfect strangers expecting updates on the most intimate details of my life. Eli Clare details how </w:t>
      </w:r>
      <w:r w:rsidRPr="000A73C8">
        <w:rPr>
          <w:rStyle w:val="StyleUnderline"/>
        </w:rPr>
        <w:t>telethons similarly commodify disabled bodies and experiences:</w:t>
      </w:r>
      <w:r w:rsidRPr="00A508A7">
        <w:rPr>
          <w:sz w:val="16"/>
        </w:rPr>
        <w:t xml:space="preserve"> “The disabled people up there on stage are stripped of their real live humanity and become projections, objects to which the audience can attach its pity and beliefs about tragedy.”7 </w:t>
      </w:r>
      <w:r w:rsidRPr="00A508A7">
        <w:rPr>
          <w:rStyle w:val="StyleUnderline"/>
          <w:highlight w:val="green"/>
        </w:rPr>
        <w:t>Through this objectification and pity, charity models</w:t>
      </w:r>
      <w:r w:rsidRPr="00A508A7">
        <w:rPr>
          <w:sz w:val="16"/>
        </w:rPr>
        <w:t xml:space="preserve"> like GoFundMe campaigns8 and Telethons often </w:t>
      </w:r>
      <w:r w:rsidRPr="00A508A7">
        <w:rPr>
          <w:rStyle w:val="StyleUnderline"/>
          <w:highlight w:val="green"/>
        </w:rPr>
        <w:t xml:space="preserve">dehumanize disabled folks, </w:t>
      </w:r>
      <w:r w:rsidRPr="00A508A7">
        <w:rPr>
          <w:rStyle w:val="StyleUnderline"/>
          <w:highlight w:val="green"/>
        </w:rPr>
        <w:lastRenderedPageBreak/>
        <w:t>and reinforce notions that</w:t>
      </w:r>
      <w:r w:rsidRPr="00A508A7">
        <w:rPr>
          <w:sz w:val="16"/>
        </w:rPr>
        <w:t xml:space="preserve"> it’s us </w:t>
      </w:r>
      <w:r w:rsidRPr="00A508A7">
        <w:rPr>
          <w:rStyle w:val="StyleUnderline"/>
          <w:highlight w:val="green"/>
        </w:rPr>
        <w:t>disabled people fail</w:t>
      </w:r>
      <w:r w:rsidRPr="00A508A7">
        <w:rPr>
          <w:sz w:val="16"/>
        </w:rPr>
        <w:t xml:space="preserve">ing at capitalist sys- tems </w:t>
      </w:r>
      <w:r w:rsidRPr="00A508A7">
        <w:rPr>
          <w:rStyle w:val="StyleUnderline"/>
          <w:highlight w:val="green"/>
        </w:rPr>
        <w:t>rather than</w:t>
      </w:r>
      <w:r w:rsidRPr="00A508A7">
        <w:rPr>
          <w:sz w:val="16"/>
        </w:rPr>
        <w:t xml:space="preserve"> the intrinsic shortcomings of </w:t>
      </w:r>
      <w:r w:rsidRPr="00A508A7">
        <w:rPr>
          <w:rStyle w:val="StyleUnderline"/>
          <w:highlight w:val="green"/>
        </w:rPr>
        <w:t>capitalist systems failing us.</w:t>
      </w:r>
      <w:r w:rsidRPr="00A508A7">
        <w:rPr>
          <w:sz w:val="16"/>
        </w:rPr>
        <w:t xml:space="preserve"> In short, the concern is that </w:t>
      </w:r>
      <w:r w:rsidRPr="00A508A7">
        <w:rPr>
          <w:rStyle w:val="StyleUnderline"/>
          <w:highlight w:val="green"/>
        </w:rPr>
        <w:t>these systems</w:t>
      </w:r>
      <w:r w:rsidRPr="000A73C8">
        <w:rPr>
          <w:rStyle w:val="StyleUnderline"/>
        </w:rPr>
        <w:t xml:space="preserve"> of charity</w:t>
      </w:r>
      <w:r w:rsidRPr="00A508A7">
        <w:rPr>
          <w:sz w:val="16"/>
        </w:rPr>
        <w:t xml:space="preserve"> ultimately </w:t>
      </w:r>
      <w:r w:rsidRPr="00A508A7">
        <w:rPr>
          <w:rStyle w:val="StyleUnderline"/>
          <w:highlight w:val="green"/>
        </w:rPr>
        <w:t>reinforce ableist capitalist systems,</w:t>
      </w:r>
      <w:r w:rsidRPr="00A508A7">
        <w:rPr>
          <w:sz w:val="16"/>
        </w:rPr>
        <w:t xml:space="preserve"> and there’s nothing “generous” about it.</w:t>
      </w:r>
    </w:p>
    <w:p w14:paraId="5952FCF5" w14:textId="77777777" w:rsidR="00475E5D" w:rsidRDefault="00475E5D" w:rsidP="00475E5D">
      <w:pPr>
        <w:rPr>
          <w:sz w:val="16"/>
        </w:rPr>
      </w:pPr>
      <w:r w:rsidRPr="00A508A7">
        <w:rPr>
          <w:sz w:val="16"/>
        </w:rPr>
        <w:t xml:space="preserve">Care work is an alternative to capitalist charities and the commodification of disabled lived experiences. Piepzna-­ Samarasinha describes the need for care work and how </w:t>
      </w:r>
      <w:r w:rsidRPr="00A508A7">
        <w:rPr>
          <w:rStyle w:val="StyleUnderline"/>
          <w:highlight w:val="green"/>
        </w:rPr>
        <w:t>care dictated by capitalism is</w:t>
      </w:r>
      <w:r w:rsidRPr="000A73C8">
        <w:rPr>
          <w:rStyle w:val="StyleUnderline"/>
        </w:rPr>
        <w:t xml:space="preserve"> often </w:t>
      </w:r>
      <w:r w:rsidRPr="00A508A7">
        <w:rPr>
          <w:rStyle w:val="StyleUnderline"/>
          <w:highlight w:val="green"/>
        </w:rPr>
        <w:t>not extended to marginalized communities and</w:t>
      </w:r>
      <w:r w:rsidRPr="00A508A7">
        <w:rPr>
          <w:sz w:val="16"/>
        </w:rPr>
        <w:t xml:space="preserve">—­ in the rare cases when it is—­ </w:t>
      </w:r>
      <w:r w:rsidRPr="00A508A7">
        <w:rPr>
          <w:rStyle w:val="StyleUnderline"/>
          <w:highlight w:val="green"/>
        </w:rPr>
        <w:t>comes with strings</w:t>
      </w:r>
      <w:r w:rsidRPr="000A73C8">
        <w:rPr>
          <w:rStyle w:val="StyleUnderline"/>
        </w:rPr>
        <w:t xml:space="preserve"> attached.</w:t>
      </w:r>
      <w:r w:rsidRPr="00A508A7">
        <w:rPr>
          <w:sz w:val="16"/>
        </w:rPr>
        <w:t xml:space="preserve"> They describe how accepting care often means </w:t>
      </w:r>
      <w:r w:rsidRPr="00A508A7">
        <w:rPr>
          <w:rStyle w:val="StyleUnderline"/>
          <w:highlight w:val="green"/>
        </w:rPr>
        <w:t>accepting control</w:t>
      </w:r>
      <w:r w:rsidRPr="00A508A7">
        <w:rPr>
          <w:rStyle w:val="StyleUnderline"/>
        </w:rPr>
        <w:t xml:space="preserve">—­ </w:t>
      </w:r>
      <w:r w:rsidRPr="00A508A7">
        <w:rPr>
          <w:rStyle w:val="StyleUnderline"/>
          <w:highlight w:val="green"/>
        </w:rPr>
        <w:t>from the state, from family</w:t>
      </w:r>
      <w:r w:rsidRPr="00A508A7">
        <w:rPr>
          <w:rStyle w:val="StyleUnderline"/>
        </w:rPr>
        <w:t xml:space="preserve">, </w:t>
      </w:r>
      <w:r w:rsidRPr="00A508A7">
        <w:rPr>
          <w:sz w:val="16"/>
        </w:rPr>
        <w:t>and in other ways in which disabled people are denied dig- nity, agency, and humanity9 that result from these charity-­ driven responses to the need of care and assistance.</w:t>
      </w:r>
    </w:p>
    <w:p w14:paraId="78865C21" w14:textId="49466643" w:rsidR="00475E5D" w:rsidRDefault="00475E5D" w:rsidP="00475E5D">
      <w:pPr>
        <w:pStyle w:val="Heading4"/>
        <w:numPr>
          <w:ilvl w:val="0"/>
          <w:numId w:val="1"/>
        </w:numPr>
      </w:pPr>
      <w:r>
        <w:t>The 1AC invokes heteronormativity through the imagery of “domestic workers” and their relationship to futurity</w:t>
      </w:r>
      <w:r w:rsidR="00662651">
        <w:t xml:space="preserve"> as an asepct of feminity</w:t>
      </w:r>
      <w:r>
        <w:t>. This produces futures which erase queerness and reproduce white supremacy—turns the aff</w:t>
      </w:r>
    </w:p>
    <w:p w14:paraId="558967B5" w14:textId="77777777" w:rsidR="00475E5D" w:rsidRDefault="00475E5D" w:rsidP="00475E5D">
      <w:pPr>
        <w:rPr>
          <w:rStyle w:val="Style13ptBold"/>
        </w:rPr>
      </w:pPr>
      <w:r>
        <w:rPr>
          <w:rStyle w:val="Style13ptBold"/>
          <w:highlight w:val="green"/>
        </w:rPr>
        <w:t>O’Rourke ‘21</w:t>
      </w:r>
    </w:p>
    <w:p w14:paraId="135C5F0D" w14:textId="77777777" w:rsidR="00475E5D" w:rsidRDefault="00475E5D" w:rsidP="00475E5D">
      <w:r>
        <w:t>[Alex O’Rourke, “Reproductive Futurism,” 2021. Accessed 25 October 2023, https://union.manifoldapp.org/read/literary-criticism-dictionary-2021/section/cd500090-1b9e-4487-ac5b-d8ccf755c695]Lo</w:t>
      </w:r>
    </w:p>
    <w:p w14:paraId="59B73676" w14:textId="77777777" w:rsidR="00475E5D" w:rsidRDefault="00475E5D" w:rsidP="00475E5D">
      <w:pPr>
        <w:rPr>
          <w:rStyle w:val="StyleUnderline"/>
        </w:rPr>
      </w:pPr>
      <w:r>
        <w:rPr>
          <w:sz w:val="14"/>
        </w:rPr>
        <w:t xml:space="preserve">In his book, No Future: Queer Theory and the Death Drive (2004), literary theorist Lee Edelman concerns himself with the ethics of Queer Theory. </w:t>
      </w:r>
      <w:r>
        <w:rPr>
          <w:rStyle w:val="StyleUnderline"/>
        </w:rPr>
        <w:t xml:space="preserve">Edelman criticizes the figure of the child in Reproductive Futurism, explaining that </w:t>
      </w:r>
      <w:r>
        <w:rPr>
          <w:rStyle w:val="StyleUnderline"/>
          <w:highlight w:val="green"/>
        </w:rPr>
        <w:t xml:space="preserve">the idea of an </w:t>
      </w:r>
      <w:r>
        <w:rPr>
          <w:rStyle w:val="Emphasis"/>
          <w:highlight w:val="green"/>
        </w:rPr>
        <w:t>innocent child in need of protection is</w:t>
      </w:r>
      <w:r>
        <w:rPr>
          <w:rStyle w:val="StyleUnderline"/>
        </w:rPr>
        <w:t xml:space="preserve"> theoretically and fundamentally </w:t>
      </w:r>
      <w:r>
        <w:rPr>
          <w:rStyle w:val="Emphasis"/>
          <w:highlight w:val="green"/>
        </w:rPr>
        <w:t>pitted against queerness in our cultural imaginaries</w:t>
      </w:r>
      <w:r>
        <w:rPr>
          <w:rStyle w:val="StyleUnderline"/>
          <w:highlight w:val="green"/>
        </w:rPr>
        <w:t xml:space="preserve"> and consequentially queerness is negatively understood as future disabling</w:t>
      </w:r>
      <w:r>
        <w:rPr>
          <w:rStyle w:val="StyleUnderline"/>
        </w:rPr>
        <w:t xml:space="preserve">. The concept of </w:t>
      </w:r>
      <w:r>
        <w:rPr>
          <w:rStyle w:val="StyleUnderline"/>
          <w:highlight w:val="green"/>
        </w:rPr>
        <w:t>Reproductive Futurism places all future hope upon children. It is the</w:t>
      </w:r>
      <w:r>
        <w:rPr>
          <w:rStyle w:val="StyleUnderline"/>
        </w:rPr>
        <w:t xml:space="preserve"> </w:t>
      </w:r>
      <w:r>
        <w:rPr>
          <w:sz w:val="14"/>
        </w:rPr>
        <w:t xml:space="preserve">belief that political science exists upon the fundamental </w:t>
      </w:r>
      <w:r>
        <w:rPr>
          <w:rStyle w:val="StyleUnderline"/>
          <w:highlight w:val="green"/>
        </w:rPr>
        <w:t>motive</w:t>
      </w:r>
      <w:r>
        <w:rPr>
          <w:sz w:val="14"/>
          <w:highlight w:val="green"/>
        </w:rPr>
        <w:t xml:space="preserve"> </w:t>
      </w:r>
      <w:r>
        <w:rPr>
          <w:rStyle w:val="StyleUnderline"/>
          <w:highlight w:val="green"/>
        </w:rPr>
        <w:t>to create a better future for the next generation.</w:t>
      </w:r>
      <w:r>
        <w:rPr>
          <w:sz w:val="14"/>
        </w:rPr>
        <w:t xml:space="preserve"> </w:t>
      </w:r>
      <w:r>
        <w:rPr>
          <w:rStyle w:val="StyleUnderline"/>
        </w:rPr>
        <w:t xml:space="preserve">Reproductive futurism thus believes that through politics we can make a better future and </w:t>
      </w:r>
      <w:r>
        <w:rPr>
          <w:rStyle w:val="StyleUnderline"/>
          <w:highlight w:val="green"/>
        </w:rPr>
        <w:t>that future is symbolized by children</w:t>
      </w:r>
      <w:r>
        <w:rPr>
          <w:sz w:val="14"/>
        </w:rPr>
        <w:t xml:space="preserve"> (Edelman 3). </w:t>
      </w:r>
      <w:r>
        <w:rPr>
          <w:rStyle w:val="StyleUnderline"/>
          <w:highlight w:val="green"/>
        </w:rPr>
        <w:t>This idea</w:t>
      </w:r>
      <w:r>
        <w:rPr>
          <w:sz w:val="14"/>
        </w:rPr>
        <w:t xml:space="preserve"> essentially </w:t>
      </w:r>
      <w:r>
        <w:rPr>
          <w:rStyle w:val="StyleUnderline"/>
          <w:highlight w:val="green"/>
        </w:rPr>
        <w:t>is</w:t>
      </w:r>
      <w:r>
        <w:rPr>
          <w:sz w:val="14"/>
        </w:rPr>
        <w:t xml:space="preserve"> strictly heterosexual and </w:t>
      </w:r>
      <w:r>
        <w:rPr>
          <w:rStyle w:val="StyleUnderline"/>
          <w:highlight w:val="green"/>
        </w:rPr>
        <w:t>heteronormative</w:t>
      </w:r>
      <w:r>
        <w:rPr>
          <w:sz w:val="14"/>
        </w:rPr>
        <w:t xml:space="preserve">, and anything in opposition simply put is against the concept of the aim of politics, children, and the continuation of time. </w:t>
      </w:r>
      <w:r>
        <w:rPr>
          <w:rStyle w:val="StyleUnderline"/>
        </w:rPr>
        <w:t xml:space="preserve">Therefore, </w:t>
      </w:r>
      <w:r>
        <w:rPr>
          <w:rStyle w:val="Emphasis"/>
          <w:highlight w:val="green"/>
        </w:rPr>
        <w:t>queerness ceases to exist in the realm of Reproductive Futurism.</w:t>
      </w:r>
      <w:r>
        <w:rPr>
          <w:sz w:val="14"/>
        </w:rPr>
        <w:t xml:space="preserve"> In his book No Future, Edelman rejects Reproductive Futurism and homophobia placed upon homosexuals on the ground that they abandon reproduction and the potential for a future. </w:t>
      </w:r>
      <w:r>
        <w:rPr>
          <w:rStyle w:val="StyleUnderline"/>
        </w:rPr>
        <w:t>To be a reproductive futurist is to fight for the child, and if you are not reproducing you are not fighting for the child and therefore the future.</w:t>
      </w:r>
    </w:p>
    <w:p w14:paraId="64B1244E" w14:textId="77777777" w:rsidR="00475E5D" w:rsidRDefault="00475E5D" w:rsidP="00475E5D">
      <w:pPr>
        <w:rPr>
          <w:rStyle w:val="Emphasis"/>
        </w:rPr>
      </w:pPr>
      <w:r>
        <w:rPr>
          <w:sz w:val="14"/>
        </w:rPr>
        <w:t xml:space="preserve">Sharon Patricia Holland, in her book The Erotic Life of Racism, utilizes Edelman, Reproductive Futurism, and the idea of an unpredictable future to tether Queer Theory and Critical Race Theory. </w:t>
      </w:r>
      <w:r>
        <w:rPr>
          <w:rStyle w:val="StyleUnderline"/>
        </w:rPr>
        <w:t xml:space="preserve">Holland argues that subscribing to </w:t>
      </w:r>
      <w:r>
        <w:rPr>
          <w:rStyle w:val="StyleUnderline"/>
          <w:highlight w:val="green"/>
        </w:rPr>
        <w:t xml:space="preserve">the idea of “the future” submits people to repetition, heteronormativity, and biological belonging. White supremacy and political power’s visions and values cast the individual beyond </w:t>
      </w:r>
      <w:r>
        <w:rPr>
          <w:rStyle w:val="Emphasis"/>
          <w:highlight w:val="green"/>
        </w:rPr>
        <w:t>and condone “racial feeling.”</w:t>
      </w:r>
    </w:p>
    <w:p w14:paraId="0B218A86" w14:textId="77777777" w:rsidR="006C4714" w:rsidRDefault="006C4714"/>
    <w:sectPr w:rsidR="006C47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GoudyStd">
    <w:altName w:val="Cambria"/>
    <w:panose1 w:val="020B0604020202020204"/>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8E7A9C"/>
    <w:multiLevelType w:val="hybridMultilevel"/>
    <w:tmpl w:val="7A7C8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DD5528D"/>
    <w:multiLevelType w:val="hybridMultilevel"/>
    <w:tmpl w:val="7A7C84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00537280">
    <w:abstractNumId w:val="10"/>
  </w:num>
  <w:num w:numId="2" w16cid:durableId="909073978">
    <w:abstractNumId w:val="14"/>
  </w:num>
  <w:num w:numId="3" w16cid:durableId="1170870560">
    <w:abstractNumId w:val="9"/>
  </w:num>
  <w:num w:numId="4" w16cid:durableId="833834185">
    <w:abstractNumId w:val="7"/>
  </w:num>
  <w:num w:numId="5" w16cid:durableId="483855610">
    <w:abstractNumId w:val="6"/>
  </w:num>
  <w:num w:numId="6" w16cid:durableId="490291629">
    <w:abstractNumId w:val="5"/>
  </w:num>
  <w:num w:numId="7" w16cid:durableId="1864976328">
    <w:abstractNumId w:val="4"/>
  </w:num>
  <w:num w:numId="8" w16cid:durableId="2064716988">
    <w:abstractNumId w:val="8"/>
  </w:num>
  <w:num w:numId="9" w16cid:durableId="1002856598">
    <w:abstractNumId w:val="3"/>
  </w:num>
  <w:num w:numId="10" w16cid:durableId="1377390552">
    <w:abstractNumId w:val="2"/>
  </w:num>
  <w:num w:numId="11" w16cid:durableId="1014767844">
    <w:abstractNumId w:val="1"/>
  </w:num>
  <w:num w:numId="12" w16cid:durableId="183520292">
    <w:abstractNumId w:val="0"/>
  </w:num>
  <w:num w:numId="13" w16cid:durableId="1205605210">
    <w:abstractNumId w:val="13"/>
  </w:num>
  <w:num w:numId="14" w16cid:durableId="1695883432">
    <w:abstractNumId w:val="12"/>
  </w:num>
  <w:num w:numId="15" w16cid:durableId="720713117">
    <w:abstractNumId w:val="11"/>
  </w:num>
  <w:num w:numId="16" w16cid:durableId="10269791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val="bestFit" w:percent="146"/>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E5D"/>
    <w:rsid w:val="000B7228"/>
    <w:rsid w:val="00475E5D"/>
    <w:rsid w:val="004F543E"/>
    <w:rsid w:val="00662651"/>
    <w:rsid w:val="006C4714"/>
    <w:rsid w:val="009E1029"/>
    <w:rsid w:val="009F76D2"/>
    <w:rsid w:val="00AA4C1A"/>
    <w:rsid w:val="00D13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3107EE"/>
  <w15:chartTrackingRefBased/>
  <w15:docId w15:val="{5191BFF2-7A83-D749-A5EC-B8389AE59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F543E"/>
    <w:pPr>
      <w:spacing w:after="160"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4F543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F543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F543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Ch, Ch,TAG,Big card,body,small text,Normal Tag,no read,No Spacing211,No Spacing12,No Spacing2111,No Spacing11111,No Spacing111111,Heading 2 Char Char Char Char,No Spacing1,ta,T,t,tag,small space,Dont use,Ta"/>
    <w:basedOn w:val="Normal"/>
    <w:next w:val="Normal"/>
    <w:link w:val="Heading4Char"/>
    <w:uiPriority w:val="3"/>
    <w:qFormat/>
    <w:rsid w:val="004F543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F543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75E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E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E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E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F54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F543E"/>
  </w:style>
  <w:style w:type="character" w:customStyle="1" w:styleId="Heading1Char">
    <w:name w:val="Heading 1 Char"/>
    <w:aliases w:val="Pocket Char"/>
    <w:basedOn w:val="DefaultParagraphFont"/>
    <w:link w:val="Heading1"/>
    <w:rsid w:val="004F543E"/>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F543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4F543E"/>
    <w:rPr>
      <w:rFonts w:ascii="Calibri" w:eastAsiaTheme="majorEastAsia" w:hAnsi="Calibri" w:cstheme="majorBidi"/>
      <w:b/>
      <w:kern w:val="0"/>
      <w:sz w:val="32"/>
      <w:u w:val="single"/>
      <w14:ligatures w14:val="none"/>
    </w:rPr>
  </w:style>
  <w:style w:type="character" w:customStyle="1" w:styleId="Heading4Char">
    <w:name w:val="Heading 4 Char"/>
    <w:aliases w:val="Tag Char,heading 2 Char,Heading 2 Char2 Char Char,Ch Char, Ch Char,TAG Char,Big card Char,body Char,small text Char,Normal Tag Char,no read Char,No Spacing211 Char,No Spacing12 Char,No Spacing2111 Char,No Spacing11111 Char,ta Char,T Char"/>
    <w:basedOn w:val="DefaultParagraphFont"/>
    <w:link w:val="Heading4"/>
    <w:uiPriority w:val="3"/>
    <w:rsid w:val="004F543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F543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75E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E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E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E5D"/>
    <w:rPr>
      <w:rFonts w:eastAsiaTheme="majorEastAsia" w:cstheme="majorBidi"/>
      <w:color w:val="272727" w:themeColor="text1" w:themeTint="D8"/>
    </w:rPr>
  </w:style>
  <w:style w:type="paragraph" w:styleId="Title">
    <w:name w:val="Title"/>
    <w:basedOn w:val="Normal"/>
    <w:next w:val="Normal"/>
    <w:link w:val="TitleChar"/>
    <w:uiPriority w:val="10"/>
    <w:qFormat/>
    <w:rsid w:val="00475E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E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E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E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E5D"/>
    <w:pPr>
      <w:spacing w:before="160"/>
      <w:jc w:val="center"/>
    </w:pPr>
    <w:rPr>
      <w:i/>
      <w:iCs/>
      <w:color w:val="404040" w:themeColor="text1" w:themeTint="BF"/>
    </w:rPr>
  </w:style>
  <w:style w:type="character" w:customStyle="1" w:styleId="QuoteChar">
    <w:name w:val="Quote Char"/>
    <w:basedOn w:val="DefaultParagraphFont"/>
    <w:link w:val="Quote"/>
    <w:uiPriority w:val="29"/>
    <w:rsid w:val="00475E5D"/>
    <w:rPr>
      <w:i/>
      <w:iCs/>
      <w:color w:val="404040" w:themeColor="text1" w:themeTint="BF"/>
    </w:rPr>
  </w:style>
  <w:style w:type="paragraph" w:styleId="ListParagraph">
    <w:name w:val="List Paragraph"/>
    <w:basedOn w:val="Normal"/>
    <w:uiPriority w:val="34"/>
    <w:qFormat/>
    <w:rsid w:val="00475E5D"/>
    <w:pPr>
      <w:ind w:left="720"/>
      <w:contextualSpacing/>
    </w:pPr>
  </w:style>
  <w:style w:type="character" w:styleId="IntenseEmphasis">
    <w:name w:val="Intense Emphasis"/>
    <w:basedOn w:val="DefaultParagraphFont"/>
    <w:uiPriority w:val="21"/>
    <w:qFormat/>
    <w:rsid w:val="00475E5D"/>
    <w:rPr>
      <w:i/>
      <w:iCs/>
      <w:color w:val="0F4761" w:themeColor="accent1" w:themeShade="BF"/>
    </w:rPr>
  </w:style>
  <w:style w:type="paragraph" w:styleId="IntenseQuote">
    <w:name w:val="Intense Quote"/>
    <w:basedOn w:val="Normal"/>
    <w:next w:val="Normal"/>
    <w:link w:val="IntenseQuoteChar"/>
    <w:uiPriority w:val="30"/>
    <w:qFormat/>
    <w:rsid w:val="00475E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5E5D"/>
    <w:rPr>
      <w:i/>
      <w:iCs/>
      <w:color w:val="0F4761" w:themeColor="accent1" w:themeShade="BF"/>
    </w:rPr>
  </w:style>
  <w:style w:type="character" w:styleId="IntenseReference">
    <w:name w:val="Intense Reference"/>
    <w:basedOn w:val="DefaultParagraphFont"/>
    <w:uiPriority w:val="32"/>
    <w:qFormat/>
    <w:rsid w:val="00475E5D"/>
    <w:rPr>
      <w:b/>
      <w:bCs/>
      <w:smallCaps/>
      <w:color w:val="0F4761" w:themeColor="accent1" w:themeShade="BF"/>
      <w:spacing w:val="5"/>
    </w:rPr>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s,/"/>
    <w:basedOn w:val="DefaultParagraphFont"/>
    <w:link w:val="textbold"/>
    <w:uiPriority w:val="8"/>
    <w:qFormat/>
    <w:rsid w:val="004F543E"/>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F543E"/>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uiPriority w:val="7"/>
    <w:qFormat/>
    <w:rsid w:val="004F543E"/>
    <w:rPr>
      <w:b w:val="0"/>
      <w:sz w:val="22"/>
      <w:u w:val="single"/>
    </w:rPr>
  </w:style>
  <w:style w:type="paragraph" w:customStyle="1" w:styleId="textbold">
    <w:name w:val="text bold"/>
    <w:basedOn w:val="Normal"/>
    <w:link w:val="Emphasis"/>
    <w:uiPriority w:val="8"/>
    <w:qFormat/>
    <w:rsid w:val="00475E5D"/>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14:ligatures w14:val="standardContextual"/>
    </w:rPr>
  </w:style>
  <w:style w:type="paragraph" w:customStyle="1" w:styleId="card">
    <w:name w:val="card"/>
    <w:basedOn w:val="Normal"/>
    <w:next w:val="Normal"/>
    <w:link w:val="cardChar"/>
    <w:qFormat/>
    <w:rsid w:val="00475E5D"/>
    <w:pPr>
      <w:ind w:left="288" w:right="288"/>
    </w:pPr>
    <w:rPr>
      <w:rFonts w:eastAsia="Times New Roman"/>
      <w:szCs w:val="20"/>
    </w:rPr>
  </w:style>
  <w:style w:type="character" w:customStyle="1" w:styleId="cardChar">
    <w:name w:val="card Char"/>
    <w:link w:val="card"/>
    <w:rsid w:val="00475E5D"/>
    <w:rPr>
      <w:rFonts w:ascii="Calibri" w:eastAsia="Times New Roman" w:hAnsi="Calibri" w:cs="Calibri"/>
      <w:kern w:val="0"/>
      <w:sz w:val="22"/>
      <w:szCs w:val="20"/>
      <w14:ligatures w14:val="none"/>
    </w:rPr>
  </w:style>
  <w:style w:type="character" w:styleId="FollowedHyperlink">
    <w:name w:val="FollowedHyperlink"/>
    <w:basedOn w:val="DefaultParagraphFont"/>
    <w:uiPriority w:val="99"/>
    <w:semiHidden/>
    <w:unhideWhenUsed/>
    <w:rsid w:val="004F543E"/>
    <w:rPr>
      <w:color w:val="auto"/>
      <w:u w:val="none"/>
    </w:rPr>
  </w:style>
  <w:style w:type="character" w:styleId="Strong">
    <w:name w:val="Strong"/>
    <w:basedOn w:val="DefaultParagraphFont"/>
    <w:uiPriority w:val="22"/>
    <w:qFormat/>
    <w:rsid w:val="004F543E"/>
    <w:rPr>
      <w:b/>
      <w:bCs/>
    </w:rPr>
  </w:style>
  <w:style w:type="character" w:styleId="BookTitle">
    <w:name w:val="Book Title"/>
    <w:basedOn w:val="DefaultParagraphFont"/>
    <w:uiPriority w:val="33"/>
    <w:qFormat/>
    <w:rsid w:val="004F543E"/>
    <w:rPr>
      <w:b/>
      <w:bCs/>
      <w:i/>
      <w:iCs/>
      <w:spacing w:val="5"/>
    </w:rPr>
  </w:style>
  <w:style w:type="numbering" w:styleId="111111">
    <w:name w:val="Outline List 2"/>
    <w:basedOn w:val="NoList"/>
    <w:uiPriority w:val="99"/>
    <w:semiHidden/>
    <w:unhideWhenUsed/>
    <w:rsid w:val="004F543E"/>
  </w:style>
  <w:style w:type="paragraph" w:styleId="Header">
    <w:name w:val="header"/>
    <w:basedOn w:val="Normal"/>
    <w:link w:val="HeaderChar"/>
    <w:uiPriority w:val="99"/>
    <w:semiHidden/>
    <w:rsid w:val="004F543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F543E"/>
    <w:rPr>
      <w:rFonts w:ascii="Calibri" w:hAnsi="Calibri" w:cs="Calibri"/>
      <w:kern w:val="0"/>
      <w:sz w:val="22"/>
      <w:szCs w:val="22"/>
      <w14:ligatures w14:val="none"/>
    </w:rPr>
  </w:style>
  <w:style w:type="paragraph" w:styleId="Footer">
    <w:name w:val="footer"/>
    <w:basedOn w:val="Normal"/>
    <w:link w:val="FooterChar"/>
    <w:uiPriority w:val="99"/>
    <w:semiHidden/>
    <w:rsid w:val="004F543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F543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F543E"/>
    <w:pPr>
      <w:spacing w:after="120"/>
    </w:pPr>
  </w:style>
  <w:style w:type="character" w:customStyle="1" w:styleId="BodyTextChar">
    <w:name w:val="Body Text Char"/>
    <w:basedOn w:val="DefaultParagraphFont"/>
    <w:link w:val="BodyText"/>
    <w:uiPriority w:val="99"/>
    <w:semiHidden/>
    <w:rsid w:val="004F543E"/>
    <w:rPr>
      <w:rFonts w:ascii="Calibri" w:hAnsi="Calibri" w:cs="Calibri"/>
      <w:kern w:val="0"/>
      <w:sz w:val="22"/>
      <w:szCs w:val="22"/>
      <w14:ligatures w14:val="none"/>
    </w:rPr>
  </w:style>
  <w:style w:type="paragraph" w:styleId="NoSpacing">
    <w:name w:val="No Spacing"/>
    <w:link w:val="NoSpacingChar"/>
    <w:uiPriority w:val="99"/>
    <w:unhideWhenUsed/>
    <w:qFormat/>
    <w:rsid w:val="004F543E"/>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F543E"/>
    <w:rPr>
      <w:rFonts w:ascii="Calibri" w:hAnsi="Calibri" w:cs="Calibri"/>
      <w:kern w:val="0"/>
      <w:sz w:val="22"/>
      <w:szCs w:val="22"/>
      <w14:ligatures w14:val="none"/>
    </w:rPr>
  </w:style>
  <w:style w:type="character" w:styleId="Hyperlink">
    <w:name w:val="Hyperlink"/>
    <w:basedOn w:val="DefaultParagraphFont"/>
    <w:uiPriority w:val="99"/>
    <w:unhideWhenUsed/>
    <w:rsid w:val="004F543E"/>
    <w:rPr>
      <w:color w:val="467886" w:themeColor="hyperlink"/>
      <w:u w:val="single"/>
    </w:rPr>
  </w:style>
  <w:style w:type="character" w:styleId="UnresolvedMention">
    <w:name w:val="Unresolved Mention"/>
    <w:basedOn w:val="DefaultParagraphFont"/>
    <w:uiPriority w:val="99"/>
    <w:semiHidden/>
    <w:unhideWhenUsed/>
    <w:rsid w:val="004F54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ebbyblazque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6</TotalTime>
  <Pages>7</Pages>
  <Words>4480</Words>
  <Characters>25538</Characters>
  <Application>Microsoft Office Word</Application>
  <DocSecurity>0</DocSecurity>
  <Lines>212</Lines>
  <Paragraphs>59</Paragraphs>
  <ScaleCrop>false</ScaleCrop>
  <Company/>
  <LinksUpToDate>false</LinksUpToDate>
  <CharactersWithSpaces>29959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Sebby Blazquez (student)</dc:creator>
  <cp:keywords/>
  <dc:description/>
  <cp:lastModifiedBy>Sebby Blazquez (student)</cp:lastModifiedBy>
  <cp:revision>3</cp:revision>
  <dcterms:created xsi:type="dcterms:W3CDTF">2026-01-03T20:41:00Z</dcterms:created>
  <dcterms:modified xsi:type="dcterms:W3CDTF">2026-01-06T21:36:00Z</dcterms:modified>
</cp:coreProperties>
</file>