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8C22F" w14:textId="08FD0FB6" w:rsidR="00484F48" w:rsidRDefault="00F16872" w:rsidP="00F16872">
      <w:pPr>
        <w:pStyle w:val="Heading1"/>
      </w:pPr>
      <w:r>
        <w:t>1NC</w:t>
      </w:r>
    </w:p>
    <w:p w14:paraId="160C1C20" w14:textId="77777777" w:rsidR="00F16872" w:rsidRDefault="00F16872" w:rsidP="00F16872">
      <w:pPr>
        <w:pStyle w:val="Heading2"/>
      </w:pPr>
      <w:r>
        <w:t>Off</w:t>
      </w:r>
    </w:p>
    <w:p w14:paraId="699FB1B1" w14:textId="77777777" w:rsidR="00F16872" w:rsidRDefault="00F16872" w:rsidP="00F16872">
      <w:pPr>
        <w:pStyle w:val="Heading3"/>
      </w:pPr>
      <w:r>
        <w:t>1NC – Valdez K</w:t>
      </w:r>
    </w:p>
    <w:p w14:paraId="2E70CABD" w14:textId="77777777" w:rsidR="00F16872" w:rsidRPr="00C4615B" w:rsidRDefault="00F16872" w:rsidP="00F16872">
      <w:bookmarkStart w:id="0" w:name="_Hlk209787483"/>
      <w:r>
        <w:rPr>
          <w:noProof/>
        </w:rPr>
        <w:drawing>
          <wp:inline distT="0" distB="0" distL="0" distR="0" wp14:anchorId="47705676" wp14:editId="157361FB">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381E7CAB" w14:textId="77777777" w:rsidR="00F16872" w:rsidRPr="003D13A3" w:rsidRDefault="00F16872" w:rsidP="00F16872">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04A174F5" w14:textId="77777777" w:rsidR="00F16872" w:rsidRDefault="00F16872" w:rsidP="00F16872">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41107D65" w14:textId="77777777" w:rsidR="00F16872" w:rsidRPr="00D425ED" w:rsidRDefault="00F16872" w:rsidP="00F16872">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30A773D8" w14:textId="77777777" w:rsidR="00F16872" w:rsidRPr="00E34A6A" w:rsidRDefault="00F16872" w:rsidP="00F16872">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2313EB61" w14:textId="77777777" w:rsidR="00F16872" w:rsidRPr="00E34A6A" w:rsidRDefault="00F16872" w:rsidP="00F16872">
      <w:pPr>
        <w:rPr>
          <w:sz w:val="14"/>
        </w:rPr>
      </w:pPr>
      <w:r w:rsidRPr="00E34A6A">
        <w:rPr>
          <w:sz w:val="14"/>
        </w:rPr>
        <w:t>1.1 Popular Sovereignty, Self-Determination, and Empire</w:t>
      </w:r>
    </w:p>
    <w:p w14:paraId="4E39ADC5" w14:textId="77777777" w:rsidR="00F16872" w:rsidRPr="00E34A6A" w:rsidRDefault="00F16872" w:rsidP="00F16872">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15CC4DFD" w14:textId="77777777" w:rsidR="00F16872" w:rsidRPr="00D425ED" w:rsidRDefault="00F16872" w:rsidP="00F16872">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59D89A35" w14:textId="77777777" w:rsidR="00F16872" w:rsidRPr="00E34A6A" w:rsidRDefault="00F16872" w:rsidP="00F16872">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65A0BF0A" w14:textId="77777777" w:rsidR="00F16872" w:rsidRPr="00D425ED" w:rsidRDefault="00F16872" w:rsidP="00F16872">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62CDD007" w14:textId="77777777" w:rsidR="00F16872" w:rsidRPr="00E34A6A" w:rsidRDefault="00F16872" w:rsidP="00F16872">
      <w:pPr>
        <w:rPr>
          <w:sz w:val="14"/>
        </w:rPr>
      </w:pPr>
      <w:r w:rsidRPr="00E34A6A">
        <w:rPr>
          <w:sz w:val="14"/>
        </w:rPr>
        <w:t>1.2 Du Bois, Democratic Despotism, and Labor Politics</w:t>
      </w:r>
    </w:p>
    <w:p w14:paraId="0CB27DE1" w14:textId="77777777" w:rsidR="00F16872" w:rsidRPr="00D425ED" w:rsidRDefault="00F16872" w:rsidP="00F16872">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3693D257" w14:textId="77777777" w:rsidR="00F16872" w:rsidRPr="00E34A6A" w:rsidRDefault="00F16872" w:rsidP="00F16872">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5FF936E2" w14:textId="77777777" w:rsidR="00F16872" w:rsidRPr="00E34A6A" w:rsidRDefault="00F16872" w:rsidP="00F16872">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76BB6FCA" w14:textId="77777777" w:rsidR="00F16872" w:rsidRPr="00E34A6A" w:rsidRDefault="00F16872" w:rsidP="00F16872">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0FBC839C" w14:textId="77777777" w:rsidR="00F16872" w:rsidRPr="00E34A6A" w:rsidRDefault="00F16872" w:rsidP="00F16872">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4E11A873" w14:textId="77777777" w:rsidR="00F16872" w:rsidRPr="00E34A6A" w:rsidRDefault="00F16872" w:rsidP="00F16872">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16782723" w14:textId="77777777" w:rsidR="00F16872" w:rsidRPr="00E34A6A" w:rsidRDefault="00F16872" w:rsidP="00F16872">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1A8217A6" w14:textId="77777777" w:rsidR="00F16872" w:rsidRPr="00E34A6A" w:rsidRDefault="00F16872" w:rsidP="00F16872">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0BD1FC0C" w14:textId="77777777" w:rsidR="00F16872" w:rsidRPr="00E34A6A" w:rsidRDefault="00F16872" w:rsidP="00F16872">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11BF0971" w14:textId="77777777" w:rsidR="00F16872" w:rsidRPr="00E34A6A" w:rsidRDefault="00F16872" w:rsidP="00F16872">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68D9E68D" w14:textId="77777777" w:rsidR="00F16872" w:rsidRPr="00E34A6A" w:rsidRDefault="00F16872" w:rsidP="00F16872">
      <w:pPr>
        <w:rPr>
          <w:sz w:val="14"/>
        </w:rPr>
      </w:pPr>
      <w:r w:rsidRPr="00E34A6A">
        <w:rPr>
          <w:sz w:val="14"/>
        </w:rPr>
        <w:t xml:space="preserve">1.3 Self-and-Other-Determination </w:t>
      </w:r>
    </w:p>
    <w:p w14:paraId="0A6E9966" w14:textId="77777777" w:rsidR="00F16872" w:rsidRPr="00E34A6A" w:rsidRDefault="00F16872" w:rsidP="00F16872">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4FFFA04A" w14:textId="77777777" w:rsidR="00F16872" w:rsidRPr="00E34A6A" w:rsidRDefault="00F16872" w:rsidP="00F16872">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1CB5269A" w14:textId="77777777" w:rsidR="00F16872" w:rsidRPr="00E34A6A" w:rsidRDefault="00F16872" w:rsidP="00F16872">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6C96B51D" w14:textId="77777777" w:rsidR="00F16872" w:rsidRPr="00E34A6A" w:rsidRDefault="00F16872" w:rsidP="00F16872">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6CAF0B33" w14:textId="77777777" w:rsidR="00F16872" w:rsidRPr="00E34A6A" w:rsidRDefault="00F16872" w:rsidP="00F16872">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124D9280" w14:textId="77777777" w:rsidR="00F16872" w:rsidRPr="00E34A6A" w:rsidRDefault="00F16872" w:rsidP="00F16872">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44F9EC6D" w14:textId="77777777" w:rsidR="00F16872" w:rsidRPr="00E34A6A" w:rsidRDefault="00F16872" w:rsidP="00F16872">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42EFE6B7" w14:textId="77777777" w:rsidR="00F16872" w:rsidRPr="000E7A4B" w:rsidRDefault="00F16872" w:rsidP="00F16872">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0872E183" w14:textId="77777777" w:rsidR="00F16872" w:rsidRPr="000E7A4B" w:rsidRDefault="00F16872" w:rsidP="00F16872">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3A4208B3" w14:textId="77777777" w:rsidR="00F16872" w:rsidRPr="000E7A4B" w:rsidRDefault="00F16872" w:rsidP="00F16872">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12549804" w14:textId="77777777" w:rsidR="00F16872" w:rsidRPr="00E34A6A" w:rsidRDefault="00F16872" w:rsidP="00F16872">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525894E3" w14:textId="77777777" w:rsidR="00F16872" w:rsidRPr="00E34A6A" w:rsidRDefault="00F16872" w:rsidP="00F16872">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2B54B497" w14:textId="77777777" w:rsidR="00F16872" w:rsidRDefault="00F16872" w:rsidP="00F16872">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6BA0BC73" w14:textId="77777777" w:rsidR="00F16872" w:rsidRDefault="00F16872" w:rsidP="00F16872"/>
    <w:p w14:paraId="106A7F71" w14:textId="77777777" w:rsidR="00F16872" w:rsidRDefault="00F16872" w:rsidP="00F16872"/>
    <w:p w14:paraId="60A7C8AC" w14:textId="77777777" w:rsidR="00F16872" w:rsidRDefault="00F16872" w:rsidP="00F16872"/>
    <w:p w14:paraId="1FCA5849" w14:textId="77777777" w:rsidR="00F16872" w:rsidRPr="00570800" w:rsidRDefault="00F16872" w:rsidP="00F16872">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30A9AE47" w14:textId="77777777" w:rsidR="00F16872" w:rsidRPr="00943E13" w:rsidRDefault="00F16872" w:rsidP="00F16872">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788FB7C0" w14:textId="77777777" w:rsidR="00F16872" w:rsidRPr="00397A78" w:rsidRDefault="00F16872" w:rsidP="00F16872">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3C893869" w14:textId="77777777" w:rsidR="00F16872" w:rsidRPr="008F6CA8" w:rsidRDefault="00F16872" w:rsidP="00F16872">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7745F121" w14:textId="77777777" w:rsidR="00F16872" w:rsidRPr="008F6CA8" w:rsidRDefault="00F16872" w:rsidP="00F16872">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514068C9" w14:textId="77777777" w:rsidR="00F16872" w:rsidRPr="00397A78" w:rsidRDefault="00F16872" w:rsidP="00F16872">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2F00D324" w14:textId="77777777" w:rsidR="00F16872" w:rsidRPr="00397A78" w:rsidRDefault="00F16872" w:rsidP="00F16872">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4DB0EA0A" w14:textId="77777777" w:rsidR="00F16872" w:rsidRPr="00397A78" w:rsidRDefault="00F16872" w:rsidP="00F16872">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170F52EF" w14:textId="77777777" w:rsidR="00F16872" w:rsidRPr="00397A78" w:rsidRDefault="00F16872" w:rsidP="00F16872">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41ED515F" w14:textId="77777777" w:rsidR="00F16872" w:rsidRPr="00397A78" w:rsidRDefault="00F16872" w:rsidP="00F16872">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48578C58" w14:textId="77777777" w:rsidR="00F16872" w:rsidRPr="00397A78" w:rsidRDefault="00F16872" w:rsidP="00F16872">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61AFD5D9" w14:textId="77777777" w:rsidR="00F16872" w:rsidRPr="00397A78" w:rsidRDefault="00F16872" w:rsidP="00F16872">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31ABC36B" w14:textId="77777777" w:rsidR="00F16872" w:rsidRDefault="00F16872" w:rsidP="00F16872">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2574B4B1" w14:textId="77777777" w:rsidR="00F16872" w:rsidRDefault="00F16872" w:rsidP="00F16872"/>
    <w:p w14:paraId="0944B575" w14:textId="77777777" w:rsidR="00F16872" w:rsidRPr="000408A1" w:rsidRDefault="00F16872" w:rsidP="00F16872"/>
    <w:p w14:paraId="2BF20419" w14:textId="77777777" w:rsidR="00F16872" w:rsidRPr="00426AC9" w:rsidRDefault="00F16872" w:rsidP="00F16872">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7E940E91" w14:textId="77777777" w:rsidR="00F16872" w:rsidRPr="00C85F21" w:rsidRDefault="00F16872" w:rsidP="00F16872">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10FFC890" w14:textId="77777777" w:rsidR="00F16872" w:rsidRPr="001C30C5" w:rsidRDefault="00F16872" w:rsidP="00F16872">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3FBE07C4" w14:textId="77777777" w:rsidR="00F16872" w:rsidRPr="001C30C5" w:rsidRDefault="00F16872" w:rsidP="00F16872">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783CC0AB" w14:textId="77777777" w:rsidR="00F16872" w:rsidRPr="001C30C5" w:rsidRDefault="00F16872" w:rsidP="00F16872">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4DB8517D" w14:textId="77777777" w:rsidR="00F16872" w:rsidRPr="001C30C5" w:rsidRDefault="00F16872" w:rsidP="00F16872">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331AFB82" w14:textId="77777777" w:rsidR="00F16872" w:rsidRPr="001C30C5" w:rsidRDefault="00F16872" w:rsidP="00F16872">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2D2F6E90" w14:textId="77777777" w:rsidR="00F16872" w:rsidRDefault="00F16872" w:rsidP="00F16872">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0FB156F8" w14:textId="77777777" w:rsidR="00F16872" w:rsidRDefault="00F16872" w:rsidP="00F16872"/>
    <w:p w14:paraId="2162149A" w14:textId="77777777" w:rsidR="00F16872" w:rsidRDefault="00F16872" w:rsidP="00F16872">
      <w:pPr>
        <w:pStyle w:val="Heading3"/>
      </w:pPr>
      <w:r>
        <w:t>1NC – T-CBR</w:t>
      </w:r>
    </w:p>
    <w:p w14:paraId="4ABD2DBD" w14:textId="77777777" w:rsidR="00F16872" w:rsidRPr="00705C76" w:rsidRDefault="00F16872" w:rsidP="00F16872">
      <w:pPr>
        <w:pStyle w:val="Heading4"/>
      </w:pPr>
      <w:r w:rsidRPr="00705C76">
        <w:t>Collective bargaining rights are the ability to negotiate contracts</w:t>
      </w:r>
    </w:p>
    <w:p w14:paraId="569084AD" w14:textId="77777777" w:rsidR="00F16872" w:rsidRPr="00705C76" w:rsidRDefault="00F16872" w:rsidP="00F16872">
      <w:r w:rsidRPr="00705C76">
        <w:rPr>
          <w:rStyle w:val="Style13ptBold"/>
        </w:rPr>
        <w:t xml:space="preserve">NLRB No Date – </w:t>
      </w:r>
      <w:r w:rsidRPr="00705C76">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013EB299" w14:textId="77777777" w:rsidR="00F16872" w:rsidRPr="00705C76" w:rsidRDefault="00F16872" w:rsidP="00F16872">
      <w:r w:rsidRPr="00705C76">
        <w:t xml:space="preserve">(NLRB, “Collective bargaining rights,” No Date, </w:t>
      </w:r>
      <w:hyperlink r:id="rId6" w:history="1">
        <w:r w:rsidRPr="00705C76">
          <w:rPr>
            <w:rStyle w:val="Hyperlink"/>
          </w:rPr>
          <w:t>https://www.nlrb.gov/about-nlrb/rights-we-protect/the-law/employees/collective-bargaining-rights</w:t>
        </w:r>
      </w:hyperlink>
      <w:r w:rsidRPr="00705C76">
        <w:t>, accessed 07/20/2025)</w:t>
      </w:r>
    </w:p>
    <w:p w14:paraId="5D565193" w14:textId="77777777" w:rsidR="00F16872" w:rsidRPr="00705C76" w:rsidRDefault="00F16872" w:rsidP="00F16872"/>
    <w:p w14:paraId="538464DF" w14:textId="77777777" w:rsidR="00F16872" w:rsidRPr="00705C76" w:rsidRDefault="00F16872" w:rsidP="00F16872">
      <w:pPr>
        <w:rPr>
          <w:rStyle w:val="Emphasis"/>
        </w:rPr>
      </w:pPr>
      <w:r w:rsidRPr="00705C76">
        <w:rPr>
          <w:rStyle w:val="Emphasis"/>
          <w:highlight w:val="yellow"/>
        </w:rPr>
        <w:t>Collective bargaining rights</w:t>
      </w:r>
    </w:p>
    <w:p w14:paraId="191E969B" w14:textId="77777777" w:rsidR="00F16872" w:rsidRPr="00705C76" w:rsidRDefault="00F16872" w:rsidP="00F16872">
      <w:pPr>
        <w:rPr>
          <w:sz w:val="16"/>
        </w:rPr>
      </w:pPr>
      <w:r w:rsidRPr="00705C76">
        <w:rPr>
          <w:rStyle w:val="StyleUnderline"/>
        </w:rPr>
        <w:t>The National Labor Relations Act give</w:t>
      </w:r>
      <w:r w:rsidRPr="00705C76">
        <w:rPr>
          <w:sz w:val="16"/>
        </w:rPr>
        <w:t xml:space="preserve">s you </w:t>
      </w:r>
      <w:r w:rsidRPr="00705C76">
        <w:rPr>
          <w:rStyle w:val="StyleUnderline"/>
        </w:rPr>
        <w:t xml:space="preserve">the right to bargain collectively with your employer </w:t>
      </w:r>
      <w:r w:rsidRPr="0018552B">
        <w:rPr>
          <w:rStyle w:val="StyleUnderline"/>
        </w:rPr>
        <w:t>through a representative that you and your coworkers</w:t>
      </w:r>
      <w:r w:rsidRPr="00705C76">
        <w:rPr>
          <w:rStyle w:val="StyleUnderline"/>
        </w:rPr>
        <w:t xml:space="preserve"> choose</w:t>
      </w:r>
      <w:r w:rsidRPr="00705C76">
        <w:rPr>
          <w:sz w:val="16"/>
        </w:rPr>
        <w:t>. What does that mean?</w:t>
      </w:r>
    </w:p>
    <w:p w14:paraId="458478BF" w14:textId="77777777" w:rsidR="00F16872" w:rsidRDefault="00F16872" w:rsidP="00F16872">
      <w:pPr>
        <w:rPr>
          <w:sz w:val="16"/>
        </w:rPr>
      </w:pPr>
      <w:r w:rsidRPr="00705C76">
        <w:rPr>
          <w:sz w:val="16"/>
        </w:rPr>
        <w:t xml:space="preserve">Your </w:t>
      </w:r>
      <w:r w:rsidRPr="00705C76">
        <w:rPr>
          <w:rStyle w:val="StyleUnderline"/>
          <w:highlight w:val="yellow"/>
        </w:rPr>
        <w:t>union and employer must bargain</w:t>
      </w:r>
      <w:r w:rsidRPr="00705C76">
        <w:rPr>
          <w:rStyle w:val="StyleUnderline"/>
        </w:rPr>
        <w:t xml:space="preserve"> in good faith </w:t>
      </w:r>
      <w:r w:rsidRPr="00705C76">
        <w:rPr>
          <w:rStyle w:val="StyleUnderline"/>
          <w:highlight w:val="yellow"/>
        </w:rPr>
        <w:t>about</w:t>
      </w:r>
      <w:r w:rsidRPr="00705C76">
        <w:rPr>
          <w:rStyle w:val="StyleUnderline"/>
        </w:rPr>
        <w:t xml:space="preserve"> </w:t>
      </w:r>
      <w:r w:rsidRPr="00705C76">
        <w:rPr>
          <w:rStyle w:val="Emphasis"/>
          <w:highlight w:val="yellow"/>
        </w:rPr>
        <w:t xml:space="preserve">wages, hours, and other </w:t>
      </w:r>
      <w:r w:rsidRPr="0018552B">
        <w:rPr>
          <w:rStyle w:val="Emphasis"/>
        </w:rPr>
        <w:t xml:space="preserve">terms and </w:t>
      </w:r>
      <w:r w:rsidRPr="00705C76">
        <w:rPr>
          <w:rStyle w:val="Emphasis"/>
          <w:highlight w:val="yellow"/>
        </w:rPr>
        <w:t>conditions</w:t>
      </w:r>
      <w:r w:rsidRPr="00705C76">
        <w:rPr>
          <w:sz w:val="16"/>
        </w:rPr>
        <w:t xml:space="preserve"> of employment </w:t>
      </w:r>
      <w:r w:rsidRPr="00705C76">
        <w:rPr>
          <w:rStyle w:val="StyleUnderline"/>
          <w:highlight w:val="yellow"/>
        </w:rPr>
        <w:t>until they agree</w:t>
      </w:r>
      <w:r w:rsidRPr="00705C76">
        <w:rPr>
          <w:rStyle w:val="StyleUnderline"/>
        </w:rPr>
        <w:t xml:space="preserve"> on a labor contract </w:t>
      </w:r>
      <w:r w:rsidRPr="00705C76">
        <w:rPr>
          <w:rStyle w:val="StyleUnderline"/>
          <w:highlight w:val="yellow"/>
        </w:rPr>
        <w:t>or reach a</w:t>
      </w:r>
      <w:r w:rsidRPr="00705C76">
        <w:rPr>
          <w:rStyle w:val="StyleUnderline"/>
        </w:rPr>
        <w:t xml:space="preserve"> </w:t>
      </w:r>
      <w:r w:rsidRPr="00705C76">
        <w:rPr>
          <w:sz w:val="16"/>
        </w:rPr>
        <w:t>stand-off or “</w:t>
      </w:r>
      <w:r w:rsidRPr="00705C76">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705C76">
        <w:rPr>
          <w:rStyle w:val="StyleUnderline"/>
          <w:highlight w:val="yellow"/>
        </w:rPr>
        <w:t>neither party may deviate from its terms without the other party’s consent</w:t>
      </w:r>
      <w:r w:rsidRPr="00705C76">
        <w:rPr>
          <w:sz w:val="16"/>
          <w:highlight w:val="yellow"/>
        </w:rPr>
        <w:t>,</w:t>
      </w:r>
      <w:r w:rsidRPr="00705C76">
        <w:rPr>
          <w:sz w:val="16"/>
        </w:rPr>
        <w:t xml:space="preserve"> </w:t>
      </w:r>
      <w:r w:rsidRPr="00705C76">
        <w:rPr>
          <w:rStyle w:val="StyleUnderline"/>
        </w:rPr>
        <w:t>absent extraordinary circumstances</w:t>
      </w:r>
      <w:r w:rsidRPr="00705C76">
        <w:rPr>
          <w:sz w:val="16"/>
        </w:rPr>
        <w:t>. If a contract expires before the next contract is in place, almost all the terms of the expired contract continue while the parties bargain (the exceptions being union security, management rights, no-strike/no-lockout, and arbitration provisions).</w:t>
      </w:r>
    </w:p>
    <w:p w14:paraId="06191952" w14:textId="77777777" w:rsidR="00F16872" w:rsidRDefault="00F16872" w:rsidP="00F16872"/>
    <w:p w14:paraId="0BED21C7" w14:textId="77777777" w:rsidR="00F16872" w:rsidRPr="001C6FB6" w:rsidRDefault="00F16872" w:rsidP="00F16872"/>
    <w:p w14:paraId="2335919B" w14:textId="77777777" w:rsidR="00F16872" w:rsidRPr="00705C76" w:rsidRDefault="00F16872" w:rsidP="00F16872">
      <w:pPr>
        <w:pStyle w:val="Heading4"/>
      </w:pPr>
      <w:r w:rsidRPr="00705C76">
        <w:t xml:space="preserve">Codetermination is </w:t>
      </w:r>
      <w:r w:rsidRPr="00705C76">
        <w:rPr>
          <w:u w:val="single"/>
        </w:rPr>
        <w:t>conceptually and legally distinct</w:t>
      </w:r>
      <w:r w:rsidRPr="00705C76">
        <w:t xml:space="preserve"> – implementation proves</w:t>
      </w:r>
    </w:p>
    <w:p w14:paraId="591FB7A1" w14:textId="77777777" w:rsidR="00F16872" w:rsidRPr="00705C76" w:rsidRDefault="00F16872" w:rsidP="00F16872">
      <w:pPr>
        <w:rPr>
          <w:rStyle w:val="Style13ptBold"/>
        </w:rPr>
      </w:pPr>
      <w:r w:rsidRPr="00705C76">
        <w:rPr>
          <w:rStyle w:val="Style13ptBold"/>
        </w:rPr>
        <w:t xml:space="preserve">Jäger 21 – </w:t>
      </w:r>
      <w:r w:rsidRPr="00705C76">
        <w:t>Simon Jäger is an assistant professor of economics at the Massachusetts Institute of Technology and a research fellow at the National Bureau of Economic Research. He graduated with a Ph.D. in economics from Harvard University after studying economics at the University of Bonn and at the University of California, Berkeley.</w:t>
      </w:r>
      <w:r w:rsidRPr="00705C76">
        <w:rPr>
          <w:b/>
          <w:bCs/>
          <w:sz w:val="26"/>
        </w:rPr>
        <w:t> </w:t>
      </w:r>
    </w:p>
    <w:p w14:paraId="30D490E7" w14:textId="77777777" w:rsidR="00F16872" w:rsidRPr="00705C76" w:rsidRDefault="00F16872" w:rsidP="00F16872">
      <w:r w:rsidRPr="00705C76">
        <w:t xml:space="preserve">(Simon Jäger, Shakked Noy, and Benjamin Schoefer, “What Does Codetermination Do?” National Bureau of Economic Research, Working Paper No. 28921, June 2021, Revised October 2021, </w:t>
      </w:r>
      <w:hyperlink r:id="rId7" w:history="1">
        <w:r w:rsidRPr="00705C76">
          <w:rPr>
            <w:rStyle w:val="Hyperlink"/>
          </w:rPr>
          <w:t>https://www.nber.org/system/files/working_papers/w28921/w28921.pdf</w:t>
        </w:r>
      </w:hyperlink>
      <w:r w:rsidRPr="00705C76">
        <w:t>, accessed 07/24/2025)</w:t>
      </w:r>
    </w:p>
    <w:p w14:paraId="65C7B998" w14:textId="77777777" w:rsidR="00F16872" w:rsidRPr="00705C76" w:rsidRDefault="00F16872" w:rsidP="00F16872"/>
    <w:p w14:paraId="3A27E797" w14:textId="77777777" w:rsidR="00F16872" w:rsidRPr="00705C76" w:rsidRDefault="00F16872" w:rsidP="00F16872">
      <w:pPr>
        <w:rPr>
          <w:sz w:val="16"/>
        </w:rPr>
      </w:pPr>
      <w:r w:rsidRPr="00705C76">
        <w:rPr>
          <w:rStyle w:val="StyleUnderline"/>
          <w:highlight w:val="yellow"/>
        </w:rPr>
        <w:t>Codetermination arrangements</w:t>
      </w:r>
      <w:r w:rsidRPr="00705C76">
        <w:rPr>
          <w:sz w:val="16"/>
        </w:rPr>
        <w:t xml:space="preserve"> are systems of cooperative shared governance between employers and worker representatives and </w:t>
      </w:r>
      <w:r w:rsidRPr="00705C76">
        <w:rPr>
          <w:rStyle w:val="StyleUnderline"/>
          <w:highlight w:val="yellow"/>
        </w:rPr>
        <w:t>are</w:t>
      </w:r>
      <w:r w:rsidRPr="00705C76">
        <w:rPr>
          <w:sz w:val="16"/>
        </w:rPr>
        <w:t xml:space="preserve"> hence </w:t>
      </w:r>
      <w:r w:rsidRPr="00705C76">
        <w:rPr>
          <w:rStyle w:val="Emphasis"/>
          <w:highlight w:val="yellow"/>
        </w:rPr>
        <w:t>conceptually distinct from adversarial collective bargaining</w:t>
      </w:r>
      <w:r w:rsidRPr="00705C76">
        <w:rPr>
          <w:rStyle w:val="Emphasis"/>
        </w:rPr>
        <w:t xml:space="preserve"> </w:t>
      </w:r>
      <w:r w:rsidRPr="00705C76">
        <w:rPr>
          <w:sz w:val="16"/>
        </w:rPr>
        <w:t xml:space="preserve">between employers and labor unions. Nevertheless, the two kinds of worker representation are closely interrelated: most </w:t>
      </w:r>
      <w:r w:rsidRPr="00705C76">
        <w:rPr>
          <w:rStyle w:val="StyleUnderline"/>
        </w:rPr>
        <w:t>countries with codetermination</w:t>
      </w:r>
      <w:r w:rsidRPr="00705C76">
        <w:rPr>
          <w:sz w:val="16"/>
        </w:rPr>
        <w:t xml:space="preserve"> laws also </w:t>
      </w:r>
      <w:r w:rsidRPr="00705C76">
        <w:rPr>
          <w:rStyle w:val="StyleUnderline"/>
        </w:rPr>
        <w:t>have high union density</w:t>
      </w:r>
      <w:r w:rsidRPr="00705C76">
        <w:rPr>
          <w:sz w:val="16"/>
        </w:rPr>
        <w:t xml:space="preserve"> </w:t>
      </w:r>
      <w:r w:rsidRPr="00705C76">
        <w:rPr>
          <w:rStyle w:val="StyleUnderline"/>
        </w:rPr>
        <w:t>and strongly centralized collective bargaining</w:t>
      </w:r>
      <w:r w:rsidRPr="00705C76">
        <w:rPr>
          <w:sz w:val="16"/>
        </w:rPr>
        <w:t xml:space="preserve"> frameworks, as Panels (a), (b), and (e) of Figure 2 illustrate using data from the OECD/IAIS ICTWSS database (Visser, 2021). </w:t>
      </w:r>
    </w:p>
    <w:p w14:paraId="27EC70DC" w14:textId="77777777" w:rsidR="00F16872" w:rsidRPr="00705C76" w:rsidRDefault="00F16872" w:rsidP="00F16872">
      <w:pPr>
        <w:rPr>
          <w:rStyle w:val="StyleUnderline"/>
        </w:rPr>
      </w:pPr>
      <w:r w:rsidRPr="00705C76">
        <w:rPr>
          <w:sz w:val="16"/>
        </w:rPr>
        <w:t xml:space="preserve">In the Nordic countries, the two kinds of worker representation are inextricably intertwined: most workplaces have union representatives who report back to the industry- or national-level unions responsible for sectoral collective bargaining negotiations, and "codetermination" simply consists of the allocation of special co-decision-making rights to these local union representatives (ETUI, 2020). This bundling is a product of the fact that, historically, shared governance rights in these countries were secured through the efforts of national unions wanting to extend the mandates of their representatives beyond the narrow issues regulated by collective bargaining (Jäger, Noy, and Schoefer, 2021). By contrast, </w:t>
      </w:r>
      <w:r w:rsidRPr="00705C76">
        <w:rPr>
          <w:rStyle w:val="StyleUnderline"/>
          <w:highlight w:val="yellow"/>
        </w:rPr>
        <w:t xml:space="preserve">in countries </w:t>
      </w:r>
      <w:r w:rsidRPr="00705C76">
        <w:rPr>
          <w:rStyle w:val="StyleUnderline"/>
        </w:rPr>
        <w:t xml:space="preserve">like </w:t>
      </w:r>
      <w:r w:rsidRPr="00705C76">
        <w:rPr>
          <w:rStyle w:val="StyleUnderline"/>
          <w:highlight w:val="yellow"/>
        </w:rPr>
        <w:t>Germany or Austria</w:t>
      </w:r>
      <w:r w:rsidRPr="00705C76">
        <w:rPr>
          <w:rStyle w:val="StyleUnderline"/>
        </w:rPr>
        <w:t xml:space="preserve"> with "dual channel" models of worker representation, </w:t>
      </w:r>
      <w:r w:rsidRPr="00705C76">
        <w:rPr>
          <w:rStyle w:val="StyleUnderline"/>
          <w:highlight w:val="yellow"/>
        </w:rPr>
        <w:t xml:space="preserve">there is </w:t>
      </w:r>
      <w:r w:rsidRPr="00705C76">
        <w:rPr>
          <w:rStyle w:val="Emphasis"/>
          <w:highlight w:val="yellow"/>
        </w:rPr>
        <w:t>a clear legal separation between codetermination and union representation</w:t>
      </w:r>
      <w:r w:rsidRPr="00705C76">
        <w:rPr>
          <w:sz w:val="16"/>
        </w:rPr>
        <w:t xml:space="preserve"> (Addison, 2009), though in practice the institutions interact closely (Gumbrell-McCormick and Hyman, 2013). In the German context specifically, </w:t>
      </w:r>
      <w:r w:rsidRPr="00705C76">
        <w:rPr>
          <w:rStyle w:val="Emphasis"/>
          <w:highlight w:val="yellow"/>
        </w:rPr>
        <w:t>legal separation of unions and codetermination</w:t>
      </w:r>
      <w:r w:rsidRPr="00705C76">
        <w:rPr>
          <w:sz w:val="16"/>
          <w:highlight w:val="yellow"/>
        </w:rPr>
        <w:t xml:space="preserve"> </w:t>
      </w:r>
      <w:r w:rsidRPr="00705C76">
        <w:rPr>
          <w:rStyle w:val="StyleUnderline"/>
          <w:highlight w:val="yellow"/>
        </w:rPr>
        <w:t>can be traced back to</w:t>
      </w:r>
      <w:r w:rsidRPr="00705C76">
        <w:rPr>
          <w:rStyle w:val="StyleUnderline"/>
        </w:rPr>
        <w:t xml:space="preserve"> reforms in </w:t>
      </w:r>
      <w:r w:rsidRPr="00705C76">
        <w:rPr>
          <w:rStyle w:val="StyleUnderline"/>
          <w:highlight w:val="yellow"/>
        </w:rPr>
        <w:t>the 1950s</w:t>
      </w:r>
      <w:r w:rsidRPr="00705C76">
        <w:rPr>
          <w:rStyle w:val="StyleUnderline"/>
        </w:rPr>
        <w:t xml:space="preserve"> aimed at weakening unions</w:t>
      </w:r>
      <w:r w:rsidRPr="00705C76">
        <w:rPr>
          <w:sz w:val="16"/>
        </w:rPr>
        <w:t xml:space="preserve"> </w:t>
      </w:r>
      <w:r w:rsidRPr="00705C76">
        <w:rPr>
          <w:rStyle w:val="StyleUnderline"/>
        </w:rPr>
        <w:t>by cutting off their access to shared governance rights</w:t>
      </w:r>
      <w:r w:rsidRPr="00705C76">
        <w:rPr>
          <w:sz w:val="16"/>
        </w:rPr>
        <w:t xml:space="preserve"> (Thelen, 1991; Silvia, 2013). </w:t>
      </w:r>
    </w:p>
    <w:p w14:paraId="34B27C11" w14:textId="77777777" w:rsidR="00F16872" w:rsidRDefault="00F16872" w:rsidP="00F16872"/>
    <w:p w14:paraId="3E4E7157" w14:textId="77777777" w:rsidR="00F16872" w:rsidRDefault="00F16872" w:rsidP="00F16872">
      <w:pPr>
        <w:pStyle w:val="Heading4"/>
      </w:pPr>
      <w:r>
        <w:t xml:space="preserve">Vote NEG for limits and ground, it’s effects T at best – allowing a new mechanism distinct from collective bargaining rights explodes the potential case list as any potential benefit from codetermination becomes fair game and opens a massive </w:t>
      </w:r>
      <w:r>
        <w:rPr>
          <w:u w:val="single"/>
        </w:rPr>
        <w:t>distinct and unique</w:t>
      </w:r>
      <w:r>
        <w:t xml:space="preserve"> lit base. AFFs can spike links to core DAs by claiming the mechanism insulates them from the links.</w:t>
      </w:r>
    </w:p>
    <w:p w14:paraId="625EF64A" w14:textId="77777777" w:rsidR="00F16872" w:rsidRDefault="00F16872" w:rsidP="00F16872"/>
    <w:p w14:paraId="701B4CFF" w14:textId="77777777" w:rsidR="00F16872" w:rsidRDefault="00F16872" w:rsidP="00F16872">
      <w:pPr>
        <w:pStyle w:val="Heading4"/>
      </w:pPr>
      <w:r>
        <w:t>Independently Agent Specification is a reason to vote neg – key to Politics DAs and Actor CPs</w:t>
      </w:r>
    </w:p>
    <w:p w14:paraId="6265C3DA" w14:textId="77777777" w:rsidR="00F16872" w:rsidRDefault="00F16872" w:rsidP="00F16872"/>
    <w:p w14:paraId="75176DB7" w14:textId="77777777" w:rsidR="00F16872" w:rsidRDefault="00F16872" w:rsidP="00F16872">
      <w:pPr>
        <w:pStyle w:val="Heading2"/>
      </w:pPr>
      <w:r>
        <w:t>Case</w:t>
      </w:r>
    </w:p>
    <w:p w14:paraId="1ED8F86C" w14:textId="77777777" w:rsidR="00F16872" w:rsidRPr="00817507" w:rsidRDefault="00F16872" w:rsidP="00F16872">
      <w:pPr>
        <w:pStyle w:val="Heading3"/>
      </w:pPr>
      <w:r>
        <w:t>Financial Capitalism</w:t>
      </w:r>
    </w:p>
    <w:p w14:paraId="04BF134A" w14:textId="77777777" w:rsidR="00F16872" w:rsidRPr="00CF79EF" w:rsidRDefault="00F16872" w:rsidP="00F16872">
      <w:pPr>
        <w:pStyle w:val="Heading4"/>
        <w:rPr>
          <w:rFonts w:cs="Times New Roman"/>
        </w:rPr>
      </w:pPr>
      <w:r w:rsidRPr="00CF79EF">
        <w:rPr>
          <w:rFonts w:cs="Times New Roman"/>
        </w:rPr>
        <w:t>Their framing of warming as a “threshold issue” is mired in understandings of warming based in the Global North---it frames the West as accountable and legitimate while leaving poor nations of color out in the cold.</w:t>
      </w:r>
    </w:p>
    <w:p w14:paraId="3153BF5F" w14:textId="77777777" w:rsidR="00F16872" w:rsidRPr="00CF79EF" w:rsidRDefault="00F16872" w:rsidP="00F16872">
      <w:r w:rsidRPr="00CF79EF">
        <w:t xml:space="preserve">Gwendolyn </w:t>
      </w:r>
      <w:r w:rsidRPr="00CF79EF">
        <w:rPr>
          <w:rStyle w:val="Style13ptBold"/>
        </w:rPr>
        <w:t>Blue 15</w:t>
      </w:r>
      <w:r w:rsidRPr="00CF79EF">
        <w:t xml:space="preserve">, associate professor, Department of Geography @ University of Calgary, Ph.D. in Cultural Studies @ University of North Carolina-Chapel Hill, July 2015, “Public Deliberation with Climate Change: Opening up or Closing down Policy Options?” </w:t>
      </w:r>
      <w:r w:rsidRPr="00CF79EF">
        <w:rPr>
          <w:i/>
        </w:rPr>
        <w:t>RECIEL: Review of European, Comparative and International Environmental Law</w:t>
      </w:r>
      <w:r w:rsidRPr="00CF79EF">
        <w:t>, Vol 24:2, p. 152-159</w:t>
      </w:r>
    </w:p>
    <w:p w14:paraId="74E16FE8" w14:textId="77777777" w:rsidR="00F16872" w:rsidRPr="00CF79EF" w:rsidRDefault="00F16872" w:rsidP="00F16872">
      <w:pPr>
        <w:rPr>
          <w:sz w:val="16"/>
        </w:rPr>
      </w:pPr>
      <w:r w:rsidRPr="00CF79EF">
        <w:rPr>
          <w:sz w:val="16"/>
        </w:rPr>
        <w:t xml:space="preserve">The </w:t>
      </w:r>
      <w:r w:rsidRPr="00CF79EF">
        <w:rPr>
          <w:rStyle w:val="StyleUnderline"/>
        </w:rPr>
        <w:t xml:space="preserve">research covered in the </w:t>
      </w:r>
      <w:r w:rsidRPr="00CF79EF">
        <w:rPr>
          <w:rStyle w:val="Emphasis"/>
        </w:rPr>
        <w:t xml:space="preserve">IPCC </w:t>
      </w:r>
      <w:r w:rsidRPr="00CF79EF">
        <w:rPr>
          <w:rStyle w:val="StyleUnderline"/>
        </w:rPr>
        <w:t xml:space="preserve">reports is </w:t>
      </w:r>
      <w:r w:rsidRPr="00CF79EF">
        <w:rPr>
          <w:sz w:val="16"/>
        </w:rPr>
        <w:t xml:space="preserve">also </w:t>
      </w:r>
      <w:r w:rsidRPr="00CF79EF">
        <w:rPr>
          <w:rStyle w:val="Emphasis"/>
        </w:rPr>
        <w:t>biased</w:t>
      </w:r>
      <w:r w:rsidRPr="00CF79EF">
        <w:rPr>
          <w:rStyle w:val="StyleUnderline"/>
        </w:rPr>
        <w:t xml:space="preserve"> towards the </w:t>
      </w:r>
      <w:r w:rsidRPr="00CF79EF">
        <w:rPr>
          <w:rStyle w:val="Emphasis"/>
        </w:rPr>
        <w:t>positivist natural sciences</w:t>
      </w:r>
      <w:r w:rsidRPr="00CF79EF">
        <w:rPr>
          <w:rStyle w:val="StyleUnderline"/>
        </w:rPr>
        <w:t xml:space="preserve"> and </w:t>
      </w:r>
      <w:r w:rsidRPr="00CF79EF">
        <w:rPr>
          <w:rStyle w:val="Emphasis"/>
        </w:rPr>
        <w:t>economics</w:t>
      </w:r>
      <w:r w:rsidRPr="00CF79EF">
        <w:rPr>
          <w:rStyle w:val="StyleUnderline"/>
        </w:rPr>
        <w:t xml:space="preserve">, and is produced by people who are disproportionately </w:t>
      </w:r>
      <w:r w:rsidRPr="00CF79EF">
        <w:rPr>
          <w:rStyle w:val="Emphasis"/>
        </w:rPr>
        <w:t>Northern, white and male</w:t>
      </w:r>
      <w:r w:rsidRPr="00CF79EF">
        <w:rPr>
          <w:rStyle w:val="StyleUnderline"/>
        </w:rPr>
        <w:t>.</w:t>
      </w:r>
      <w:r w:rsidRPr="00CF79EF">
        <w:rPr>
          <w:sz w:val="16"/>
        </w:rPr>
        <w:t xml:space="preserve">44 </w:t>
      </w:r>
      <w:r w:rsidRPr="00CF79EF">
        <w:rPr>
          <w:rStyle w:val="StyleUnderline"/>
        </w:rPr>
        <w:t>The IPCC engages a narrow slice of social science disciplines</w:t>
      </w:r>
      <w:r w:rsidRPr="00CF79EF">
        <w:rPr>
          <w:sz w:val="16"/>
        </w:rPr>
        <w:t xml:space="preserve">45 </w:t>
      </w:r>
      <w:r w:rsidRPr="00CF79EF">
        <w:rPr>
          <w:rStyle w:val="StyleUnderline"/>
        </w:rPr>
        <w:t xml:space="preserve">and has largely </w:t>
      </w:r>
      <w:r w:rsidRPr="00CF79EF">
        <w:rPr>
          <w:rStyle w:val="Emphasis"/>
        </w:rPr>
        <w:t>ignored</w:t>
      </w:r>
      <w:r w:rsidRPr="00CF79EF">
        <w:rPr>
          <w:rStyle w:val="StyleUnderline"/>
        </w:rPr>
        <w:t xml:space="preserve"> other sources of expertise such as </w:t>
      </w:r>
      <w:r w:rsidRPr="00CF79EF">
        <w:rPr>
          <w:rStyle w:val="Emphasis"/>
        </w:rPr>
        <w:t>local and indigenous knowledge.</w:t>
      </w:r>
      <w:r w:rsidRPr="00CF79EF">
        <w:rPr>
          <w:sz w:val="16"/>
        </w:rPr>
        <w:t xml:space="preserve">46 Some argue that </w:t>
      </w:r>
      <w:r w:rsidRPr="00CF79EF">
        <w:rPr>
          <w:rStyle w:val="StyleUnderline"/>
        </w:rPr>
        <w:t xml:space="preserve">the ways in which the IPCC produces knowledge have resulted in a </w:t>
      </w:r>
      <w:r w:rsidRPr="00CF79EF">
        <w:rPr>
          <w:rStyle w:val="Emphasis"/>
        </w:rPr>
        <w:t>technocratic approach to policy</w:t>
      </w:r>
      <w:r w:rsidRPr="00CF79EF">
        <w:rPr>
          <w:rStyle w:val="StyleUnderline"/>
        </w:rPr>
        <w:t xml:space="preserve"> that not only limits opportunities for democratic engagement but also gives policy makers and publics an</w:t>
      </w:r>
      <w:r w:rsidRPr="00CF79EF">
        <w:rPr>
          <w:rStyle w:val="Emphasis"/>
        </w:rPr>
        <w:t xml:space="preserve"> unwarranted confidence</w:t>
      </w:r>
      <w:r w:rsidRPr="00CF79EF">
        <w:rPr>
          <w:rStyle w:val="StyleUnderline"/>
        </w:rPr>
        <w:t xml:space="preserve"> in the solutions proposed.</w:t>
      </w:r>
      <w:r w:rsidRPr="00CF79EF">
        <w:rPr>
          <w:sz w:val="16"/>
        </w:rPr>
        <w:t xml:space="preserve">47 A part of </w:t>
      </w:r>
      <w:r w:rsidRPr="00CF79EF">
        <w:rPr>
          <w:rStyle w:val="StyleUnderline"/>
        </w:rPr>
        <w:t xml:space="preserve">the problem is the </w:t>
      </w:r>
      <w:r w:rsidRPr="00CF79EF">
        <w:rPr>
          <w:rStyle w:val="Emphasis"/>
        </w:rPr>
        <w:t>consensus model</w:t>
      </w:r>
      <w:r w:rsidRPr="00CF79EF">
        <w:rPr>
          <w:rStyle w:val="StyleUnderline"/>
        </w:rPr>
        <w:t xml:space="preserve"> used by the IPCC, which </w:t>
      </w:r>
      <w:r w:rsidRPr="00CF79EF">
        <w:rPr>
          <w:rStyle w:val="Emphasis"/>
        </w:rPr>
        <w:t>underrepresents dissent</w:t>
      </w:r>
      <w:r w:rsidRPr="00CF79EF">
        <w:rPr>
          <w:sz w:val="16"/>
        </w:rPr>
        <w:t xml:space="preserve">, both scientific and political.48 An increasing number of scholars argue that the </w:t>
      </w:r>
      <w:r w:rsidRPr="00CF79EF">
        <w:rPr>
          <w:rStyle w:val="StyleUnderline"/>
        </w:rPr>
        <w:t>physical and economic bias of the IPCC prevents a comprehensive understanding of climate change as an intertwined environmental and social issue.</w:t>
      </w:r>
      <w:r w:rsidRPr="00CF79EF">
        <w:rPr>
          <w:sz w:val="16"/>
        </w:rPr>
        <w:t xml:space="preserve">49 </w:t>
      </w:r>
      <w:r w:rsidRPr="00CF79EF">
        <w:rPr>
          <w:rStyle w:val="StyleUnderline"/>
        </w:rPr>
        <w:t>This</w:t>
      </w:r>
      <w:r w:rsidRPr="00CF79EF">
        <w:rPr>
          <w:sz w:val="16"/>
        </w:rPr>
        <w:t xml:space="preserve"> bias </w:t>
      </w:r>
      <w:r w:rsidRPr="00CF79EF">
        <w:rPr>
          <w:rStyle w:val="StyleUnderline"/>
        </w:rPr>
        <w:t xml:space="preserve">reinforces </w:t>
      </w:r>
      <w:r w:rsidRPr="00CF79EF">
        <w:rPr>
          <w:rStyle w:val="StyleUnderline"/>
          <w:highlight w:val="yellow"/>
        </w:rPr>
        <w:t xml:space="preserve">a </w:t>
      </w:r>
      <w:r w:rsidRPr="00CF79EF">
        <w:rPr>
          <w:rStyle w:val="Emphasis"/>
          <w:highlight w:val="yellow"/>
        </w:rPr>
        <w:t>dominant policy frame</w:t>
      </w:r>
      <w:r w:rsidRPr="00CF79EF">
        <w:rPr>
          <w:rStyle w:val="StyleUnderline"/>
        </w:rPr>
        <w:t xml:space="preserve"> for climate change</w:t>
      </w:r>
      <w:r w:rsidRPr="00CF79EF">
        <w:rPr>
          <w:sz w:val="16"/>
        </w:rPr>
        <w:t xml:space="preserve"> that is </w:t>
      </w:r>
      <w:r w:rsidRPr="00CF79EF">
        <w:rPr>
          <w:rStyle w:val="StyleUnderline"/>
          <w:highlight w:val="yellow"/>
        </w:rPr>
        <w:t>based on an assumption that climate</w:t>
      </w:r>
      <w:r w:rsidRPr="00CF79EF">
        <w:rPr>
          <w:rStyle w:val="StyleUnderline"/>
        </w:rPr>
        <w:t xml:space="preserve"> exists ‘out there’ in the world apart from our interpretations of it, that it </w:t>
      </w:r>
      <w:r w:rsidRPr="00CF79EF">
        <w:rPr>
          <w:rStyle w:val="StyleUnderline"/>
          <w:highlight w:val="yellow"/>
        </w:rPr>
        <w:t xml:space="preserve">is best addressed by </w:t>
      </w:r>
      <w:r w:rsidRPr="00CF79EF">
        <w:rPr>
          <w:rStyle w:val="Emphasis"/>
          <w:highlight w:val="yellow"/>
        </w:rPr>
        <w:t>positivist scientific analysis</w:t>
      </w:r>
      <w:r w:rsidRPr="00CF79EF">
        <w:rPr>
          <w:rStyle w:val="StyleUnderline"/>
          <w:highlight w:val="yellow"/>
        </w:rPr>
        <w:t>, and that</w:t>
      </w:r>
      <w:r w:rsidRPr="00CF79EF">
        <w:rPr>
          <w:rStyle w:val="StyleUnderline"/>
        </w:rPr>
        <w:t xml:space="preserve"> it </w:t>
      </w:r>
      <w:r w:rsidRPr="00CF79EF">
        <w:rPr>
          <w:rStyle w:val="StyleUnderline"/>
          <w:highlight w:val="yellow"/>
        </w:rPr>
        <w:t xml:space="preserve">is amenable to </w:t>
      </w:r>
      <w:r w:rsidRPr="00CF79EF">
        <w:rPr>
          <w:rStyle w:val="StyleUnderline"/>
        </w:rPr>
        <w:t xml:space="preserve">measurement, quantification and, ultimately, </w:t>
      </w:r>
      <w:r w:rsidRPr="00CF79EF">
        <w:rPr>
          <w:rStyle w:val="Emphasis"/>
          <w:highlight w:val="yellow"/>
        </w:rPr>
        <w:t>control</w:t>
      </w:r>
      <w:r w:rsidRPr="00CF79EF">
        <w:rPr>
          <w:rStyle w:val="StyleUnderline"/>
          <w:highlight w:val="yellow"/>
        </w:rPr>
        <w:t>.</w:t>
      </w:r>
      <w:r w:rsidRPr="00CF79EF">
        <w:rPr>
          <w:sz w:val="16"/>
        </w:rPr>
        <w:t>50 This dominant frame is often presented as neutral and universal and not as contingent and particular.</w:t>
      </w:r>
    </w:p>
    <w:p w14:paraId="078F13AA" w14:textId="77777777" w:rsidR="00F16872" w:rsidRPr="00EF0D3D" w:rsidRDefault="00F16872" w:rsidP="00F16872">
      <w:pPr>
        <w:rPr>
          <w:sz w:val="16"/>
        </w:rPr>
      </w:pPr>
      <w:r w:rsidRPr="00CF79EF">
        <w:rPr>
          <w:rStyle w:val="StyleUnderline"/>
          <w:highlight w:val="yellow"/>
        </w:rPr>
        <w:t xml:space="preserve">An </w:t>
      </w:r>
      <w:r w:rsidRPr="00CF79EF">
        <w:rPr>
          <w:rStyle w:val="Emphasis"/>
          <w:highlight w:val="yellow"/>
        </w:rPr>
        <w:t xml:space="preserve">illustrative example </w:t>
      </w:r>
      <w:r w:rsidRPr="00CF79EF">
        <w:rPr>
          <w:rStyle w:val="StyleUnderline"/>
          <w:highlight w:val="yellow"/>
        </w:rPr>
        <w:t>is the</w:t>
      </w:r>
      <w:r w:rsidRPr="00CF79EF">
        <w:rPr>
          <w:rStyle w:val="StyleUnderline"/>
        </w:rPr>
        <w:t xml:space="preserve"> adoption of a global temperature target (</w:t>
      </w:r>
      <w:r w:rsidRPr="00CF79EF">
        <w:rPr>
          <w:rStyle w:val="Emphasis"/>
          <w:highlight w:val="yellow"/>
        </w:rPr>
        <w:t>2 degrees Celsius</w:t>
      </w:r>
      <w:r w:rsidRPr="00CF79EF">
        <w:rPr>
          <w:rStyle w:val="StyleUnderline"/>
        </w:rPr>
        <w:t>) as a way of anchoring, guiding and benchmarking climate policy discussions</w:t>
      </w:r>
      <w:r w:rsidRPr="00CF79EF">
        <w:rPr>
          <w:sz w:val="16"/>
        </w:rPr>
        <w:t xml:space="preserve">. Initially proposed by economist William Nordhaus in the 1970s as a heuristic for a cost–benefit analysis for emission reductions, </w:t>
      </w:r>
      <w:r w:rsidRPr="00CF79EF">
        <w:rPr>
          <w:rStyle w:val="StyleUnderline"/>
        </w:rPr>
        <w:t xml:space="preserve">this </w:t>
      </w:r>
      <w:r w:rsidRPr="00CF79EF">
        <w:rPr>
          <w:rStyle w:val="StyleUnderline"/>
          <w:highlight w:val="yellow"/>
        </w:rPr>
        <w:t>target</w:t>
      </w:r>
      <w:r w:rsidRPr="00CF79EF">
        <w:rPr>
          <w:rStyle w:val="StyleUnderline"/>
        </w:rPr>
        <w:t xml:space="preserve"> has over time been endorsed by scientists, civil society groups and policy makers as a normative policy target.</w:t>
      </w:r>
      <w:r w:rsidRPr="00CF79EF">
        <w:rPr>
          <w:sz w:val="16"/>
        </w:rPr>
        <w:t xml:space="preserve">51 Critics caution that </w:t>
      </w:r>
      <w:r w:rsidRPr="00CF79EF">
        <w:rPr>
          <w:rStyle w:val="StyleUnderline"/>
          <w:highlight w:val="yellow"/>
        </w:rPr>
        <w:t>this</w:t>
      </w:r>
      <w:r w:rsidRPr="00CF79EF">
        <w:rPr>
          <w:rStyle w:val="StyleUnderline"/>
        </w:rPr>
        <w:t xml:space="preserve"> policy target </w:t>
      </w:r>
      <w:r w:rsidRPr="00CF79EF">
        <w:rPr>
          <w:rStyle w:val="StyleUnderline"/>
          <w:highlight w:val="yellow"/>
        </w:rPr>
        <w:t xml:space="preserve">is </w:t>
      </w:r>
      <w:r w:rsidRPr="00CF79EF">
        <w:rPr>
          <w:rStyle w:val="Emphasis"/>
          <w:highlight w:val="yellow"/>
        </w:rPr>
        <w:t>infeasible</w:t>
      </w:r>
      <w:r w:rsidRPr="00CF79EF">
        <w:rPr>
          <w:rStyle w:val="StyleUnderline"/>
          <w:highlight w:val="yellow"/>
        </w:rPr>
        <w:t xml:space="preserve"> and</w:t>
      </w:r>
      <w:r w:rsidRPr="00CF79EF">
        <w:rPr>
          <w:rStyle w:val="StyleUnderline"/>
        </w:rPr>
        <w:t xml:space="preserve"> potentially </w:t>
      </w:r>
      <w:r w:rsidRPr="00CF79EF">
        <w:rPr>
          <w:rStyle w:val="StyleUnderline"/>
          <w:highlight w:val="yellow"/>
        </w:rPr>
        <w:t>inappropriate as a way of framing discussions</w:t>
      </w:r>
      <w:r w:rsidRPr="00CF79EF">
        <w:rPr>
          <w:rStyle w:val="StyleUnderline"/>
        </w:rPr>
        <w:t xml:space="preserve"> around climate change.</w:t>
      </w:r>
      <w:r w:rsidRPr="00CF79EF">
        <w:rPr>
          <w:sz w:val="16"/>
        </w:rPr>
        <w:t xml:space="preserve">52 One problem is </w:t>
      </w:r>
      <w:r w:rsidRPr="00CF79EF">
        <w:rPr>
          <w:rStyle w:val="StyleUnderline"/>
        </w:rPr>
        <w:t xml:space="preserve">that this index is abstract and </w:t>
      </w:r>
      <w:r w:rsidRPr="00CF79EF">
        <w:rPr>
          <w:rStyle w:val="Emphasis"/>
        </w:rPr>
        <w:t>lacks</w:t>
      </w:r>
      <w:r w:rsidRPr="00CF79EF">
        <w:rPr>
          <w:rStyle w:val="StyleUnderline"/>
        </w:rPr>
        <w:t xml:space="preserve"> </w:t>
      </w:r>
      <w:r w:rsidRPr="00CF79EF">
        <w:rPr>
          <w:rStyle w:val="Emphasis"/>
        </w:rPr>
        <w:t>resonance</w:t>
      </w:r>
      <w:r w:rsidRPr="00CF79EF">
        <w:rPr>
          <w:rStyle w:val="StyleUnderline"/>
        </w:rPr>
        <w:t xml:space="preserve"> with </w:t>
      </w:r>
      <w:r w:rsidRPr="00CF79EF">
        <w:rPr>
          <w:rStyle w:val="Emphasis"/>
        </w:rPr>
        <w:t>everyday ways</w:t>
      </w:r>
      <w:r w:rsidRPr="00CF79EF">
        <w:rPr>
          <w:rStyle w:val="StyleUnderline"/>
        </w:rPr>
        <w:t xml:space="preserve"> of making sense of environmental change.</w:t>
      </w:r>
      <w:r w:rsidRPr="00CF79EF">
        <w:rPr>
          <w:sz w:val="16"/>
        </w:rPr>
        <w:t xml:space="preserve"> Another is that </w:t>
      </w:r>
      <w:r w:rsidRPr="00CF79EF">
        <w:rPr>
          <w:rStyle w:val="StyleUnderline"/>
          <w:highlight w:val="yellow"/>
        </w:rPr>
        <w:t xml:space="preserve">it lacks </w:t>
      </w:r>
      <w:r w:rsidRPr="00CF79EF">
        <w:rPr>
          <w:rStyle w:val="Emphasis"/>
          <w:highlight w:val="yellow"/>
        </w:rPr>
        <w:t>accountability</w:t>
      </w:r>
      <w:r w:rsidRPr="00CF79EF">
        <w:rPr>
          <w:rStyle w:val="StyleUnderline"/>
          <w:highlight w:val="yellow"/>
        </w:rPr>
        <w:t xml:space="preserve"> and </w:t>
      </w:r>
      <w:r w:rsidRPr="00CF79EF">
        <w:rPr>
          <w:rStyle w:val="Emphasis"/>
          <w:highlight w:val="yellow"/>
        </w:rPr>
        <w:t>legitimacy</w:t>
      </w:r>
      <w:r w:rsidRPr="00CF79EF">
        <w:rPr>
          <w:rStyle w:val="StyleUnderline"/>
        </w:rPr>
        <w:t xml:space="preserve"> with regard to who has the right to establish it as a goal in the first place. This target is often </w:t>
      </w:r>
      <w:r w:rsidRPr="00CF79EF">
        <w:rPr>
          <w:rStyle w:val="StyleUnderline"/>
          <w:highlight w:val="yellow"/>
        </w:rPr>
        <w:t>promoted as if it were</w:t>
      </w:r>
      <w:r w:rsidRPr="00CF79EF">
        <w:rPr>
          <w:rStyle w:val="StyleUnderline"/>
        </w:rPr>
        <w:t xml:space="preserve"> the outcome of </w:t>
      </w:r>
      <w:r w:rsidRPr="00CF79EF">
        <w:rPr>
          <w:rStyle w:val="Emphasis"/>
          <w:highlight w:val="yellow"/>
        </w:rPr>
        <w:t>objective</w:t>
      </w:r>
      <w:r w:rsidRPr="00CF79EF">
        <w:rPr>
          <w:rStyle w:val="StyleUnderline"/>
        </w:rPr>
        <w:t xml:space="preserve"> scientific research.</w:t>
      </w:r>
      <w:r w:rsidRPr="00CF79EF">
        <w:rPr>
          <w:sz w:val="16"/>
        </w:rPr>
        <w:t xml:space="preserve"> For instance, the Copenhagen Accord states that it is ‘the scientific view that the increase in global temperature should be below 2 degrees Celsius’.53 This is a misleading statement, as </w:t>
      </w:r>
      <w:r w:rsidRPr="00CF79EF">
        <w:rPr>
          <w:rStyle w:val="StyleUnderline"/>
        </w:rPr>
        <w:t>there is no overall scientific consensus on this target as a normative policy goal. Indeed,</w:t>
      </w:r>
      <w:r w:rsidRPr="00CF79EF">
        <w:rPr>
          <w:sz w:val="16"/>
        </w:rPr>
        <w:t xml:space="preserve"> as some have argued, </w:t>
      </w:r>
      <w:r w:rsidRPr="00CF79EF">
        <w:rPr>
          <w:rStyle w:val="StyleUnderline"/>
          <w:highlight w:val="yellow"/>
        </w:rPr>
        <w:t>this target</w:t>
      </w:r>
      <w:r w:rsidRPr="00CF79EF">
        <w:rPr>
          <w:sz w:val="16"/>
        </w:rPr>
        <w:t xml:space="preserve"> reflects a geographical bias that </w:t>
      </w:r>
      <w:r w:rsidRPr="00CF79EF">
        <w:rPr>
          <w:rStyle w:val="StyleUnderline"/>
          <w:highlight w:val="yellow"/>
        </w:rPr>
        <w:t>promotes the interests of regions</w:t>
      </w:r>
      <w:r w:rsidRPr="00CF79EF">
        <w:rPr>
          <w:rStyle w:val="StyleUnderline"/>
        </w:rPr>
        <w:t xml:space="preserve"> that are </w:t>
      </w:r>
      <w:r w:rsidRPr="00CF79EF">
        <w:rPr>
          <w:rStyle w:val="Emphasis"/>
          <w:highlight w:val="yellow"/>
        </w:rPr>
        <w:t>less likely</w:t>
      </w:r>
      <w:r w:rsidRPr="00CF79EF">
        <w:rPr>
          <w:rStyle w:val="StyleUnderline"/>
          <w:highlight w:val="yellow"/>
        </w:rPr>
        <w:t xml:space="preserve"> to experience</w:t>
      </w:r>
      <w:r w:rsidRPr="00CF79EF">
        <w:rPr>
          <w:rStyle w:val="StyleUnderline"/>
        </w:rPr>
        <w:t xml:space="preserve"> the </w:t>
      </w:r>
      <w:r w:rsidRPr="00CF79EF">
        <w:rPr>
          <w:rStyle w:val="Emphasis"/>
          <w:highlight w:val="yellow"/>
        </w:rPr>
        <w:t>immediate effects</w:t>
      </w:r>
      <w:r w:rsidRPr="00CF79EF">
        <w:rPr>
          <w:rStyle w:val="StyleUnderline"/>
          <w:highlight w:val="yellow"/>
        </w:rPr>
        <w:t xml:space="preserve"> of climate change, particularly</w:t>
      </w:r>
      <w:r w:rsidRPr="00CF79EF">
        <w:rPr>
          <w:rStyle w:val="StyleUnderline"/>
        </w:rPr>
        <w:t xml:space="preserve"> those of </w:t>
      </w:r>
      <w:r w:rsidRPr="00CF79EF">
        <w:rPr>
          <w:rStyle w:val="StyleUnderline"/>
          <w:highlight w:val="yellow"/>
        </w:rPr>
        <w:t xml:space="preserve">richer countries in </w:t>
      </w:r>
      <w:r w:rsidRPr="00CF79EF">
        <w:rPr>
          <w:rStyle w:val="Emphasis"/>
          <w:highlight w:val="yellow"/>
        </w:rPr>
        <w:t>Northern</w:t>
      </w:r>
      <w:r w:rsidRPr="00CF79EF">
        <w:rPr>
          <w:rStyle w:val="StyleUnderline"/>
          <w:highlight w:val="yellow"/>
        </w:rPr>
        <w:t xml:space="preserve"> </w:t>
      </w:r>
      <w:r w:rsidRPr="00CF79EF">
        <w:rPr>
          <w:rStyle w:val="Emphasis"/>
          <w:highlight w:val="yellow"/>
        </w:rPr>
        <w:t>latitudes</w:t>
      </w:r>
      <w:r w:rsidRPr="00CF79EF">
        <w:rPr>
          <w:rStyle w:val="StyleUnderline"/>
          <w:highlight w:val="yellow"/>
        </w:rPr>
        <w:t>.</w:t>
      </w:r>
      <w:r w:rsidRPr="00CF79EF">
        <w:rPr>
          <w:sz w:val="16"/>
        </w:rPr>
        <w:t xml:space="preserve">54 As Petra Tschakert puts it, </w:t>
      </w:r>
      <w:r w:rsidRPr="00CF79EF">
        <w:rPr>
          <w:rStyle w:val="StyleUnderline"/>
          <w:highlight w:val="yellow"/>
        </w:rPr>
        <w:t>‘[w]hat is considered</w:t>
      </w:r>
      <w:r w:rsidRPr="00CF79EF">
        <w:rPr>
          <w:rStyle w:val="StyleUnderline"/>
        </w:rPr>
        <w:t xml:space="preserve"> unique and </w:t>
      </w:r>
      <w:r w:rsidRPr="00CF79EF">
        <w:rPr>
          <w:rStyle w:val="StyleUnderline"/>
          <w:highlight w:val="yellow"/>
        </w:rPr>
        <w:t xml:space="preserve">threatened emerges from </w:t>
      </w:r>
      <w:r w:rsidRPr="00CF79EF">
        <w:rPr>
          <w:rStyle w:val="Emphasis"/>
          <w:highlight w:val="yellow"/>
        </w:rPr>
        <w:t>value judgments</w:t>
      </w:r>
      <w:r w:rsidRPr="00CF79EF">
        <w:rPr>
          <w:sz w:val="16"/>
        </w:rPr>
        <w:t xml:space="preserve"> that, so far, have largely been </w:t>
      </w:r>
      <w:r w:rsidRPr="00CF79EF">
        <w:rPr>
          <w:rStyle w:val="StyleUnderline"/>
          <w:highlight w:val="yellow"/>
        </w:rPr>
        <w:t>in the</w:t>
      </w:r>
      <w:r w:rsidRPr="00CF79EF">
        <w:rPr>
          <w:sz w:val="16"/>
        </w:rPr>
        <w:t xml:space="preserve"> scientific </w:t>
      </w:r>
      <w:r w:rsidRPr="00CF79EF">
        <w:rPr>
          <w:rStyle w:val="StyleUnderline"/>
          <w:highlight w:val="yellow"/>
        </w:rPr>
        <w:t xml:space="preserve">eye of the </w:t>
      </w:r>
      <w:r w:rsidRPr="00CF79EF">
        <w:rPr>
          <w:rStyle w:val="Emphasis"/>
          <w:highlight w:val="yellow"/>
        </w:rPr>
        <w:t>beholder, not the one endangered’</w:t>
      </w:r>
      <w:r w:rsidRPr="00CF79EF">
        <w:rPr>
          <w:rStyle w:val="StyleUnderline"/>
          <w:highlight w:val="yellow"/>
        </w:rPr>
        <w:t>.</w:t>
      </w:r>
      <w:r w:rsidRPr="00CF79EF">
        <w:rPr>
          <w:sz w:val="16"/>
        </w:rPr>
        <w:t xml:space="preserve">55 Another objection is that </w:t>
      </w:r>
      <w:r w:rsidRPr="00CF79EF">
        <w:rPr>
          <w:rStyle w:val="StyleUnderline"/>
          <w:highlight w:val="yellow"/>
        </w:rPr>
        <w:t>this</w:t>
      </w:r>
      <w:r w:rsidRPr="00CF79EF">
        <w:rPr>
          <w:rStyle w:val="StyleUnderline"/>
        </w:rPr>
        <w:t xml:space="preserve"> policy </w:t>
      </w:r>
      <w:r w:rsidRPr="00CF79EF">
        <w:rPr>
          <w:rStyle w:val="StyleUnderline"/>
          <w:highlight w:val="yellow"/>
        </w:rPr>
        <w:t xml:space="preserve">target </w:t>
      </w:r>
      <w:r w:rsidRPr="00CF79EF">
        <w:rPr>
          <w:rStyle w:val="Emphasis"/>
          <w:highlight w:val="yellow"/>
        </w:rPr>
        <w:t>draws attention away</w:t>
      </w:r>
      <w:r w:rsidRPr="00CF79EF">
        <w:rPr>
          <w:rStyle w:val="StyleUnderline"/>
          <w:highlight w:val="yellow"/>
        </w:rPr>
        <w:t xml:space="preserve"> from</w:t>
      </w:r>
      <w:r w:rsidRPr="00CF79EF">
        <w:rPr>
          <w:rStyle w:val="StyleUnderline"/>
        </w:rPr>
        <w:t xml:space="preserve"> the desirability of </w:t>
      </w:r>
      <w:r w:rsidRPr="00CF79EF">
        <w:rPr>
          <w:sz w:val="16"/>
        </w:rPr>
        <w:t>other policy goals that focus on</w:t>
      </w:r>
      <w:r w:rsidRPr="00CF79EF">
        <w:rPr>
          <w:rStyle w:val="StyleUnderline"/>
        </w:rPr>
        <w:t xml:space="preserve"> </w:t>
      </w:r>
      <w:r w:rsidRPr="00CF79EF">
        <w:rPr>
          <w:sz w:val="16"/>
        </w:rPr>
        <w:t xml:space="preserve">improving human welfare, such as </w:t>
      </w:r>
      <w:r w:rsidRPr="00CF79EF">
        <w:rPr>
          <w:rStyle w:val="StyleUnderline"/>
          <w:highlight w:val="yellow"/>
        </w:rPr>
        <w:t>reducing poverty, improving education</w:t>
      </w:r>
      <w:r w:rsidRPr="00CF79EF">
        <w:rPr>
          <w:sz w:val="16"/>
        </w:rPr>
        <w:t xml:space="preserve">al opportunities </w:t>
      </w:r>
      <w:r w:rsidRPr="00CF79EF">
        <w:rPr>
          <w:rStyle w:val="StyleUnderline"/>
          <w:highlight w:val="yellow"/>
        </w:rPr>
        <w:t>and empowering citizens.</w:t>
      </w:r>
      <w:r w:rsidRPr="00CF79EF">
        <w:rPr>
          <w:sz w:val="16"/>
        </w:rPr>
        <w:t>56</w:t>
      </w:r>
    </w:p>
    <w:p w14:paraId="16F22851" w14:textId="77777777" w:rsidR="00F16872" w:rsidRDefault="00F16872" w:rsidP="00F16872"/>
    <w:p w14:paraId="630170CF" w14:textId="77777777" w:rsidR="00F16872" w:rsidRDefault="00F16872" w:rsidP="00F16872"/>
    <w:p w14:paraId="495196AE" w14:textId="77777777" w:rsidR="00F16872" w:rsidRPr="00071D4E" w:rsidRDefault="00F16872" w:rsidP="00F16872">
      <w:pPr>
        <w:pStyle w:val="Heading4"/>
      </w:pPr>
      <w:r>
        <w:t xml:space="preserve">Applying utilitarian calculus to future generations is </w:t>
      </w:r>
      <w:r>
        <w:rPr>
          <w:u w:val="single"/>
        </w:rPr>
        <w:t>genocidal</w:t>
      </w:r>
      <w:r>
        <w:t xml:space="preserve">—any % risk framing would justify killing </w:t>
      </w:r>
      <w:r>
        <w:rPr>
          <w:u w:val="single"/>
        </w:rPr>
        <w:t>billions</w:t>
      </w:r>
      <w:r>
        <w:t xml:space="preserve"> of existing people.</w:t>
      </w:r>
    </w:p>
    <w:p w14:paraId="5A0E771D" w14:textId="77777777" w:rsidR="00F16872" w:rsidRPr="00071D4E" w:rsidRDefault="00F16872" w:rsidP="00F16872">
      <w:pPr>
        <w:rPr>
          <w:sz w:val="16"/>
        </w:rPr>
      </w:pPr>
      <w:r w:rsidRPr="00071D4E">
        <w:rPr>
          <w:rStyle w:val="Style13ptBold"/>
        </w:rPr>
        <w:t>Torres 23</w:t>
      </w:r>
      <w:r w:rsidRPr="00071D4E">
        <w:rPr>
          <w:sz w:val="16"/>
        </w:rPr>
        <w:t xml:space="preserve"> </w:t>
      </w:r>
      <w:r w:rsidRPr="00071D4E">
        <w:rPr>
          <w:sz w:val="20"/>
          <w:szCs w:val="20"/>
        </w:rPr>
        <w:t xml:space="preserve">(Émile P., used to write for the Future of Life Institute and was a research assistant to Ray Kurzweil and an Affiliate Scholar at the Institute for Ethics and Emerging Technologies. PhD from Leibniz Universität Hannover. MA in Neuroscience from Brandeis University. </w:t>
      </w:r>
      <w:r w:rsidRPr="00071D4E">
        <w:rPr>
          <w:i/>
          <w:iCs/>
          <w:sz w:val="20"/>
          <w:szCs w:val="20"/>
        </w:rPr>
        <w:t>Human Extinction: A History of the Science and Ethics of Annihilation</w:t>
      </w:r>
      <w:r w:rsidRPr="00071D4E">
        <w:rPr>
          <w:sz w:val="20"/>
          <w:szCs w:val="20"/>
        </w:rPr>
        <w:t xml:space="preserve"> Taylor &amp; Francis, July 14, 2023 pg. 376-377)</w:t>
      </w:r>
    </w:p>
    <w:p w14:paraId="77FC6E92" w14:textId="77777777" w:rsidR="00F16872" w:rsidRPr="00071D4E" w:rsidRDefault="00F16872" w:rsidP="00F16872">
      <w:pPr>
        <w:rPr>
          <w:sz w:val="16"/>
        </w:rPr>
      </w:pPr>
      <w:r w:rsidRPr="00071D4E">
        <w:rPr>
          <w:sz w:val="16"/>
        </w:rPr>
        <w:t xml:space="preserve">Like Matheny, </w:t>
      </w:r>
      <w:r w:rsidRPr="00071D4E">
        <w:rPr>
          <w:u w:val="single"/>
        </w:rPr>
        <w:t>Bostrom agreed with Parfit’s claim about the “greater difference,” although he generalized its conclusion to existential risks rather than just our extinction.81 On this view, the difference between an existential catastrophe almost happening and one actually happening would be axiologically enormous</w:t>
      </w:r>
      <w:r w:rsidRPr="00071D4E">
        <w:rPr>
          <w:sz w:val="16"/>
        </w:rPr>
        <w:t xml:space="preserve">, just as Parfit argued with respect to almost versus actual extinction. Put differently, however much suffering the process or event of succumbing to an existential catastrophe might inflict, the badness of the state or condition of having succumbed to an existential catastrophe would be enormously larger. </w:t>
      </w:r>
      <w:r w:rsidRPr="00071D4E">
        <w:rPr>
          <w:highlight w:val="yellow"/>
          <w:u w:val="single"/>
        </w:rPr>
        <w:t xml:space="preserve">In </w:t>
      </w:r>
      <w:r w:rsidRPr="00071D4E">
        <w:rPr>
          <w:rStyle w:val="Emphasis"/>
          <w:highlight w:val="yellow"/>
        </w:rPr>
        <w:t>Bostrom’s</w:t>
      </w:r>
      <w:r w:rsidRPr="00071D4E">
        <w:rPr>
          <w:highlight w:val="yellow"/>
          <w:u w:val="single"/>
        </w:rPr>
        <w:t xml:space="preserve"> words</w:t>
      </w:r>
      <w:r w:rsidRPr="00071D4E">
        <w:rPr>
          <w:u w:val="single"/>
        </w:rPr>
        <w:t>: “</w:t>
      </w:r>
      <w:r w:rsidRPr="00071D4E">
        <w:rPr>
          <w:highlight w:val="yellow"/>
          <w:u w:val="single"/>
        </w:rPr>
        <w:t xml:space="preserve">What makes existential catastrophes </w:t>
      </w:r>
      <w:r w:rsidRPr="00BE256B">
        <w:rPr>
          <w:u w:val="single"/>
        </w:rPr>
        <w:t xml:space="preserve">especially </w:t>
      </w:r>
      <w:r w:rsidRPr="00071D4E">
        <w:rPr>
          <w:highlight w:val="yellow"/>
          <w:u w:val="single"/>
        </w:rPr>
        <w:t>bad is</w:t>
      </w:r>
      <w:r w:rsidRPr="00071D4E">
        <w:rPr>
          <w:u w:val="single"/>
        </w:rPr>
        <w:t xml:space="preserve"> not that they would [cause] a precipitous drop in world population or average quality of life. Instead, their significance lies primarily in the fact </w:t>
      </w:r>
      <w:r w:rsidRPr="00BE256B">
        <w:rPr>
          <w:u w:val="single"/>
        </w:rPr>
        <w:t xml:space="preserve">that </w:t>
      </w:r>
      <w:r w:rsidRPr="00071D4E">
        <w:rPr>
          <w:highlight w:val="yellow"/>
          <w:u w:val="single"/>
        </w:rPr>
        <w:t xml:space="preserve">they would </w:t>
      </w:r>
      <w:r w:rsidRPr="00071D4E">
        <w:rPr>
          <w:rStyle w:val="Emphasis"/>
          <w:highlight w:val="yellow"/>
        </w:rPr>
        <w:t>destroy the future</w:t>
      </w:r>
      <w:r w:rsidRPr="00071D4E">
        <w:rPr>
          <w:u w:val="single"/>
        </w:rPr>
        <w:t>.”</w:t>
      </w:r>
      <w:r w:rsidRPr="00071D4E">
        <w:rPr>
          <w:sz w:val="16"/>
        </w:rPr>
        <w:t xml:space="preserve"> How bad would this destruction be? How much value could humanity create in the absence of such a catastrophe? Updating his earlier numbers, Bostrom calculated that “if we suppose with Parfit that our planet will remain habitable for at least another billion years, and we assume that at least one billion people could live on it sustainably, then the potential exist[s] for at least 1016 human lives of normal duration.” From an expected-value perspective, this means that “reducing existential risk by a mere one millionth of one percentage point is at least a hundred times the value of a million human lives.” Yet if we were to colonize our future light cone, and if future people could be “implemented in computational hard-ware instead of biological neuronal wetware,” he claimed that there could exist some “1054 human-brain-emulation subjective life-years” in total. This implies that </w:t>
      </w:r>
    </w:p>
    <w:p w14:paraId="2A2ACB7B" w14:textId="77777777" w:rsidR="00F16872" w:rsidRPr="00071D4E" w:rsidRDefault="00F16872" w:rsidP="00F16872">
      <w:pPr>
        <w:ind w:left="720"/>
        <w:rPr>
          <w:rStyle w:val="Emphasis"/>
        </w:rPr>
      </w:pPr>
      <w:r w:rsidRPr="00071D4E">
        <w:rPr>
          <w:highlight w:val="yellow"/>
          <w:u w:val="single"/>
        </w:rPr>
        <w:t>even if we give this</w:t>
      </w:r>
      <w:r w:rsidRPr="00071D4E">
        <w:rPr>
          <w:u w:val="single"/>
        </w:rPr>
        <w:t xml:space="preserve"> allegedly lower bound</w:t>
      </w:r>
      <w:r w:rsidRPr="00071D4E">
        <w:rPr>
          <w:sz w:val="16"/>
        </w:rPr>
        <w:t xml:space="preserve"> on the cumulative output potential of a technologically mature </w:t>
      </w:r>
      <w:r w:rsidRPr="00071D4E">
        <w:rPr>
          <w:u w:val="single"/>
        </w:rPr>
        <w:t xml:space="preserve">civilization </w:t>
      </w:r>
      <w:r w:rsidRPr="00071D4E">
        <w:rPr>
          <w:rStyle w:val="Emphasis"/>
          <w:sz w:val="30"/>
          <w:szCs w:val="30"/>
          <w:highlight w:val="yellow"/>
        </w:rPr>
        <w:t>a mere 1% chance of being correct</w:t>
      </w:r>
      <w:r w:rsidRPr="00071D4E">
        <w:rPr>
          <w:sz w:val="30"/>
          <w:szCs w:val="30"/>
          <w:highlight w:val="yellow"/>
          <w:u w:val="single"/>
        </w:rPr>
        <w:t>, we find that</w:t>
      </w:r>
      <w:r w:rsidRPr="00071D4E">
        <w:rPr>
          <w:sz w:val="30"/>
          <w:szCs w:val="30"/>
          <w:u w:val="single"/>
        </w:rPr>
        <w:t xml:space="preserve"> the </w:t>
      </w:r>
      <w:r w:rsidRPr="00071D4E">
        <w:rPr>
          <w:rStyle w:val="Emphasis"/>
          <w:sz w:val="30"/>
          <w:szCs w:val="30"/>
          <w:highlight w:val="yellow"/>
        </w:rPr>
        <w:t>expected value</w:t>
      </w:r>
      <w:r w:rsidRPr="00071D4E">
        <w:rPr>
          <w:sz w:val="30"/>
          <w:szCs w:val="30"/>
          <w:highlight w:val="yellow"/>
          <w:u w:val="single"/>
        </w:rPr>
        <w:t xml:space="preserve"> of </w:t>
      </w:r>
      <w:r w:rsidRPr="00071D4E">
        <w:rPr>
          <w:b/>
          <w:bCs/>
          <w:sz w:val="30"/>
          <w:szCs w:val="30"/>
          <w:highlight w:val="yellow"/>
          <w:u w:val="single"/>
        </w:rPr>
        <w:t>reducing</w:t>
      </w:r>
      <w:r w:rsidRPr="00071D4E">
        <w:rPr>
          <w:sz w:val="30"/>
          <w:szCs w:val="30"/>
          <w:highlight w:val="yellow"/>
          <w:u w:val="single"/>
        </w:rPr>
        <w:t xml:space="preserve"> existential </w:t>
      </w:r>
      <w:r w:rsidRPr="00071D4E">
        <w:rPr>
          <w:rStyle w:val="Emphasis"/>
          <w:sz w:val="30"/>
          <w:szCs w:val="30"/>
          <w:highlight w:val="yellow"/>
        </w:rPr>
        <w:t>risk by</w:t>
      </w:r>
      <w:r w:rsidRPr="00071D4E">
        <w:rPr>
          <w:rStyle w:val="Emphasis"/>
          <w:sz w:val="30"/>
          <w:szCs w:val="30"/>
        </w:rPr>
        <w:t xml:space="preserve"> a mere </w:t>
      </w:r>
      <w:r w:rsidRPr="00071D4E">
        <w:rPr>
          <w:rStyle w:val="Emphasis"/>
          <w:sz w:val="30"/>
          <w:szCs w:val="30"/>
          <w:highlight w:val="yellow"/>
        </w:rPr>
        <w:t>one billionth of one billionth of one percent</w:t>
      </w:r>
      <w:r w:rsidRPr="00071D4E">
        <w:rPr>
          <w:rStyle w:val="Emphasis"/>
          <w:sz w:val="30"/>
          <w:szCs w:val="30"/>
        </w:rPr>
        <w:t xml:space="preserve">age point </w:t>
      </w:r>
      <w:r w:rsidRPr="00071D4E">
        <w:rPr>
          <w:rStyle w:val="Emphasis"/>
          <w:sz w:val="30"/>
          <w:szCs w:val="30"/>
          <w:highlight w:val="yellow"/>
        </w:rPr>
        <w:t>is worth a hundred</w:t>
      </w:r>
      <w:r w:rsidRPr="00071D4E">
        <w:rPr>
          <w:rStyle w:val="Emphasis"/>
          <w:sz w:val="30"/>
          <w:szCs w:val="30"/>
        </w:rPr>
        <w:t xml:space="preserve"> billion times as much as a </w:t>
      </w:r>
      <w:r w:rsidRPr="00071D4E">
        <w:rPr>
          <w:rStyle w:val="Emphasis"/>
          <w:sz w:val="30"/>
          <w:szCs w:val="30"/>
          <w:highlight w:val="yellow"/>
        </w:rPr>
        <w:t>billion human lives</w:t>
      </w:r>
      <w:r w:rsidRPr="00071D4E">
        <w:rPr>
          <w:sz w:val="16"/>
        </w:rPr>
        <w:t>.82</w:t>
      </w:r>
      <w:r w:rsidRPr="00071D4E">
        <w:rPr>
          <w:rStyle w:val="Emphasis"/>
        </w:rPr>
        <w:t xml:space="preserve"> </w:t>
      </w:r>
    </w:p>
    <w:p w14:paraId="46CCEBA6" w14:textId="77777777" w:rsidR="00F16872" w:rsidRDefault="00F16872" w:rsidP="00F16872">
      <w:pPr>
        <w:rPr>
          <w:sz w:val="16"/>
        </w:rPr>
      </w:pPr>
      <w:r w:rsidRPr="00071D4E">
        <w:rPr>
          <w:u w:val="single"/>
        </w:rPr>
        <w:t xml:space="preserve">To illustrate the idea, </w:t>
      </w:r>
      <w:r w:rsidRPr="00071D4E">
        <w:rPr>
          <w:rStyle w:val="Emphasis"/>
          <w:highlight w:val="yellow"/>
        </w:rPr>
        <w:t>imagine</w:t>
      </w:r>
      <w:r w:rsidRPr="00071D4E">
        <w:rPr>
          <w:rStyle w:val="Emphasis"/>
        </w:rPr>
        <w:t xml:space="preserve"> sitting in front of </w:t>
      </w:r>
      <w:r w:rsidRPr="00071D4E">
        <w:rPr>
          <w:rStyle w:val="Emphasis"/>
          <w:highlight w:val="yellow"/>
        </w:rPr>
        <w:t>two buttons</w:t>
      </w:r>
      <w:r w:rsidRPr="00071D4E">
        <w:rPr>
          <w:u w:val="single"/>
        </w:rPr>
        <w:t xml:space="preserve">. If you push </w:t>
      </w:r>
      <w:r w:rsidRPr="00071D4E">
        <w:rPr>
          <w:highlight w:val="yellow"/>
          <w:u w:val="single"/>
        </w:rPr>
        <w:t>the first button</w:t>
      </w:r>
      <w:r w:rsidRPr="00071D4E">
        <w:rPr>
          <w:u w:val="single"/>
        </w:rPr>
        <w:t xml:space="preserve">, the </w:t>
      </w:r>
      <w:r w:rsidRPr="00071D4E">
        <w:rPr>
          <w:highlight w:val="yellow"/>
          <w:u w:val="single"/>
        </w:rPr>
        <w:t xml:space="preserve">probability of an existential catastrophe will fall </w:t>
      </w:r>
      <w:r w:rsidRPr="00071D4E">
        <w:rPr>
          <w:u w:val="single"/>
        </w:rPr>
        <w:t xml:space="preserve">by </w:t>
      </w:r>
      <w:r w:rsidRPr="00071D4E">
        <w:rPr>
          <w:rStyle w:val="Emphasis"/>
        </w:rPr>
        <w:t>0.0000000000000000001 percentage point</w:t>
      </w:r>
      <w:r w:rsidRPr="00071D4E">
        <w:rPr>
          <w:u w:val="single"/>
        </w:rPr>
        <w:t xml:space="preserve">, assuming a 0.01 chance of 1054 subjective life-years existing in the future. If you push </w:t>
      </w:r>
      <w:r w:rsidRPr="00071D4E">
        <w:rPr>
          <w:rStyle w:val="Emphasis"/>
          <w:highlight w:val="yellow"/>
        </w:rPr>
        <w:t>the second button</w:t>
      </w:r>
      <w:r w:rsidRPr="00071D4E">
        <w:rPr>
          <w:highlight w:val="yellow"/>
          <w:u w:val="single"/>
        </w:rPr>
        <w:t xml:space="preserve">, </w:t>
      </w:r>
      <w:r w:rsidRPr="00071D4E">
        <w:rPr>
          <w:rStyle w:val="Emphasis"/>
          <w:highlight w:val="yellow"/>
        </w:rPr>
        <w:t>one billion</w:t>
      </w:r>
      <w:r w:rsidRPr="00071D4E">
        <w:rPr>
          <w:rStyle w:val="Emphasis"/>
        </w:rPr>
        <w:t xml:space="preserve"> currently living </w:t>
      </w:r>
      <w:r w:rsidRPr="00071D4E">
        <w:rPr>
          <w:rStyle w:val="Emphasis"/>
          <w:highlight w:val="yellow"/>
        </w:rPr>
        <w:t>human beings will be prevented from dying</w:t>
      </w:r>
      <w:r w:rsidRPr="00071D4E">
        <w:rPr>
          <w:highlight w:val="yellow"/>
          <w:u w:val="single"/>
        </w:rPr>
        <w:t>.</w:t>
      </w:r>
      <w:r w:rsidRPr="00071D4E">
        <w:rPr>
          <w:u w:val="single"/>
        </w:rPr>
        <w:t xml:space="preserve"> Which button should you push? </w:t>
      </w:r>
      <w:r w:rsidRPr="00071D4E">
        <w:rPr>
          <w:highlight w:val="yellow"/>
          <w:u w:val="single"/>
        </w:rPr>
        <w:t>The answer</w:t>
      </w:r>
      <w:r w:rsidRPr="00071D4E">
        <w:rPr>
          <w:u w:val="single"/>
        </w:rPr>
        <w:t xml:space="preserve">, on Bostrom’s view, is a resounding: you should </w:t>
      </w:r>
      <w:r w:rsidRPr="00071D4E">
        <w:rPr>
          <w:rStyle w:val="Emphasis"/>
          <w:highlight w:val="yellow"/>
        </w:rPr>
        <w:t>push the first</w:t>
      </w:r>
      <w:r w:rsidRPr="00071D4E">
        <w:rPr>
          <w:u w:val="single"/>
        </w:rPr>
        <w:t xml:space="preserve"> button, because doing this would be 100,000,000,000 times better than pushing the second</w:t>
      </w:r>
      <w:r w:rsidRPr="00071D4E">
        <w:rPr>
          <w:sz w:val="16"/>
        </w:rPr>
        <w:t xml:space="preserve">. Again, </w:t>
      </w:r>
      <w:r w:rsidRPr="00071D4E">
        <w:rPr>
          <w:highlight w:val="yellow"/>
          <w:u w:val="single"/>
        </w:rPr>
        <w:t xml:space="preserve">recalling </w:t>
      </w:r>
      <w:r w:rsidRPr="00071D4E">
        <w:rPr>
          <w:b/>
          <w:bCs/>
          <w:highlight w:val="yellow"/>
          <w:u w:val="single"/>
        </w:rPr>
        <w:t>Bennett’s</w:t>
      </w:r>
      <w:r w:rsidRPr="00071D4E">
        <w:rPr>
          <w:highlight w:val="yellow"/>
          <w:u w:val="single"/>
        </w:rPr>
        <w:t xml:space="preserve"> </w:t>
      </w:r>
      <w:r w:rsidRPr="00071D4E">
        <w:rPr>
          <w:b/>
          <w:bCs/>
          <w:highlight w:val="yellow"/>
          <w:u w:val="single"/>
        </w:rPr>
        <w:t>description</w:t>
      </w:r>
      <w:r w:rsidRPr="00071D4E">
        <w:rPr>
          <w:highlight w:val="yellow"/>
          <w:u w:val="single"/>
        </w:rPr>
        <w:t xml:space="preserve"> of </w:t>
      </w:r>
      <w:r w:rsidRPr="00071D4E">
        <w:rPr>
          <w:rStyle w:val="Emphasis"/>
          <w:highlight w:val="yellow"/>
        </w:rPr>
        <w:t>util</w:t>
      </w:r>
      <w:r w:rsidRPr="00071D4E">
        <w:rPr>
          <w:u w:val="single"/>
        </w:rPr>
        <w:t>itarianism</w:t>
      </w:r>
      <w:r w:rsidRPr="00071D4E">
        <w:rPr>
          <w:sz w:val="16"/>
        </w:rPr>
        <w:t xml:space="preserve"> and the notion of value-containers from earlier, </w:t>
      </w:r>
      <w:r w:rsidRPr="00071D4E">
        <w:rPr>
          <w:u w:val="single"/>
        </w:rPr>
        <w:t xml:space="preserve">the </w:t>
      </w:r>
      <w:r w:rsidRPr="00071D4E">
        <w:rPr>
          <w:rStyle w:val="Emphasis"/>
          <w:highlight w:val="yellow"/>
        </w:rPr>
        <w:t>non-birth</w:t>
      </w:r>
      <w:r w:rsidRPr="00071D4E">
        <w:rPr>
          <w:highlight w:val="yellow"/>
          <w:u w:val="single"/>
        </w:rPr>
        <w:t xml:space="preserve"> of</w:t>
      </w:r>
      <w:r w:rsidRPr="00071D4E">
        <w:rPr>
          <w:u w:val="single"/>
        </w:rPr>
        <w:t xml:space="preserve"> these </w:t>
      </w:r>
      <w:r w:rsidRPr="00071D4E">
        <w:rPr>
          <w:b/>
          <w:bCs/>
          <w:highlight w:val="yellow"/>
          <w:u w:val="single"/>
        </w:rPr>
        <w:t>possible future people</w:t>
      </w:r>
      <w:r w:rsidRPr="00071D4E">
        <w:rPr>
          <w:highlight w:val="yellow"/>
          <w:u w:val="single"/>
        </w:rPr>
        <w:t xml:space="preserve"> would constitute </w:t>
      </w:r>
      <w:r w:rsidRPr="00071D4E">
        <w:rPr>
          <w:rStyle w:val="Emphasis"/>
          <w:highlight w:val="yellow"/>
        </w:rPr>
        <w:t>a far greater</w:t>
      </w:r>
      <w:r w:rsidRPr="00071D4E">
        <w:rPr>
          <w:rStyle w:val="Emphasis"/>
        </w:rPr>
        <w:t xml:space="preserve"> axiological </w:t>
      </w:r>
      <w:r w:rsidRPr="00071D4E">
        <w:rPr>
          <w:rStyle w:val="Emphasis"/>
          <w:highlight w:val="yellow"/>
        </w:rPr>
        <w:t>catastrophe</w:t>
      </w:r>
      <w:r w:rsidRPr="00071D4E">
        <w:rPr>
          <w:highlight w:val="yellow"/>
          <w:u w:val="single"/>
        </w:rPr>
        <w:t xml:space="preserve"> than </w:t>
      </w:r>
      <w:r w:rsidRPr="00071D4E">
        <w:rPr>
          <w:rStyle w:val="Emphasis"/>
          <w:highlight w:val="yellow"/>
        </w:rPr>
        <w:t>the</w:t>
      </w:r>
      <w:r w:rsidRPr="00071D4E">
        <w:rPr>
          <w:rStyle w:val="Emphasis"/>
        </w:rPr>
        <w:t xml:space="preserve"> untimely </w:t>
      </w:r>
      <w:r w:rsidRPr="00071D4E">
        <w:rPr>
          <w:rStyle w:val="Emphasis"/>
          <w:highlight w:val="yellow"/>
        </w:rPr>
        <w:t>deaths of</w:t>
      </w:r>
      <w:r w:rsidRPr="00071D4E">
        <w:rPr>
          <w:rStyle w:val="Emphasis"/>
        </w:rPr>
        <w:t xml:space="preserve"> these </w:t>
      </w:r>
      <w:r w:rsidRPr="00071D4E">
        <w:rPr>
          <w:rStyle w:val="Emphasis"/>
          <w:highlight w:val="yellow"/>
        </w:rPr>
        <w:t>existing people</w:t>
      </w:r>
      <w:r w:rsidRPr="00071D4E">
        <w:rPr>
          <w:u w:val="single"/>
        </w:rPr>
        <w:t>, all other things being equal</w:t>
      </w:r>
      <w:r w:rsidRPr="00071D4E">
        <w:rPr>
          <w:sz w:val="16"/>
        </w:rPr>
        <w:t>. Yet even this estimate from Bostrom’s 2013 paper might be of by several orders of magnitude, as he argued the following year in a section titled “How big is the cosmic endowment?” in his book Superintelligence that a total of “at least 1058 human lives could be created in emulation” within the accessible universe. “The true number is probably larger,” he added, although once again the point is simply that we are dealing with unfathomably huge figures.83 Given this, it follows that “the loss in expected value resulting from an existential catastrophe is . . . literally astronomical,” and hence that “the objective of reducing existential risks should be a dominant consideration whenever we act out of an impersonal concern for humankind as a whole.”84</w:t>
      </w:r>
    </w:p>
    <w:p w14:paraId="3E792176" w14:textId="77777777" w:rsidR="00F16872" w:rsidRDefault="00F16872" w:rsidP="00F16872"/>
    <w:p w14:paraId="480583C2" w14:textId="77777777" w:rsidR="00F16872" w:rsidRDefault="00F16872" w:rsidP="00F16872"/>
    <w:p w14:paraId="169C85CB" w14:textId="77777777" w:rsidR="00F16872" w:rsidRDefault="00F16872" w:rsidP="00F16872">
      <w:pPr>
        <w:pStyle w:val="Heading4"/>
      </w:pPr>
      <w:r>
        <w:t xml:space="preserve">The util focus on </w:t>
      </w:r>
      <w:r>
        <w:rPr>
          <w:u w:val="single"/>
        </w:rPr>
        <w:t>future generations</w:t>
      </w:r>
      <w:r>
        <w:t xml:space="preserve"> </w:t>
      </w:r>
      <w:r w:rsidRPr="00770EB4">
        <w:t xml:space="preserve">makes it </w:t>
      </w:r>
      <w:r>
        <w:rPr>
          <w:u w:val="single"/>
        </w:rPr>
        <w:t>desirable</w:t>
      </w:r>
      <w:r>
        <w:t xml:space="preserve"> to </w:t>
      </w:r>
      <w:r>
        <w:rPr>
          <w:u w:val="single"/>
        </w:rPr>
        <w:t>kill the poor</w:t>
      </w:r>
      <w:r>
        <w:t xml:space="preserve"> for hypothetical 10^45 digital beings.</w:t>
      </w:r>
    </w:p>
    <w:p w14:paraId="0DC567D5" w14:textId="77777777" w:rsidR="00F16872" w:rsidRPr="00770EB4" w:rsidRDefault="00F16872" w:rsidP="00F16872">
      <w:pPr>
        <w:rPr>
          <w:sz w:val="20"/>
          <w:szCs w:val="20"/>
        </w:rPr>
      </w:pPr>
      <w:r w:rsidRPr="00770EB4">
        <w:rPr>
          <w:rStyle w:val="Style13ptBold"/>
        </w:rPr>
        <w:t>Torres 23</w:t>
      </w:r>
      <w:r w:rsidRPr="00770EB4">
        <w:rPr>
          <w:sz w:val="14"/>
        </w:rPr>
        <w:t xml:space="preserve"> </w:t>
      </w:r>
      <w:r w:rsidRPr="00770EB4">
        <w:rPr>
          <w:sz w:val="20"/>
          <w:szCs w:val="20"/>
        </w:rPr>
        <w:t xml:space="preserve">(Émile P., used to write for the Future of Life Institute and was a research assistant to Ray Kurzweil and an Affiliate Scholar at the Institute for Ethics and Emerging Technologies. PhD from Leibniz Universität Hannover. MA in Neuroscience from Brandeis University. </w:t>
      </w:r>
      <w:r w:rsidRPr="00770EB4">
        <w:rPr>
          <w:i/>
          <w:iCs/>
          <w:sz w:val="20"/>
          <w:szCs w:val="20"/>
        </w:rPr>
        <w:t>Human Extinction: A History of the Science and Ethics of Annihilation</w:t>
      </w:r>
      <w:r w:rsidRPr="00770EB4">
        <w:rPr>
          <w:sz w:val="20"/>
          <w:szCs w:val="20"/>
        </w:rPr>
        <w:t xml:space="preserve"> Taylor &amp; Francis, July 14, 2023 pg. 383-388)</w:t>
      </w:r>
    </w:p>
    <w:p w14:paraId="692D1ADC" w14:textId="77777777" w:rsidR="00F16872" w:rsidRPr="00770EB4" w:rsidRDefault="00F16872" w:rsidP="00F16872">
      <w:pPr>
        <w:spacing w:after="0"/>
        <w:ind w:firstLine="720"/>
        <w:rPr>
          <w:sz w:val="14"/>
        </w:rPr>
      </w:pPr>
      <w:r w:rsidRPr="003158D0">
        <w:rPr>
          <w:u w:val="single"/>
        </w:rPr>
        <w:t xml:space="preserve">Another argument from </w:t>
      </w:r>
      <w:r w:rsidRPr="00770EB4">
        <w:rPr>
          <w:rStyle w:val="Emphasis"/>
        </w:rPr>
        <w:t>Ord</w:t>
      </w:r>
      <w:r w:rsidRPr="003158D0">
        <w:rPr>
          <w:u w:val="single"/>
        </w:rPr>
        <w:t xml:space="preserve"> concerns moral</w:t>
      </w:r>
      <w:r w:rsidRPr="00770EB4">
        <w:rPr>
          <w:sz w:val="14"/>
        </w:rPr>
        <w:t xml:space="preserve"> or normative </w:t>
      </w:r>
      <w:r w:rsidRPr="003158D0">
        <w:rPr>
          <w:u w:val="single"/>
        </w:rPr>
        <w:t>uncertainty</w:t>
      </w:r>
      <w:r w:rsidRPr="00770EB4">
        <w:rPr>
          <w:sz w:val="14"/>
        </w:rPr>
        <w:t xml:space="preserve">. </w:t>
      </w:r>
      <w:r w:rsidRPr="00770EB4">
        <w:rPr>
          <w:u w:val="single"/>
        </w:rPr>
        <w:t>Imagine</w:t>
      </w:r>
      <w:r w:rsidRPr="003158D0">
        <w:rPr>
          <w:u w:val="single"/>
        </w:rPr>
        <w:t xml:space="preserve"> that </w:t>
      </w:r>
      <w:r w:rsidRPr="00770EB4">
        <w:rPr>
          <w:u w:val="single"/>
        </w:rPr>
        <w:t>we</w:t>
      </w:r>
      <w:r w:rsidRPr="003158D0">
        <w:rPr>
          <w:u w:val="single"/>
        </w:rPr>
        <w:t xml:space="preserve"> have no duty to preserve our potential, but mistakenly decide to </w:t>
      </w:r>
      <w:r w:rsidRPr="00770EB4">
        <w:rPr>
          <w:u w:val="single"/>
        </w:rPr>
        <w:t>allocate</w:t>
      </w:r>
      <w:r w:rsidRPr="003158D0">
        <w:rPr>
          <w:u w:val="single"/>
        </w:rPr>
        <w:t xml:space="preserve"> our resources toward this end, rather than toward other philanthropic causes like </w:t>
      </w:r>
      <w:r w:rsidRPr="00CC246E">
        <w:rPr>
          <w:rStyle w:val="Emphasis"/>
        </w:rPr>
        <w:t>global poverty</w:t>
      </w:r>
      <w:r w:rsidRPr="003158D0">
        <w:rPr>
          <w:u w:val="single"/>
        </w:rPr>
        <w:t xml:space="preserve">, </w:t>
      </w:r>
      <w:r w:rsidRPr="00CC246E">
        <w:rPr>
          <w:rStyle w:val="Emphasis"/>
        </w:rPr>
        <w:t>social justice</w:t>
      </w:r>
      <w:r w:rsidRPr="003158D0">
        <w:rPr>
          <w:u w:val="single"/>
        </w:rPr>
        <w:t xml:space="preserve">, and animal welfare. This would be </w:t>
      </w:r>
      <w:r w:rsidRPr="00770EB4">
        <w:rPr>
          <w:rStyle w:val="Emphasis"/>
        </w:rPr>
        <w:t>unfortunate</w:t>
      </w:r>
      <w:r w:rsidRPr="003158D0">
        <w:rPr>
          <w:u w:val="single"/>
        </w:rPr>
        <w:t>, as it would increase</w:t>
      </w:r>
      <w:r w:rsidRPr="00770EB4">
        <w:rPr>
          <w:sz w:val="14"/>
        </w:rPr>
        <w:t xml:space="preserve">, or fail to lessen, the </w:t>
      </w:r>
      <w:r w:rsidRPr="003158D0">
        <w:rPr>
          <w:u w:val="single"/>
        </w:rPr>
        <w:t>human and nonhuman suffering</w:t>
      </w:r>
      <w:r w:rsidRPr="00770EB4">
        <w:rPr>
          <w:sz w:val="14"/>
        </w:rPr>
        <w:t xml:space="preserve"> that exists in the world today. </w:t>
      </w:r>
      <w:r w:rsidRPr="003158D0">
        <w:rPr>
          <w:u w:val="single"/>
        </w:rPr>
        <w:t xml:space="preserve">But now </w:t>
      </w:r>
      <w:r w:rsidRPr="00770EB4">
        <w:rPr>
          <w:highlight w:val="yellow"/>
          <w:u w:val="single"/>
        </w:rPr>
        <w:t>imagine</w:t>
      </w:r>
      <w:r w:rsidRPr="003158D0">
        <w:rPr>
          <w:u w:val="single"/>
        </w:rPr>
        <w:t xml:space="preserve"> </w:t>
      </w:r>
      <w:r w:rsidRPr="00770EB4">
        <w:rPr>
          <w:rStyle w:val="Emphasis"/>
        </w:rPr>
        <w:t>the reverse</w:t>
      </w:r>
      <w:r w:rsidRPr="00770EB4">
        <w:rPr>
          <w:sz w:val="14"/>
        </w:rPr>
        <w:t xml:space="preserve"> situation, in which preserving our potential is “our most important duty.” </w:t>
      </w:r>
      <w:r w:rsidRPr="00770EB4">
        <w:rPr>
          <w:b/>
          <w:bCs/>
          <w:highlight w:val="yellow"/>
          <w:u w:val="single"/>
        </w:rPr>
        <w:t>We</w:t>
      </w:r>
      <w:r w:rsidRPr="00770EB4">
        <w:rPr>
          <w:sz w:val="14"/>
        </w:rPr>
        <w:t xml:space="preserve"> then </w:t>
      </w:r>
      <w:r w:rsidRPr="00770EB4">
        <w:rPr>
          <w:b/>
          <w:bCs/>
          <w:u w:val="single"/>
        </w:rPr>
        <w:t>mistakenly</w:t>
      </w:r>
      <w:r w:rsidRPr="003158D0">
        <w:rPr>
          <w:u w:val="single"/>
        </w:rPr>
        <w:t xml:space="preserve"> </w:t>
      </w:r>
      <w:r w:rsidRPr="00770EB4">
        <w:rPr>
          <w:highlight w:val="yellow"/>
          <w:u w:val="single"/>
        </w:rPr>
        <w:t>allocate resources toward</w:t>
      </w:r>
      <w:r w:rsidRPr="003158D0">
        <w:rPr>
          <w:u w:val="single"/>
        </w:rPr>
        <w:t xml:space="preserve"> global </w:t>
      </w:r>
      <w:r w:rsidRPr="00770EB4">
        <w:rPr>
          <w:rStyle w:val="Emphasis"/>
          <w:highlight w:val="yellow"/>
        </w:rPr>
        <w:t>poverty</w:t>
      </w:r>
      <w:r w:rsidRPr="003158D0">
        <w:rPr>
          <w:u w:val="single"/>
        </w:rPr>
        <w:t xml:space="preserve">, etc., </w:t>
      </w:r>
      <w:r w:rsidRPr="00770EB4">
        <w:rPr>
          <w:highlight w:val="yellow"/>
          <w:u w:val="single"/>
        </w:rPr>
        <w:t>which allows the</w:t>
      </w:r>
      <w:r w:rsidRPr="003158D0">
        <w:rPr>
          <w:u w:val="single"/>
        </w:rPr>
        <w:t xml:space="preserve"> overall </w:t>
      </w:r>
      <w:r w:rsidRPr="00770EB4">
        <w:rPr>
          <w:b/>
          <w:bCs/>
          <w:highlight w:val="yellow"/>
          <w:u w:val="single"/>
        </w:rPr>
        <w:t>probability</w:t>
      </w:r>
      <w:r w:rsidRPr="00770EB4">
        <w:rPr>
          <w:highlight w:val="yellow"/>
          <w:u w:val="single"/>
        </w:rPr>
        <w:t xml:space="preserve"> of an </w:t>
      </w:r>
      <w:r w:rsidRPr="00770EB4">
        <w:rPr>
          <w:rStyle w:val="Emphasis"/>
          <w:highlight w:val="yellow"/>
        </w:rPr>
        <w:t>existential catastrophe</w:t>
      </w:r>
      <w:r w:rsidRPr="003158D0">
        <w:rPr>
          <w:u w:val="single"/>
        </w:rPr>
        <w:t xml:space="preserve"> occurring </w:t>
      </w:r>
      <w:r w:rsidRPr="00770EB4">
        <w:rPr>
          <w:b/>
          <w:bCs/>
          <w:highlight w:val="yellow"/>
          <w:u w:val="single"/>
        </w:rPr>
        <w:t>to remain</w:t>
      </w:r>
      <w:r w:rsidRPr="003158D0">
        <w:rPr>
          <w:u w:val="single"/>
        </w:rPr>
        <w:t xml:space="preserve"> unacceptably </w:t>
      </w:r>
      <w:r w:rsidRPr="00770EB4">
        <w:rPr>
          <w:b/>
          <w:bCs/>
          <w:highlight w:val="yellow"/>
          <w:u w:val="single"/>
        </w:rPr>
        <w:t>high</w:t>
      </w:r>
      <w:r w:rsidRPr="00770EB4">
        <w:rPr>
          <w:sz w:val="14"/>
        </w:rPr>
        <w:t xml:space="preserve">, or perhaps rise.109 </w:t>
      </w:r>
      <w:r w:rsidRPr="00770EB4">
        <w:rPr>
          <w:highlight w:val="yellow"/>
          <w:u w:val="single"/>
        </w:rPr>
        <w:t>This</w:t>
      </w:r>
      <w:r w:rsidRPr="003158D0">
        <w:rPr>
          <w:u w:val="single"/>
        </w:rPr>
        <w:t xml:space="preserve"> second scenario, </w:t>
      </w:r>
      <w:r w:rsidRPr="00770EB4">
        <w:rPr>
          <w:rStyle w:val="Emphasis"/>
          <w:highlight w:val="yellow"/>
        </w:rPr>
        <w:t>Ord claims</w:t>
      </w:r>
      <w:r w:rsidRPr="00770EB4">
        <w:rPr>
          <w:highlight w:val="yellow"/>
          <w:u w:val="single"/>
        </w:rPr>
        <w:t>, would be much worse</w:t>
      </w:r>
      <w:r w:rsidRPr="003158D0">
        <w:rPr>
          <w:u w:val="single"/>
        </w:rPr>
        <w:t xml:space="preserve"> than the first</w:t>
      </w:r>
      <w:r w:rsidRPr="00770EB4">
        <w:rPr>
          <w:sz w:val="14"/>
        </w:rPr>
        <w:t xml:space="preserve">. </w:t>
      </w:r>
      <w:r w:rsidRPr="003158D0">
        <w:rPr>
          <w:u w:val="single"/>
        </w:rPr>
        <w:t xml:space="preserve">Why? </w:t>
      </w:r>
      <w:r w:rsidRPr="00770EB4">
        <w:rPr>
          <w:highlight w:val="yellow"/>
          <w:u w:val="single"/>
        </w:rPr>
        <w:t>Because</w:t>
      </w:r>
      <w:r w:rsidRPr="003158D0">
        <w:rPr>
          <w:u w:val="single"/>
        </w:rPr>
        <w:t xml:space="preserve"> the disvalue of never fulfilling our potential is orders of magnitude greater than the disvalue of all the suffering happening right now</w:t>
      </w:r>
      <w:r w:rsidRPr="00770EB4">
        <w:rPr>
          <w:sz w:val="14"/>
        </w:rPr>
        <w:t xml:space="preserve">. It would be much better to get things wrong in the first scenario than in the second. As Ord articulates the idea, “the case for making existential risk a global priority does not require certainty, for </w:t>
      </w:r>
      <w:r w:rsidRPr="00770EB4">
        <w:rPr>
          <w:u w:val="single"/>
        </w:rPr>
        <w:t xml:space="preserve">the </w:t>
      </w:r>
      <w:r w:rsidRPr="00770EB4">
        <w:rPr>
          <w:rStyle w:val="Emphasis"/>
          <w:highlight w:val="yellow"/>
        </w:rPr>
        <w:t>stakes aren’t balanced</w:t>
      </w:r>
      <w:r w:rsidRPr="00770EB4">
        <w:rPr>
          <w:u w:val="single"/>
        </w:rPr>
        <w:t>.... So long as we find the case for safeguarding our future quite plausible, it would be extremely reckless to neglect it.”</w:t>
      </w:r>
      <w:r w:rsidRPr="00770EB4">
        <w:rPr>
          <w:sz w:val="14"/>
        </w:rPr>
        <w:t>110 We can call this the “argument from moral uncertainty.”</w:t>
      </w:r>
    </w:p>
    <w:p w14:paraId="026C6AE1" w14:textId="77777777" w:rsidR="00F16872" w:rsidRPr="00770EB4" w:rsidRDefault="00F16872" w:rsidP="00F16872">
      <w:pPr>
        <w:spacing w:after="0"/>
        <w:ind w:firstLine="720"/>
        <w:rPr>
          <w:sz w:val="14"/>
          <w:szCs w:val="8"/>
        </w:rPr>
      </w:pPr>
      <w:r w:rsidRPr="00770EB4">
        <w:rPr>
          <w:sz w:val="14"/>
          <w:szCs w:val="8"/>
        </w:rPr>
        <w:t xml:space="preserve">There are, we should note, other versions of this argument in the literature. For example, William MacAskill, a colleague of Ord’s at the Future of Humanity Institute, wrote in 2014 that, “in general, when one has the choice between two options, one of which is irreversible, and one expects to make moral progress, then option value gives one additional reason in favour of choosing the reversible option.”111 Bostrom himself elaborated this insight in his 2013 paper, writing that </w:t>
      </w:r>
    </w:p>
    <w:p w14:paraId="144CDE02" w14:textId="77777777" w:rsidR="00F16872" w:rsidRPr="00770EB4" w:rsidRDefault="00F16872" w:rsidP="00F16872">
      <w:pPr>
        <w:spacing w:after="0"/>
        <w:ind w:left="720"/>
        <w:rPr>
          <w:sz w:val="14"/>
          <w:szCs w:val="8"/>
        </w:rPr>
      </w:pPr>
      <w:r w:rsidRPr="00770EB4">
        <w:rPr>
          <w:sz w:val="14"/>
          <w:szCs w:val="8"/>
        </w:rPr>
        <w:t xml:space="preserve">our present understanding of axiology might well be confused. We may not now know—at least not in concrete detail—what outcomes would count as a big win for humanity; we might not even yet be able to imagine the best ends of our journey. If we are indeed profoundly uncertain about our ultimate aims, then we should recognise that there is a great option value in preserving—and ideally improving—our ability to recognise value and to steer the future accordingly. Ensuring that there will be a future version of humanity with great powers and a propensity to use them wisely is plausibly the best way available to us to increase the probability that the future will contain a lot of value. To do this, we must prevent any existential catastrophe. </w:t>
      </w:r>
    </w:p>
    <w:p w14:paraId="63EDA2E8" w14:textId="77777777" w:rsidR="00F16872" w:rsidRPr="00770EB4" w:rsidRDefault="00F16872" w:rsidP="00F16872">
      <w:pPr>
        <w:spacing w:after="0"/>
        <w:rPr>
          <w:sz w:val="14"/>
          <w:szCs w:val="8"/>
        </w:rPr>
      </w:pPr>
      <w:r w:rsidRPr="00770EB4">
        <w:rPr>
          <w:sz w:val="14"/>
          <w:szCs w:val="8"/>
        </w:rPr>
        <w:t xml:space="preserve">In sum, over the past decade, existential risk scholars have begun to integrate a number of different arguments for why mitigating existential risk should be among our top global priorities as a species, if not the top priority. The vision of the future that they accept, though, remains shaped in fundamental ways by (a) the transhumanist promise of a techno-utopian world full of radically enhanced posthumans, and (b) the utilitarian notion that value is something to be maximized; that the more value that exists between now and the heat death (or proton decay, or whatever hard limits there are on our survival), the better things will go. </w:t>
      </w:r>
    </w:p>
    <w:p w14:paraId="2E8F8742" w14:textId="77777777" w:rsidR="00F16872" w:rsidRPr="00770EB4" w:rsidRDefault="00F16872" w:rsidP="00F16872">
      <w:pPr>
        <w:spacing w:after="0"/>
        <w:rPr>
          <w:sz w:val="14"/>
          <w:szCs w:val="8"/>
        </w:rPr>
      </w:pPr>
      <w:r w:rsidRPr="00770EB4">
        <w:rPr>
          <w:sz w:val="14"/>
          <w:szCs w:val="8"/>
        </w:rPr>
        <w:t xml:space="preserve">Super-Hardcore Do-Gooders </w:t>
      </w:r>
    </w:p>
    <w:p w14:paraId="5344B4CF" w14:textId="77777777" w:rsidR="00F16872" w:rsidRPr="00770EB4" w:rsidRDefault="00F16872" w:rsidP="00F16872">
      <w:pPr>
        <w:spacing w:after="0"/>
        <w:rPr>
          <w:sz w:val="14"/>
          <w:szCs w:val="8"/>
        </w:rPr>
      </w:pPr>
      <w:r w:rsidRPr="00770EB4">
        <w:rPr>
          <w:sz w:val="14"/>
          <w:szCs w:val="8"/>
        </w:rPr>
        <w:t xml:space="preserve">Before turning to the other major development within Existential Ethics during this third wave, it may be worth taking a closer look at how exactly the longtermist ideology developed, as it has become extremely influential over the past few years, and could become even more influential this century. One way to understand its development is to begin with the Effective Altruism (EA) movement. The first EA organization was founded by Toby Ord in the late 2000s, called Giving What We Can (GWWC), whose website officially launched in 2009 with the aim of “fighting extreme poverty in the developing world.”112 This was inspired by Peter Singer’s “global ethics,” and indeed Singer has become one of the most prominent EAs, or “effective altruists,” in the world today.113 Recall Singer’s 1972 argument from Chapter 8 that if one feels compelled to save a drowning child in a pond ten feet away, one should feel equally compelled to save a starving child on the other side of the planet. Far-away suffering does not count for less than suffering that is close by; we should not discount misery as a function of its proximity to us. Hence, people in wealthy countries should be more inclined than we often are to donate part of our income, perhaps even most of our income, to help disadvantaged people wherever they might live. </w:t>
      </w:r>
    </w:p>
    <w:p w14:paraId="0DD94E22" w14:textId="77777777" w:rsidR="00F16872" w:rsidRPr="00770EB4" w:rsidRDefault="00F16872" w:rsidP="00F16872">
      <w:pPr>
        <w:spacing w:after="0"/>
        <w:ind w:firstLine="720"/>
        <w:rPr>
          <w:sz w:val="14"/>
          <w:szCs w:val="8"/>
        </w:rPr>
      </w:pPr>
      <w:r w:rsidRPr="00770EB4">
        <w:rPr>
          <w:sz w:val="14"/>
          <w:szCs w:val="8"/>
        </w:rPr>
        <w:t xml:space="preserve">What was new about the EA movement was its effort to quantify the best ways of doing the most good, to ensure that the “altruism” advocated by Singer is maximally “effective.” This was the central aim of GWWC, which reported on its website in 2011 that, by choosing carefully between different charities, </w:t>
      </w:r>
    </w:p>
    <w:p w14:paraId="6497152A" w14:textId="77777777" w:rsidR="00F16872" w:rsidRPr="00770EB4" w:rsidRDefault="00F16872" w:rsidP="00F16872">
      <w:pPr>
        <w:spacing w:after="0"/>
        <w:ind w:left="720"/>
        <w:rPr>
          <w:sz w:val="14"/>
          <w:szCs w:val="8"/>
        </w:rPr>
      </w:pPr>
      <w:r w:rsidRPr="00770EB4">
        <w:rPr>
          <w:sz w:val="14"/>
          <w:szCs w:val="8"/>
        </w:rPr>
        <w:t xml:space="preserve">you can get much more impact from your donation and thereby help many more people. Indeed, it is not even a matter of some charities being 10 or 100 times as effective: even restricted to the field of health programs in developing countries, research shows that some are up to 10,000 times as effective as others.114 </w:t>
      </w:r>
    </w:p>
    <w:p w14:paraId="1313C98C" w14:textId="77777777" w:rsidR="00F16872" w:rsidRPr="00770EB4" w:rsidRDefault="00F16872" w:rsidP="00F16872">
      <w:pPr>
        <w:spacing w:after="0"/>
        <w:rPr>
          <w:sz w:val="14"/>
          <w:szCs w:val="8"/>
        </w:rPr>
      </w:pPr>
      <w:r w:rsidRPr="00770EB4">
        <w:rPr>
          <w:sz w:val="14"/>
          <w:szCs w:val="8"/>
        </w:rPr>
        <w:t xml:space="preserve">More concretely, GWWC claimed that donating to the charities Deworm the World and Schistosomiasis Control Initiative does much more good than donating to, say, disaster relief following an earthquake, hurricane, or food, despite the former being rather “unsexy” in comparison to the latter, to borrow a word from MacAskill.115 Giving should be a combination of the heart and the head, not just the heart, which is to say that the emotional pull of a charitable cause is not a rational basis for decisions about which charities to donate to. Such decisions should instead be grounded in “evidence and reason.” As Ord noted in a keynote address at the 2016 EA Global conference, Effective Altruism is a child of the Scientific Revolution, Enlightenment, and utilitarianism, in addition to Singer’s global ethics. </w:t>
      </w:r>
    </w:p>
    <w:p w14:paraId="7927B8CD" w14:textId="77777777" w:rsidR="00F16872" w:rsidRPr="00770EB4" w:rsidRDefault="00F16872" w:rsidP="00F16872">
      <w:pPr>
        <w:spacing w:after="0"/>
        <w:ind w:firstLine="720"/>
        <w:rPr>
          <w:sz w:val="14"/>
          <w:szCs w:val="8"/>
        </w:rPr>
      </w:pPr>
      <w:r w:rsidRPr="00770EB4">
        <w:rPr>
          <w:sz w:val="14"/>
          <w:szCs w:val="8"/>
        </w:rPr>
        <w:t xml:space="preserve">In 2011, Giving What We Can was joined by another organization called 80,000 Hours, cofounded by MacAskill and Benjamin Todd. This aimed to help people choose a career that would maximize their positive impact in the world. (The name comes from the fact that if one works 40 hours a week, 50 weeks per year, for 40 years, this gives a total of 80,000 hours on the job.) This organization initially argued that, quoting its website, “becoming a banker might be the more ethical career choice” than, say, working for a nonprofit focused on the environment or pursuing a medical degree.116 Indeed, MacAskill argued in 2014 that there is nothing morally wrong with getting a job at a petrochemical company if one donates a certain amount of one’s income to charity. After all, if you didn’t take that job, someone else would have, and unlike you they probably wouldn’t donate their income to help people.117 </w:t>
      </w:r>
    </w:p>
    <w:p w14:paraId="03E9927A" w14:textId="77777777" w:rsidR="00F16872" w:rsidRPr="00770EB4" w:rsidRDefault="00F16872" w:rsidP="00F16872">
      <w:pPr>
        <w:spacing w:after="0"/>
        <w:ind w:firstLine="720"/>
        <w:rPr>
          <w:sz w:val="14"/>
          <w:szCs w:val="8"/>
        </w:rPr>
      </w:pPr>
      <w:r w:rsidRPr="00770EB4">
        <w:rPr>
          <w:sz w:val="14"/>
          <w:szCs w:val="8"/>
        </w:rPr>
        <w:t xml:space="preserve">Later in 2011, a handful of leaders in the fledgling EA community decided that GWWC and 80,000 Hours should incorporate under an umbrella organization, which they initially called the “High Impact Alliance.” However, they were becoming increasingly aware of the importance of a good marketing strategy, and hence decided that a new name was needed. (At this point, community members often called each other “super-hardcore do-gooders,” a term that “sucks,” in MacAskill’s words.) A vote to name this organization was thus held, with contenders including “Rational Altruist Community,” “Evidence-Based Philanthropy Association,” “Big Visions Network,” “Effective Utilitarian Community,” and “Centre for Effective Altruism.” The last proposal won, and this is how the “Effective Altruism” community acquired its name.118 </w:t>
      </w:r>
    </w:p>
    <w:p w14:paraId="32A50B7E" w14:textId="77777777" w:rsidR="00F16872" w:rsidRPr="00770EB4" w:rsidRDefault="00F16872" w:rsidP="00F16872">
      <w:pPr>
        <w:spacing w:after="0"/>
        <w:rPr>
          <w:sz w:val="14"/>
          <w:szCs w:val="8"/>
        </w:rPr>
      </w:pPr>
      <w:r w:rsidRPr="00770EB4">
        <w:rPr>
          <w:sz w:val="14"/>
          <w:szCs w:val="8"/>
        </w:rPr>
        <w:t xml:space="preserve">The Short of Longtermism </w:t>
      </w:r>
    </w:p>
    <w:p w14:paraId="00B6AAF5" w14:textId="77777777" w:rsidR="00F16872" w:rsidRPr="00770EB4" w:rsidRDefault="00F16872" w:rsidP="00F16872">
      <w:pPr>
        <w:spacing w:after="0"/>
        <w:rPr>
          <w:sz w:val="14"/>
          <w:szCs w:val="8"/>
        </w:rPr>
      </w:pPr>
      <w:r w:rsidRPr="00770EB4">
        <w:rPr>
          <w:sz w:val="14"/>
          <w:szCs w:val="8"/>
        </w:rPr>
        <w:t xml:space="preserve">However, the movement’s initial focus on global poverty did not last. Some EAs, beginning most notably with Nick Beckstead, came to a different conclusion: if our cosmic future could be way bigger than our present, and if there are actions that we can take today to influence this future, then we—by which Beckstead meant “the world in general”—should focus on actions that might influence the far future, rather than on how our actions might help those living today. As he expressed the idea: “From a global perspective, what matters most (in expectation) is that we do what is best (in expectation) for the general trajectory along which our descendants develop over the coming millions, billions, and trillions of years.”119 This was the main thesis of his 2013 PhD dissertation, titled “On the Overwhelming Importance of Shaping the Far Future,” which many EAs recognize as one of the founding documents of the ideology, along with Bostrom’s 2002 paper on existential risk and his 2003 “Astronomical Waste” article. (The word “longtermism” itself wasn’t coined until 2017.)120 </w:t>
      </w:r>
    </w:p>
    <w:p w14:paraId="7AC925BC" w14:textId="77777777" w:rsidR="00F16872" w:rsidRPr="00770EB4" w:rsidRDefault="00F16872" w:rsidP="00F16872">
      <w:pPr>
        <w:spacing w:after="0"/>
        <w:ind w:firstLine="720"/>
        <w:rPr>
          <w:sz w:val="14"/>
        </w:rPr>
      </w:pPr>
      <w:r w:rsidRPr="00770EB4">
        <w:rPr>
          <w:sz w:val="14"/>
        </w:rPr>
        <w:t xml:space="preserve">One way to understand this new ethic goes like this: longtermism is what happens when the EA commitment to “doing the most good” collides with Bostrom’s “astronomical waste” argument. If one’s aim is to positively affect the maximum number of people, and </w:t>
      </w:r>
      <w:r w:rsidRPr="00CC246E">
        <w:rPr>
          <w:u w:val="single"/>
        </w:rPr>
        <w:t xml:space="preserve">if most people who will ever exist will exist in the far future, then doing </w:t>
      </w:r>
      <w:r w:rsidRPr="00770EB4">
        <w:rPr>
          <w:rStyle w:val="Emphasis"/>
          <w:highlight w:val="yellow"/>
        </w:rPr>
        <w:t>the most good</w:t>
      </w:r>
      <w:r w:rsidRPr="00770EB4">
        <w:rPr>
          <w:highlight w:val="yellow"/>
          <w:u w:val="single"/>
        </w:rPr>
        <w:t xml:space="preserve"> may </w:t>
      </w:r>
      <w:r w:rsidRPr="00770EB4">
        <w:rPr>
          <w:b/>
          <w:bCs/>
          <w:highlight w:val="yellow"/>
          <w:u w:val="single"/>
        </w:rPr>
        <w:t>require</w:t>
      </w:r>
      <w:r w:rsidRPr="00CC246E">
        <w:rPr>
          <w:u w:val="single"/>
        </w:rPr>
        <w:t xml:space="preserve"> one to </w:t>
      </w:r>
      <w:r w:rsidRPr="00770EB4">
        <w:rPr>
          <w:b/>
          <w:bCs/>
          <w:highlight w:val="yellow"/>
          <w:u w:val="single"/>
        </w:rPr>
        <w:t>focus</w:t>
      </w:r>
      <w:r w:rsidRPr="00CC246E">
        <w:rPr>
          <w:u w:val="single"/>
        </w:rPr>
        <w:t xml:space="preserve"> </w:t>
      </w:r>
      <w:r w:rsidRPr="00770EB4">
        <w:rPr>
          <w:highlight w:val="yellow"/>
          <w:u w:val="single"/>
        </w:rPr>
        <w:t>on</w:t>
      </w:r>
      <w:r w:rsidRPr="00CC246E">
        <w:rPr>
          <w:u w:val="single"/>
        </w:rPr>
        <w:t xml:space="preserve"> </w:t>
      </w:r>
      <w:r w:rsidRPr="00770EB4">
        <w:rPr>
          <w:rStyle w:val="Emphasis"/>
        </w:rPr>
        <w:t xml:space="preserve">these </w:t>
      </w:r>
      <w:r w:rsidRPr="00770EB4">
        <w:rPr>
          <w:rStyle w:val="Emphasis"/>
          <w:highlight w:val="yellow"/>
        </w:rPr>
        <w:t>far future people</w:t>
      </w:r>
      <w:r w:rsidRPr="00770EB4">
        <w:rPr>
          <w:sz w:val="14"/>
        </w:rPr>
        <w:t xml:space="preserve">—ensuring not just that their lives are better than miserable but that they exist in the first place.121 More generally, </w:t>
      </w:r>
      <w:r w:rsidRPr="00CC246E">
        <w:rPr>
          <w:u w:val="single"/>
        </w:rPr>
        <w:t>if most of whatever it is that one values lies in the distant future,</w:t>
      </w:r>
      <w:r w:rsidRPr="00770EB4">
        <w:rPr>
          <w:sz w:val="14"/>
        </w:rPr>
        <w:t xml:space="preserve"> millions, billions, and </w:t>
      </w:r>
      <w:r w:rsidRPr="00CC246E">
        <w:rPr>
          <w:u w:val="single"/>
        </w:rPr>
        <w:t>trillions of years from now, then actions that increase the probability of these goods being realized will have a much higher expected value than actions that, say, primarily affect the world today or in the near future</w:t>
      </w:r>
      <w:r w:rsidRPr="00770EB4">
        <w:rPr>
          <w:sz w:val="14"/>
        </w:rPr>
        <w:t xml:space="preserve">. Although this mode of moral reasoning can appear “heartless” (as if it replaces the heart with the head), since it means neglecting current-day suffering, moral truth lies in the numbers. </w:t>
      </w:r>
      <w:r w:rsidRPr="00770EB4">
        <w:rPr>
          <w:rStyle w:val="Emphasis"/>
          <w:highlight w:val="yellow"/>
        </w:rPr>
        <w:t>Morality</w:t>
      </w:r>
      <w:r w:rsidRPr="00CC246E">
        <w:rPr>
          <w:u w:val="single"/>
        </w:rPr>
        <w:t xml:space="preserve">, on this view, could be seen </w:t>
      </w:r>
      <w:r w:rsidRPr="00770EB4">
        <w:rPr>
          <w:highlight w:val="yellow"/>
          <w:u w:val="single"/>
        </w:rPr>
        <w:t xml:space="preserve">as </w:t>
      </w:r>
      <w:r w:rsidRPr="00770EB4">
        <w:rPr>
          <w:rStyle w:val="Emphasis"/>
          <w:highlight w:val="yellow"/>
        </w:rPr>
        <w:t>an extension of economics</w:t>
      </w:r>
      <w:r w:rsidRPr="00CC246E">
        <w:rPr>
          <w:u w:val="single"/>
        </w:rPr>
        <w:t>.</w:t>
      </w:r>
      <w:r w:rsidRPr="00770EB4">
        <w:rPr>
          <w:sz w:val="14"/>
        </w:rPr>
        <w:t xml:space="preserve"> As Eliezer Yudkowsky, an influential figure within the EA/longtermist movements who MacAskill lauds as a “moral weirdo,” writes, </w:t>
      </w:r>
    </w:p>
    <w:p w14:paraId="11B98800" w14:textId="77777777" w:rsidR="00F16872" w:rsidRPr="00770EB4" w:rsidRDefault="00F16872" w:rsidP="00F16872">
      <w:pPr>
        <w:spacing w:after="0"/>
        <w:ind w:left="720"/>
        <w:rPr>
          <w:sz w:val="14"/>
        </w:rPr>
      </w:pPr>
      <w:r w:rsidRPr="00770EB4">
        <w:rPr>
          <w:sz w:val="14"/>
        </w:rPr>
        <w:t xml:space="preserve">due to scope neglect, framing effects, and other cognitive biases, the result of an expected utility calculation executed correctly may produce an answer different from first intuition, making it “intuitively unappealing.” If you can tell that it’s probably the intuitions that went wrong and not the calculation, the skill shut up and multiply is the ability to accept that, yes, sometimes the expected utility math is correct and we need to deal with that (italics added).122 </w:t>
      </w:r>
    </w:p>
    <w:p w14:paraId="15A319D5" w14:textId="77777777" w:rsidR="00F16872" w:rsidRPr="00770EB4" w:rsidRDefault="00F16872" w:rsidP="00F16872">
      <w:pPr>
        <w:spacing w:after="0"/>
        <w:rPr>
          <w:sz w:val="14"/>
        </w:rPr>
      </w:pPr>
      <w:r w:rsidRPr="00770EB4">
        <w:rPr>
          <w:sz w:val="14"/>
        </w:rPr>
        <w:t xml:space="preserve">There are several important points to make about longtermism. First, the view comes in both moderate and radical forms. Moderate longtermism states that “positively influencing the longterm future is a key moral priority of our time,” whereas radical longtermism asserts that this is the key moral priority. The latter is what one finds in the work of Bostrom and Beckstead, although the former is what MacAskill defends in his recent book What We Owe the Future. However, MacAskill admits in a blog post that, for marketing reasons, it would be better to present moderate longtermism to the public, since (a) most people will find radical longtermism, with its obsession over how many future people there could be in vast computer simulations if only we avoid an existential catastrophe, rather unpalatable, and (b) “it seems that we’d achieve most of what we want to achieve if the wider public came to believe that ensuring the long-run future goes well is one important priority for the world, and took action on that basis.”123 Indeed, </w:t>
      </w:r>
      <w:r w:rsidRPr="003158D0">
        <w:rPr>
          <w:rStyle w:val="Emphasis"/>
        </w:rPr>
        <w:t>MacAskill</w:t>
      </w:r>
      <w:r w:rsidRPr="00770EB4">
        <w:rPr>
          <w:sz w:val="14"/>
        </w:rPr>
        <w:t xml:space="preserve"> himself has recently claimed to be most “sympathetic” with radical longtermism, which he believes is “probably right,” quoting an article published in Vox’s EA-aligned vertical Future Perfect.124 He has also explicitly defended radical longtermism—which he calls “strong longtermism”—in a 2019 article with Hilary Greaves, later updated in 2021. In the first draft, the authors write that “for the purposes of evaluating actions, we can in the first instance often sim-ply ignore all the effects contained in the first 100 (or even 1,000) years, focusing primarily on the further-future effects. Short-run effects act as little more than tie-breakers.”125 In the second draft, they </w:t>
      </w:r>
      <w:r w:rsidRPr="003158D0">
        <w:rPr>
          <w:u w:val="single"/>
        </w:rPr>
        <w:t xml:space="preserve">borrow </w:t>
      </w:r>
      <w:r w:rsidRPr="00770EB4">
        <w:rPr>
          <w:highlight w:val="yellow"/>
          <w:u w:val="single"/>
        </w:rPr>
        <w:t>estimates from</w:t>
      </w:r>
      <w:r w:rsidRPr="00770EB4">
        <w:rPr>
          <w:sz w:val="14"/>
        </w:rPr>
        <w:t xml:space="preserve"> their colleague Toby </w:t>
      </w:r>
      <w:r w:rsidRPr="003158D0">
        <w:rPr>
          <w:rStyle w:val="Emphasis"/>
        </w:rPr>
        <w:t>Newberry</w:t>
      </w:r>
      <w:r w:rsidRPr="00770EB4">
        <w:rPr>
          <w:sz w:val="14"/>
        </w:rPr>
        <w:t xml:space="preserve">, </w:t>
      </w:r>
      <w:r w:rsidRPr="003158D0">
        <w:rPr>
          <w:u w:val="single"/>
        </w:rPr>
        <w:t xml:space="preserve">a research scholar at </w:t>
      </w:r>
      <w:r w:rsidRPr="00770EB4">
        <w:rPr>
          <w:rStyle w:val="Emphasis"/>
          <w:highlight w:val="yellow"/>
        </w:rPr>
        <w:t>Bostrom’s</w:t>
      </w:r>
      <w:r w:rsidRPr="003158D0">
        <w:rPr>
          <w:u w:val="single"/>
        </w:rPr>
        <w:t xml:space="preserve"> </w:t>
      </w:r>
      <w:r w:rsidRPr="00770EB4">
        <w:rPr>
          <w:rStyle w:val="Emphasis"/>
          <w:highlight w:val="yellow"/>
        </w:rPr>
        <w:t>Future of Humanity Institute</w:t>
      </w:r>
      <w:r w:rsidRPr="00770EB4">
        <w:rPr>
          <w:sz w:val="14"/>
        </w:rPr>
        <w:t xml:space="preserve">, </w:t>
      </w:r>
      <w:r w:rsidRPr="003158D0">
        <w:rPr>
          <w:u w:val="single"/>
        </w:rPr>
        <w:t xml:space="preserve">according to which </w:t>
      </w:r>
      <w:r w:rsidRPr="00770EB4">
        <w:rPr>
          <w:highlight w:val="yellow"/>
          <w:u w:val="single"/>
        </w:rPr>
        <w:t>there could exist</w:t>
      </w:r>
      <w:r w:rsidRPr="003158D0">
        <w:rPr>
          <w:u w:val="single"/>
        </w:rPr>
        <w:t xml:space="preserve"> </w:t>
      </w:r>
      <w:r w:rsidRPr="00CC246E">
        <w:rPr>
          <w:u w:val="single"/>
        </w:rPr>
        <w:t xml:space="preserve">some </w:t>
      </w:r>
      <w:r w:rsidRPr="00770EB4">
        <w:rPr>
          <w:rStyle w:val="Emphasis"/>
          <w:highlight w:val="yellow"/>
        </w:rPr>
        <w:t>10</w:t>
      </w:r>
      <w:r w:rsidRPr="00770EB4">
        <w:rPr>
          <w:rStyle w:val="Emphasis"/>
          <w:highlight w:val="yellow"/>
          <w:vertAlign w:val="superscript"/>
        </w:rPr>
        <w:t>45</w:t>
      </w:r>
      <w:r w:rsidRPr="00770EB4">
        <w:rPr>
          <w:rStyle w:val="Emphasis"/>
          <w:highlight w:val="yellow"/>
        </w:rPr>
        <w:t xml:space="preserve"> digital beings</w:t>
      </w:r>
      <w:r w:rsidRPr="00CC246E">
        <w:rPr>
          <w:u w:val="single"/>
        </w:rPr>
        <w:t xml:space="preserve"> in our Milky Way galaxy</w:t>
      </w:r>
      <w:r w:rsidRPr="00770EB4">
        <w:rPr>
          <w:sz w:val="14"/>
        </w:rPr>
        <w:t xml:space="preserve"> alone, though Newberry also estimates some 10</w:t>
      </w:r>
      <w:r w:rsidRPr="00770EB4">
        <w:rPr>
          <w:sz w:val="14"/>
          <w:vertAlign w:val="superscript"/>
        </w:rPr>
        <w:t>54</w:t>
      </w:r>
      <w:r w:rsidRPr="00770EB4">
        <w:rPr>
          <w:sz w:val="14"/>
        </w:rPr>
        <w:t xml:space="preserve"> digital beings within the accessible universe.126 </w:t>
      </w:r>
    </w:p>
    <w:p w14:paraId="2D22ABD7" w14:textId="77777777" w:rsidR="00F16872" w:rsidRPr="00770EB4" w:rsidRDefault="00F16872" w:rsidP="00F16872">
      <w:pPr>
        <w:spacing w:after="0"/>
        <w:ind w:firstLine="720"/>
        <w:rPr>
          <w:sz w:val="14"/>
        </w:rPr>
      </w:pPr>
      <w:r w:rsidRPr="00770EB4">
        <w:rPr>
          <w:sz w:val="14"/>
        </w:rPr>
        <w:t xml:space="preserve">While the idea of existential risk is central to the longtermist ethic, longtermists do not see reducing such risk as the only thing that matters. What should concern us, more generally, is creating what Beckstead called “positive trajectory changes” with respect to civilization’s development into the far future, where the developmental “trajectory” of civilization refers to how the future as a whole unfolds with respect to happiness, wealth, technological capabilities, scientific advancement, cultural achievements, etc.127 Trajectory changes could be targeted or broad: the former would, paradigmatically, involve mitigating particular existential risk scenarios. As the longtermist Fin Moore-house writes, “it’s hard to imagine a clearer instance of positively influencing the long-run future than preventing an existential catastrophe.”128 However, Beckstead argued that this might not be “the best way of maximizing humanity’s future potential,” as there could be a wide range of “broad, general, and indirect approaches to shaping the far future” that are even better. Examples include speeding up technological development, improving education, science, political systems, and parenting, promoting humanitarian values, and “promulgating norms that emphasize the importance of future generations,” which is precisely what MacAskill’s book What We Owe the Future aims to do. For instance, consider that certain suboptimal values, technologies, practices, policies, norms, systems, and so on around today could become locked-in, thus resulting in path-dependencies that (a) are difficult or impossible to reverse, and (b) constrain the future in undesirable ways.129 Longtermists should work to avoid sub-optimal lock-in scenarios, which may be no less important to avoid than, say, final extinction. </w:t>
      </w:r>
      <w:r w:rsidRPr="003158D0">
        <w:rPr>
          <w:u w:val="single"/>
        </w:rPr>
        <w:t>Or take</w:t>
      </w:r>
      <w:r w:rsidRPr="00770EB4">
        <w:rPr>
          <w:sz w:val="14"/>
        </w:rPr>
        <w:t xml:space="preserve"> a controversial example from </w:t>
      </w:r>
      <w:r w:rsidRPr="00770EB4">
        <w:rPr>
          <w:highlight w:val="yellow"/>
          <w:u w:val="single"/>
        </w:rPr>
        <w:t>Beckstead</w:t>
      </w:r>
      <w:r w:rsidRPr="00770EB4">
        <w:rPr>
          <w:sz w:val="14"/>
        </w:rPr>
        <w:t xml:space="preserve">, </w:t>
      </w:r>
      <w:r w:rsidRPr="003158D0">
        <w:rPr>
          <w:u w:val="single"/>
        </w:rPr>
        <w:t xml:space="preserve">who </w:t>
      </w:r>
      <w:r w:rsidRPr="00770EB4">
        <w:rPr>
          <w:highlight w:val="yellow"/>
          <w:u w:val="single"/>
        </w:rPr>
        <w:t>argues that the</w:t>
      </w:r>
      <w:r w:rsidRPr="003158D0">
        <w:rPr>
          <w:u w:val="single"/>
        </w:rPr>
        <w:t xml:space="preserve"> positive long-term “ripple </w:t>
      </w:r>
      <w:r w:rsidRPr="00770EB4">
        <w:rPr>
          <w:highlight w:val="yellow"/>
          <w:u w:val="single"/>
        </w:rPr>
        <w:t xml:space="preserve">effects” of </w:t>
      </w:r>
      <w:r w:rsidRPr="00770EB4">
        <w:rPr>
          <w:b/>
          <w:bCs/>
          <w:highlight w:val="yellow"/>
          <w:u w:val="single"/>
        </w:rPr>
        <w:t>saving</w:t>
      </w:r>
      <w:r w:rsidRPr="003158D0">
        <w:rPr>
          <w:u w:val="single"/>
        </w:rPr>
        <w:t xml:space="preserve"> the lives of </w:t>
      </w:r>
      <w:r w:rsidRPr="00770EB4">
        <w:rPr>
          <w:rStyle w:val="Emphasis"/>
          <w:highlight w:val="yellow"/>
        </w:rPr>
        <w:t>people in rich countries</w:t>
      </w:r>
      <w:r w:rsidRPr="00770EB4">
        <w:rPr>
          <w:highlight w:val="yellow"/>
          <w:u w:val="single"/>
        </w:rPr>
        <w:t xml:space="preserve"> may be much </w:t>
      </w:r>
      <w:r w:rsidRPr="00770EB4">
        <w:rPr>
          <w:b/>
          <w:bCs/>
          <w:highlight w:val="yellow"/>
          <w:u w:val="single"/>
        </w:rPr>
        <w:t>greater than</w:t>
      </w:r>
      <w:r w:rsidRPr="003158D0">
        <w:rPr>
          <w:u w:val="single"/>
        </w:rPr>
        <w:t xml:space="preserve"> those created by saving the lives of </w:t>
      </w:r>
      <w:r w:rsidRPr="00770EB4">
        <w:rPr>
          <w:rStyle w:val="Emphasis"/>
          <w:highlight w:val="yellow"/>
        </w:rPr>
        <w:t>people</w:t>
      </w:r>
      <w:r w:rsidRPr="00770EB4">
        <w:rPr>
          <w:highlight w:val="yellow"/>
          <w:u w:val="single"/>
        </w:rPr>
        <w:t xml:space="preserve"> in </w:t>
      </w:r>
      <w:r w:rsidRPr="00770EB4">
        <w:rPr>
          <w:rStyle w:val="Emphasis"/>
          <w:highlight w:val="yellow"/>
        </w:rPr>
        <w:t>poor countries</w:t>
      </w:r>
      <w:r w:rsidRPr="003158D0">
        <w:rPr>
          <w:u w:val="single"/>
        </w:rPr>
        <w:t xml:space="preserve">, </w:t>
      </w:r>
      <w:r w:rsidRPr="00770EB4">
        <w:rPr>
          <w:highlight w:val="yellow"/>
          <w:u w:val="single"/>
        </w:rPr>
        <w:t>given that</w:t>
      </w:r>
      <w:r w:rsidRPr="003158D0">
        <w:rPr>
          <w:u w:val="single"/>
        </w:rPr>
        <w:t xml:space="preserve"> </w:t>
      </w:r>
      <w:r w:rsidRPr="00CC246E">
        <w:rPr>
          <w:rStyle w:val="Emphasis"/>
        </w:rPr>
        <w:t xml:space="preserve">people in </w:t>
      </w:r>
      <w:r w:rsidRPr="00770EB4">
        <w:rPr>
          <w:rStyle w:val="Emphasis"/>
          <w:highlight w:val="yellow"/>
        </w:rPr>
        <w:t>rich countries</w:t>
      </w:r>
      <w:r w:rsidRPr="00770EB4">
        <w:rPr>
          <w:highlight w:val="yellow"/>
          <w:u w:val="single"/>
        </w:rPr>
        <w:t xml:space="preserve"> are </w:t>
      </w:r>
      <w:r w:rsidRPr="00770EB4">
        <w:rPr>
          <w:b/>
          <w:bCs/>
          <w:highlight w:val="yellow"/>
          <w:u w:val="single"/>
        </w:rPr>
        <w:t>better positioned</w:t>
      </w:r>
      <w:r w:rsidRPr="00770EB4">
        <w:rPr>
          <w:highlight w:val="yellow"/>
          <w:u w:val="single"/>
        </w:rPr>
        <w:t xml:space="preserve"> to </w:t>
      </w:r>
      <w:r w:rsidRPr="00770EB4">
        <w:rPr>
          <w:rStyle w:val="Emphasis"/>
          <w:highlight w:val="yellow"/>
        </w:rPr>
        <w:t>shape the far future</w:t>
      </w:r>
      <w:r w:rsidRPr="00770EB4">
        <w:rPr>
          <w:sz w:val="14"/>
        </w:rPr>
        <w:t xml:space="preserve">. </w:t>
      </w:r>
      <w:r w:rsidRPr="003158D0">
        <w:rPr>
          <w:u w:val="single"/>
        </w:rPr>
        <w:t xml:space="preserve">Since shaping the far future is of “overwhelming importance,” we should, therefore, </w:t>
      </w:r>
      <w:r w:rsidRPr="003158D0">
        <w:rPr>
          <w:b/>
          <w:bCs/>
          <w:u w:val="single"/>
        </w:rPr>
        <w:t>prioritize</w:t>
      </w:r>
      <w:r w:rsidRPr="003158D0">
        <w:rPr>
          <w:u w:val="single"/>
        </w:rPr>
        <w:t xml:space="preserve"> the lives of </w:t>
      </w:r>
      <w:r w:rsidRPr="003158D0">
        <w:rPr>
          <w:rStyle w:val="Emphasis"/>
        </w:rPr>
        <w:t>rich</w:t>
      </w:r>
      <w:r w:rsidRPr="003158D0">
        <w:rPr>
          <w:u w:val="single"/>
        </w:rPr>
        <w:t xml:space="preserve">-country </w:t>
      </w:r>
      <w:r w:rsidRPr="003158D0">
        <w:rPr>
          <w:rStyle w:val="Emphasis"/>
        </w:rPr>
        <w:t>people</w:t>
      </w:r>
      <w:r w:rsidRPr="003158D0">
        <w:rPr>
          <w:u w:val="single"/>
        </w:rPr>
        <w:t>.</w:t>
      </w:r>
      <w:r w:rsidRPr="00770EB4">
        <w:rPr>
          <w:sz w:val="14"/>
        </w:rPr>
        <w:t>130 This conclusion has led to significant criticism, for obvious reasons, although it is a fairly straightforward implication of radical longtermism.131</w:t>
      </w:r>
    </w:p>
    <w:p w14:paraId="26271812" w14:textId="77777777" w:rsidR="00F16872" w:rsidRDefault="00F16872" w:rsidP="00F16872"/>
    <w:p w14:paraId="44D33086" w14:textId="77777777" w:rsidR="00F16872" w:rsidRDefault="00F16872" w:rsidP="00F16872"/>
    <w:p w14:paraId="74F9512E" w14:textId="77777777" w:rsidR="00F16872" w:rsidRPr="00F142E5" w:rsidRDefault="00F16872" w:rsidP="00F16872">
      <w:pPr>
        <w:pStyle w:val="Heading4"/>
        <w:rPr>
          <w:u w:val="single"/>
        </w:rPr>
      </w:pPr>
      <w:r>
        <w:t xml:space="preserve">Warming’s </w:t>
      </w:r>
      <w:r>
        <w:rPr>
          <w:u w:val="single"/>
        </w:rPr>
        <w:t>locked-in</w:t>
      </w:r>
    </w:p>
    <w:p w14:paraId="1BAC3D03" w14:textId="77777777" w:rsidR="00F16872" w:rsidRDefault="00F16872" w:rsidP="00F16872">
      <w:r w:rsidRPr="00541400">
        <w:rPr>
          <w:b/>
          <w:bCs/>
        </w:rPr>
        <w:t>Costley ’20</w:t>
      </w:r>
      <w:r>
        <w:t xml:space="preserve"> [Drew Costley is a reporter for FutureHuman, here citing a report led by Jørgen Randers, PhD, professor emeritus of climate strategy at BI Norwegian Business School, “Just Stopping Emissions May No Longer Be Enough to Stop Global Warming,” 11-12-20, https://futurehuman.medium.com/were-past-the-point-of-no-return-on-global-warming-scientists-warn-6779aaf4ed2b]</w:t>
      </w:r>
    </w:p>
    <w:p w14:paraId="39AD53C3" w14:textId="77777777" w:rsidR="00F16872" w:rsidRDefault="00F16872" w:rsidP="00F16872"/>
    <w:p w14:paraId="4973381B" w14:textId="77777777" w:rsidR="00F16872" w:rsidRPr="00F142E5" w:rsidRDefault="00F16872" w:rsidP="00F16872">
      <w:pPr>
        <w:rPr>
          <w:sz w:val="16"/>
        </w:rPr>
      </w:pPr>
      <w:r w:rsidRPr="00F142E5">
        <w:rPr>
          <w:sz w:val="16"/>
        </w:rPr>
        <w:t xml:space="preserve">But </w:t>
      </w:r>
      <w:r w:rsidRPr="00F142E5">
        <w:rPr>
          <w:rStyle w:val="StyleUnderline"/>
        </w:rPr>
        <w:t xml:space="preserve">according to a new modeling study published in Scientific Reports today, </w:t>
      </w:r>
      <w:r w:rsidRPr="00F142E5">
        <w:rPr>
          <w:rStyle w:val="Emphasis"/>
          <w:highlight w:val="yellow"/>
        </w:rPr>
        <w:t>even if we made</w:t>
      </w:r>
      <w:r w:rsidRPr="00F142E5">
        <w:rPr>
          <w:rStyle w:val="StyleUnderline"/>
        </w:rPr>
        <w:t xml:space="preserve"> such </w:t>
      </w:r>
      <w:r w:rsidRPr="00F142E5">
        <w:rPr>
          <w:rStyle w:val="Emphasis"/>
          <w:highlight w:val="yellow"/>
        </w:rPr>
        <w:t>drastic reductions</w:t>
      </w:r>
      <w:r w:rsidRPr="00F142E5">
        <w:rPr>
          <w:rStyle w:val="StyleUnderline"/>
        </w:rPr>
        <w:t xml:space="preserve"> permanent, </w:t>
      </w:r>
      <w:r w:rsidRPr="00F142E5">
        <w:rPr>
          <w:rStyle w:val="StyleUnderline"/>
          <w:highlight w:val="yellow"/>
        </w:rPr>
        <w:t>it would</w:t>
      </w:r>
      <w:r w:rsidRPr="00F142E5">
        <w:rPr>
          <w:rStyle w:val="StyleUnderline"/>
        </w:rPr>
        <w:t xml:space="preserve"> still</w:t>
      </w:r>
      <w:r w:rsidRPr="00F142E5">
        <w:rPr>
          <w:u w:val="single"/>
        </w:rPr>
        <w:t xml:space="preserve"> </w:t>
      </w:r>
      <w:r w:rsidRPr="00F142E5">
        <w:rPr>
          <w:rStyle w:val="Emphasis"/>
          <w:highlight w:val="yellow"/>
        </w:rPr>
        <w:t>not be enough</w:t>
      </w:r>
      <w:r w:rsidRPr="00F142E5">
        <w:rPr>
          <w:sz w:val="16"/>
        </w:rPr>
        <w:t xml:space="preserve">. The study suggests that </w:t>
      </w:r>
      <w:r w:rsidRPr="00F142E5">
        <w:rPr>
          <w:rStyle w:val="StyleUnderline"/>
          <w:highlight w:val="yellow"/>
        </w:rPr>
        <w:t>if we stopped</w:t>
      </w:r>
      <w:r w:rsidRPr="00F142E5">
        <w:rPr>
          <w:highlight w:val="yellow"/>
          <w:u w:val="single"/>
        </w:rPr>
        <w:t xml:space="preserve"> </w:t>
      </w:r>
      <w:r w:rsidRPr="00F142E5">
        <w:rPr>
          <w:rStyle w:val="Emphasis"/>
          <w:highlight w:val="yellow"/>
        </w:rPr>
        <w:t>all</w:t>
      </w:r>
      <w:r w:rsidRPr="00F142E5">
        <w:rPr>
          <w:rStyle w:val="StyleUnderline"/>
        </w:rPr>
        <w:t xml:space="preserve"> human-made greenhouse gas </w:t>
      </w:r>
      <w:r w:rsidRPr="00F142E5">
        <w:rPr>
          <w:rStyle w:val="StyleUnderline"/>
          <w:highlight w:val="yellow"/>
        </w:rPr>
        <w:t>emissions</w:t>
      </w:r>
      <w:r w:rsidRPr="00F142E5">
        <w:rPr>
          <w:highlight w:val="yellow"/>
          <w:u w:val="single"/>
        </w:rPr>
        <w:t xml:space="preserve"> </w:t>
      </w:r>
      <w:r w:rsidRPr="00F142E5">
        <w:rPr>
          <w:rStyle w:val="Emphasis"/>
          <w:highlight w:val="yellow"/>
        </w:rPr>
        <w:t>immediately</w:t>
      </w:r>
      <w:r w:rsidRPr="00F142E5">
        <w:rPr>
          <w:u w:val="single"/>
        </w:rPr>
        <w:t xml:space="preserve">, the Earth’s </w:t>
      </w:r>
      <w:r w:rsidRPr="00F142E5">
        <w:rPr>
          <w:rStyle w:val="StyleUnderline"/>
          <w:highlight w:val="yellow"/>
        </w:rPr>
        <w:t>temp</w:t>
      </w:r>
      <w:r w:rsidRPr="00F142E5">
        <w:rPr>
          <w:sz w:val="16"/>
        </w:rPr>
        <w:t>erature</w:t>
      </w:r>
      <w:r w:rsidRPr="00276578">
        <w:rPr>
          <w:rStyle w:val="StyleUnderline"/>
          <w:highlight w:val="yellow"/>
        </w:rPr>
        <w:t>s would continue to rise because of</w:t>
      </w:r>
      <w:r w:rsidRPr="00276578">
        <w:rPr>
          <w:rStyle w:val="StyleUnderline"/>
        </w:rPr>
        <w:t xml:space="preserve"> self-sustaining</w:t>
      </w:r>
      <w:r w:rsidRPr="00F142E5">
        <w:rPr>
          <w:u w:val="single"/>
        </w:rPr>
        <w:t xml:space="preserve"> </w:t>
      </w:r>
      <w:r w:rsidRPr="00276578">
        <w:rPr>
          <w:rStyle w:val="StyleUnderline"/>
          <w:highlight w:val="yellow"/>
        </w:rPr>
        <w:t>melting ice and permafrost. These “</w:t>
      </w:r>
      <w:r w:rsidRPr="00276578">
        <w:rPr>
          <w:rStyle w:val="Emphasis"/>
          <w:highlight w:val="yellow"/>
        </w:rPr>
        <w:t>feedback loops</w:t>
      </w:r>
      <w:r w:rsidRPr="00276578">
        <w:rPr>
          <w:rStyle w:val="StyleUnderline"/>
        </w:rPr>
        <w:t>” — in which melting ice causes less sunlight to be reflected back into space, which in turn raises temperatures and causes more ice melt —</w:t>
      </w:r>
      <w:r w:rsidRPr="00F142E5">
        <w:rPr>
          <w:u w:val="single"/>
        </w:rPr>
        <w:t xml:space="preserve"> </w:t>
      </w:r>
      <w:r w:rsidRPr="00276578">
        <w:rPr>
          <w:rStyle w:val="StyleUnderline"/>
          <w:highlight w:val="yellow"/>
        </w:rPr>
        <w:t>have</w:t>
      </w:r>
      <w:r w:rsidRPr="00276578">
        <w:rPr>
          <w:highlight w:val="yellow"/>
          <w:u w:val="single"/>
        </w:rPr>
        <w:t xml:space="preserve"> </w:t>
      </w:r>
      <w:r w:rsidRPr="00276578">
        <w:rPr>
          <w:rStyle w:val="Emphasis"/>
          <w:highlight w:val="yellow"/>
        </w:rPr>
        <w:t>already been set into motion</w:t>
      </w:r>
      <w:r w:rsidRPr="00F142E5">
        <w:rPr>
          <w:sz w:val="16"/>
        </w:rPr>
        <w:t xml:space="preserve">, the researchers argue. </w:t>
      </w:r>
      <w:r w:rsidRPr="00276578">
        <w:rPr>
          <w:rStyle w:val="StyleUnderline"/>
          <w:highlight w:val="yellow"/>
        </w:rPr>
        <w:t xml:space="preserve">Humanity “is </w:t>
      </w:r>
      <w:r w:rsidRPr="00276578">
        <w:rPr>
          <w:rStyle w:val="Emphasis"/>
          <w:highlight w:val="yellow"/>
        </w:rPr>
        <w:t>beyond the point-of-no-return</w:t>
      </w:r>
      <w:r w:rsidRPr="00F142E5">
        <w:rPr>
          <w:sz w:val="16"/>
        </w:rPr>
        <w:t xml:space="preserve"> when it comes to halt the melting of the permafrost using greenhouse gas cuts as the single tool,” Jørgen Randers, PhD, professor emeritus of climate strategy at BI Norwegian Business School and lead author of the study, tells Future Human in an email. That’s not to say we should give up on reducing emissions: Rather, Randers says that the world "should accelerate its effort to cut greenhouse gas emissions (in order to postpone as much as possible the temperature rise) and start developing the technologies for large scale removal of greenhouse gases from the atmosphere.” For decades, climate scientists have tried to predict the so-called tipping point at which it would be too late to stop global warming — too late to limit the amount the temperature rises, the amount of sea level rise, and the number of lives claimed by both and other climate-induced ecological disasters — through reducing carbon emissions alone. Climate scientists point to either 2030 or 2050 as deadlines for the world to get to zero emissions before runaway climate change kicks in. But according to the new study, </w:t>
      </w:r>
      <w:r w:rsidRPr="00F142E5">
        <w:rPr>
          <w:rStyle w:val="StyleUnderline"/>
        </w:rPr>
        <w:t>no matter how much we reduce emissions now, warming will continue, and the self-sustained melting of Arctic ice and permafrost that has already begun could continue for 500 years</w:t>
      </w:r>
      <w:r w:rsidRPr="00F142E5">
        <w:rPr>
          <w:sz w:val="16"/>
        </w:rPr>
        <w:t xml:space="preserve">. “It simply will not stop from cutting manmade greenhouse gasses,” says Randers. “We need to do something more in order to stop it.” He and co-author Ulrich Goluke, an associate professor at Business School Lausanne in Switzerland, make the case that it’s time to pursue more aggressive climate strategies, like carbon sequestration. They used a reduced-complexity model the impact of greenhouse gas emission reductions on the global climate from 1850 to 2500, using data from a variety of sources, including NASA and the National Oceanic and Atmospheric Administration (NOAA). They found that </w:t>
      </w:r>
      <w:r w:rsidRPr="00F142E5">
        <w:rPr>
          <w:rStyle w:val="StyleUnderline"/>
        </w:rPr>
        <w:t xml:space="preserve">even if we stop all greenhouse gas emissions this year, the Earth would still be 3 degrees </w:t>
      </w:r>
      <w:r w:rsidRPr="00F142E5">
        <w:rPr>
          <w:sz w:val="16"/>
        </w:rPr>
        <w:t xml:space="preserve">Celsius </w:t>
      </w:r>
      <w:r w:rsidRPr="00F142E5">
        <w:rPr>
          <w:rStyle w:val="StyleUnderline"/>
        </w:rPr>
        <w:t>warmer and the sea level would be 2.5 meters higher in 2500 than it was in 1850</w:t>
      </w:r>
      <w:r w:rsidRPr="00F142E5">
        <w:rPr>
          <w:sz w:val="16"/>
        </w:rPr>
        <w:t>. And if we take even longer to take action — allowing our greenhouse gas emissions to peak during the 2030s and reach zero by 2100 — the Earth will be 3 degrees Celsius warmer and the sea level three meters higher in 2500.</w:t>
      </w:r>
    </w:p>
    <w:p w14:paraId="643C3C99" w14:textId="77777777" w:rsidR="00F16872" w:rsidRDefault="00F16872" w:rsidP="00F16872"/>
    <w:p w14:paraId="75ED9CC9" w14:textId="77777777" w:rsidR="00F16872" w:rsidRPr="006C237C" w:rsidRDefault="00F16872" w:rsidP="00F16872">
      <w:pPr>
        <w:pStyle w:val="Heading4"/>
      </w:pPr>
      <w:r w:rsidRPr="006C237C">
        <w:t xml:space="preserve">The logics of the 1AC justify “short-termism” are used by investment management companies to fund genocides in the Global South – their evidence cites BlackRock as a company that is “needed” to “curb short-termism” – Wyo reads </w:t>
      </w:r>
      <w:r w:rsidRPr="00655EAE">
        <w:rPr>
          <w:highlight w:val="yellow"/>
        </w:rPr>
        <w:t>Yellow</w:t>
      </w:r>
      <w:r w:rsidRPr="006C237C">
        <w:t xml:space="preserve"> </w:t>
      </w:r>
    </w:p>
    <w:p w14:paraId="37A4B7BE" w14:textId="77777777" w:rsidR="00F16872" w:rsidRDefault="00F16872" w:rsidP="00F16872">
      <w:r w:rsidRPr="006C237C">
        <w:rPr>
          <w:rStyle w:val="Style13ptBold"/>
        </w:rPr>
        <w:t>Fichtner &amp; Heemskerk 20</w:t>
      </w:r>
      <w:r>
        <w:t xml:space="preserve"> (Jan Fichtner </w:t>
      </w:r>
      <w:r w:rsidRPr="00DC2D84">
        <w:t>is Senior Research Fellow in the Project “Climate change and global finance at the crossroads</w:t>
      </w:r>
      <w:r>
        <w:t xml:space="preserve">, Eelke M. Heemskerk, Nov 19 2020, “The New Permanent Universal Owners: Index Funds, patient capital, and the distinction between feeble and forceful stewardship,” </w:t>
      </w:r>
      <w:hyperlink r:id="rId8" w:anchor="abstract" w:history="1">
        <w:r w:rsidRPr="00002271">
          <w:rPr>
            <w:rStyle w:val="Hyperlink"/>
          </w:rPr>
          <w:t>https://www.tandfonline.com/doi/full/10.1080/03085147.2020.1781417#abstract</w:t>
        </w:r>
      </w:hyperlink>
      <w:r>
        <w:t>) //Rochester Ashaz</w:t>
      </w:r>
    </w:p>
    <w:p w14:paraId="4529BD14" w14:textId="77777777" w:rsidR="00F16872" w:rsidRPr="002C56A9" w:rsidRDefault="00F16872" w:rsidP="00F16872">
      <w:pPr>
        <w:rPr>
          <w:sz w:val="10"/>
          <w:szCs w:val="10"/>
        </w:rPr>
      </w:pPr>
    </w:p>
    <w:p w14:paraId="6D4785EC" w14:textId="77777777" w:rsidR="00F16872" w:rsidRPr="002C56A9" w:rsidRDefault="00F16872" w:rsidP="00F16872">
      <w:pPr>
        <w:rPr>
          <w:sz w:val="2"/>
          <w:szCs w:val="10"/>
        </w:rPr>
      </w:pPr>
      <w:r w:rsidRPr="002C56A9">
        <w:rPr>
          <w:sz w:val="2"/>
          <w:szCs w:val="10"/>
        </w:rPr>
        <w:t>The role of index funds for patient capital, and the distinction between feeble and forceful stewardship</w:t>
      </w:r>
    </w:p>
    <w:p w14:paraId="6BE9B0E2" w14:textId="77777777" w:rsidR="00F16872" w:rsidRPr="002C56A9" w:rsidRDefault="00F16872" w:rsidP="00F16872">
      <w:pPr>
        <w:rPr>
          <w:sz w:val="2"/>
          <w:szCs w:val="10"/>
        </w:rPr>
      </w:pPr>
      <w:r w:rsidRPr="002C56A9">
        <w:rPr>
          <w:sz w:val="2"/>
          <w:szCs w:val="10"/>
        </w:rPr>
        <w:t xml:space="preserve">This increasingly global ownership of the New Permanent Universal Owners poses the question of what kind of impact this will have on different political economies. And more particularly, what kind of position does a Universal Permanent Owner take in matters of corporate governance? </w:t>
      </w:r>
      <w:r w:rsidRPr="002C56A9">
        <w:rPr>
          <w:b/>
          <w:bCs/>
          <w:sz w:val="10"/>
          <w:szCs w:val="10"/>
          <w:highlight w:val="cyan"/>
          <w:u w:val="single"/>
        </w:rPr>
        <w:t xml:space="preserve">If the Big Three are </w:t>
      </w:r>
      <w:r w:rsidRPr="002C56A9">
        <w:rPr>
          <w:b/>
          <w:bCs/>
          <w:sz w:val="10"/>
          <w:szCs w:val="10"/>
          <w:u w:val="single"/>
        </w:rPr>
        <w:t xml:space="preserve">indeed </w:t>
      </w:r>
      <w:r w:rsidRPr="002C56A9">
        <w:rPr>
          <w:b/>
          <w:bCs/>
          <w:sz w:val="10"/>
          <w:szCs w:val="10"/>
          <w:highlight w:val="cyan"/>
          <w:u w:val="single"/>
        </w:rPr>
        <w:t xml:space="preserve">providers of patient capital, what does that mean for </w:t>
      </w:r>
      <w:r w:rsidRPr="002C56A9">
        <w:rPr>
          <w:b/>
          <w:bCs/>
          <w:sz w:val="10"/>
          <w:szCs w:val="10"/>
          <w:u w:val="single"/>
        </w:rPr>
        <w:t xml:space="preserve">corporate </w:t>
      </w:r>
      <w:r w:rsidRPr="002C56A9">
        <w:rPr>
          <w:b/>
          <w:bCs/>
          <w:sz w:val="10"/>
          <w:szCs w:val="10"/>
          <w:highlight w:val="cyan"/>
          <w:u w:val="single"/>
        </w:rPr>
        <w:t>governance</w:t>
      </w:r>
      <w:r w:rsidRPr="002C56A9">
        <w:rPr>
          <w:sz w:val="2"/>
          <w:szCs w:val="10"/>
        </w:rPr>
        <w:t xml:space="preserve"> of the firms in which they are invested? The answer to this question is not so obvious. We illustrate this with the case of share buybacks.</w:t>
      </w:r>
    </w:p>
    <w:p w14:paraId="7F33BB91" w14:textId="77777777" w:rsidR="00F16872" w:rsidRPr="002C56A9" w:rsidRDefault="00F16872" w:rsidP="00F16872">
      <w:pPr>
        <w:rPr>
          <w:sz w:val="2"/>
          <w:szCs w:val="10"/>
        </w:rPr>
      </w:pPr>
      <w:r w:rsidRPr="002C56A9">
        <w:rPr>
          <w:rStyle w:val="Emphasis"/>
          <w:sz w:val="14"/>
          <w:szCs w:val="10"/>
          <w:highlight w:val="cyan"/>
        </w:rPr>
        <w:t>Share buybacks represent immediate payoffs to shareholders</w:t>
      </w:r>
      <w:r w:rsidRPr="002C56A9">
        <w:rPr>
          <w:rStyle w:val="Emphasis"/>
          <w:sz w:val="14"/>
          <w:szCs w:val="10"/>
        </w:rPr>
        <w:t xml:space="preserve"> </w:t>
      </w:r>
      <w:r w:rsidRPr="002C56A9">
        <w:rPr>
          <w:rStyle w:val="Emphasis"/>
          <w:sz w:val="14"/>
          <w:szCs w:val="10"/>
          <w:highlight w:val="cyan"/>
        </w:rPr>
        <w:t>and the funds</w:t>
      </w:r>
      <w:r w:rsidRPr="002C56A9">
        <w:rPr>
          <w:rStyle w:val="Emphasis"/>
          <w:sz w:val="14"/>
          <w:szCs w:val="10"/>
        </w:rPr>
        <w:t xml:space="preserve"> used for buybacks </w:t>
      </w:r>
      <w:r w:rsidRPr="002C56A9">
        <w:rPr>
          <w:rStyle w:val="Emphasis"/>
          <w:sz w:val="14"/>
          <w:szCs w:val="10"/>
          <w:highlight w:val="cyan"/>
        </w:rPr>
        <w:t>cannot be used</w:t>
      </w:r>
      <w:r w:rsidRPr="002C56A9">
        <w:rPr>
          <w:rStyle w:val="Emphasis"/>
          <w:sz w:val="14"/>
          <w:szCs w:val="10"/>
        </w:rPr>
        <w:t xml:space="preserve"> </w:t>
      </w:r>
      <w:r w:rsidRPr="002C56A9">
        <w:rPr>
          <w:rStyle w:val="Emphasis"/>
          <w:sz w:val="14"/>
          <w:szCs w:val="10"/>
          <w:highlight w:val="cyan"/>
        </w:rPr>
        <w:t>for</w:t>
      </w:r>
      <w:r w:rsidRPr="002C56A9">
        <w:rPr>
          <w:rStyle w:val="Emphasis"/>
          <w:sz w:val="14"/>
          <w:szCs w:val="10"/>
        </w:rPr>
        <w:t xml:space="preserve"> </w:t>
      </w:r>
      <w:r w:rsidRPr="002C56A9">
        <w:rPr>
          <w:rStyle w:val="Emphasis"/>
          <w:sz w:val="14"/>
          <w:szCs w:val="10"/>
          <w:highlight w:val="cyan"/>
        </w:rPr>
        <w:t>measures</w:t>
      </w:r>
      <w:r w:rsidRPr="002C56A9">
        <w:rPr>
          <w:rStyle w:val="Emphasis"/>
          <w:sz w:val="14"/>
          <w:szCs w:val="10"/>
        </w:rPr>
        <w:t xml:space="preserve"> </w:t>
      </w:r>
      <w:r w:rsidRPr="002C56A9">
        <w:rPr>
          <w:rStyle w:val="Emphasis"/>
          <w:sz w:val="14"/>
          <w:szCs w:val="10"/>
          <w:highlight w:val="cyan"/>
        </w:rPr>
        <w:t>that</w:t>
      </w:r>
      <w:r w:rsidRPr="002C56A9">
        <w:rPr>
          <w:rStyle w:val="Emphasis"/>
          <w:sz w:val="14"/>
          <w:szCs w:val="10"/>
        </w:rPr>
        <w:t xml:space="preserve"> could </w:t>
      </w:r>
      <w:r w:rsidRPr="002C56A9">
        <w:rPr>
          <w:rStyle w:val="Emphasis"/>
          <w:sz w:val="14"/>
          <w:szCs w:val="10"/>
          <w:highlight w:val="cyan"/>
        </w:rPr>
        <w:t>increase long-term firm value</w:t>
      </w:r>
      <w:r w:rsidRPr="002C56A9">
        <w:rPr>
          <w:rStyle w:val="Emphasis"/>
          <w:sz w:val="14"/>
          <w:szCs w:val="10"/>
        </w:rPr>
        <w:t>, such as research and development or the retraining of employees; similarly, money spent for repurchasing stock cannot be used as a safety buffer to weather major economic crises.</w:t>
      </w:r>
      <w:r w:rsidRPr="002C56A9">
        <w:rPr>
          <w:sz w:val="2"/>
          <w:szCs w:val="10"/>
        </w:rPr>
        <w:t xml:space="preserve"> The main intended effect of share buybacks is that they reduce the number of outstanding (i.e. publicly traded) shares. This improves a range of financial firm ratios that have been advocated by proponents of shareholder value maximization, such as earnings per share (EPS). As such, </w:t>
      </w:r>
      <w:r w:rsidRPr="002C56A9">
        <w:rPr>
          <w:rStyle w:val="Emphasis"/>
          <w:sz w:val="14"/>
          <w:szCs w:val="10"/>
          <w:highlight w:val="cyan"/>
        </w:rPr>
        <w:t>share buybacks constitute short-term financial engineering to increase the share price;</w:t>
      </w:r>
      <w:r w:rsidRPr="002C56A9">
        <w:rPr>
          <w:rStyle w:val="Emphasis"/>
          <w:sz w:val="14"/>
          <w:szCs w:val="10"/>
        </w:rPr>
        <w:t xml:space="preserve"> they have no effect on firm revenues or total profits. In fact, in the United States share buybacks had been considered as illegal market manipulation until 1982</w:t>
      </w:r>
      <w:r w:rsidRPr="002C56A9">
        <w:rPr>
          <w:sz w:val="2"/>
          <w:szCs w:val="10"/>
        </w:rPr>
        <w:t xml:space="preserve"> when the Securities Exchange Commission under John Shad, the first ex-Wall Street banker to lead the agency, allowed them (Lazonick, </w:t>
      </w:r>
      <w:hyperlink r:id="rId9" w:history="1">
        <w:r w:rsidRPr="002C56A9">
          <w:rPr>
            <w:rStyle w:val="Hyperlink"/>
            <w:sz w:val="2"/>
            <w:szCs w:val="10"/>
          </w:rPr>
          <w:t>Citation2015</w:t>
        </w:r>
      </w:hyperlink>
      <w:r w:rsidRPr="002C56A9">
        <w:rPr>
          <w:sz w:val="2"/>
          <w:szCs w:val="10"/>
        </w:rPr>
        <w:t>).</w:t>
      </w:r>
    </w:p>
    <w:p w14:paraId="7EAFB869" w14:textId="77777777" w:rsidR="00F16872" w:rsidRPr="002C56A9" w:rsidRDefault="00F16872" w:rsidP="00F16872">
      <w:pPr>
        <w:rPr>
          <w:rStyle w:val="Emphasis"/>
          <w:sz w:val="14"/>
          <w:szCs w:val="10"/>
        </w:rPr>
      </w:pPr>
      <w:r w:rsidRPr="002C56A9">
        <w:rPr>
          <w:rStyle w:val="Emphasis"/>
          <w:sz w:val="14"/>
          <w:szCs w:val="10"/>
        </w:rPr>
        <w:t>Lazonick (</w:t>
      </w:r>
      <w:hyperlink r:id="rId10" w:history="1">
        <w:r w:rsidRPr="002C56A9">
          <w:rPr>
            <w:rStyle w:val="Emphasis"/>
            <w:sz w:val="14"/>
            <w:szCs w:val="10"/>
          </w:rPr>
          <w:t>Citation2015</w:t>
        </w:r>
      </w:hyperlink>
      <w:r w:rsidRPr="002C56A9">
        <w:rPr>
          <w:rStyle w:val="Emphasis"/>
          <w:sz w:val="14"/>
          <w:szCs w:val="10"/>
        </w:rPr>
        <w:t>) has argued that the ascent of the ‘buyback corporation’ and the concomitant paradigm shift of many listed corporations from a model of ‘retain-and-reinvest’ to ‘</w:t>
      </w:r>
      <w:r w:rsidRPr="002C56A9">
        <w:rPr>
          <w:rStyle w:val="Emphasis"/>
          <w:sz w:val="14"/>
          <w:szCs w:val="10"/>
          <w:highlight w:val="cyan"/>
        </w:rPr>
        <w:t>downsize-and-distribute’</w:t>
      </w:r>
      <w:r w:rsidRPr="002C56A9">
        <w:rPr>
          <w:rStyle w:val="Emphasis"/>
          <w:sz w:val="14"/>
          <w:szCs w:val="10"/>
        </w:rPr>
        <w:t xml:space="preserve"> has led them to overly focus on short-term financial aims. The volume of buybacks in the United States alone is staggering.</w:t>
      </w:r>
      <w:r w:rsidRPr="002C56A9">
        <w:rPr>
          <w:sz w:val="2"/>
          <w:szCs w:val="10"/>
        </w:rPr>
        <w:t xml:space="preserve"> In fact, in the period from 2000 to 2018 the US stock market has facilitated negative net equity issuance (gross equity issuance minus retirements, which comprise stock repurchases as well as mergers and acquisitions) of over US$5,900 billion (Federal Reserve, </w:t>
      </w:r>
      <w:hyperlink r:id="rId11" w:history="1">
        <w:r w:rsidRPr="002C56A9">
          <w:rPr>
            <w:rStyle w:val="Hyperlink"/>
            <w:sz w:val="2"/>
            <w:szCs w:val="10"/>
          </w:rPr>
          <w:t>Citation2019</w:t>
        </w:r>
      </w:hyperlink>
      <w:r w:rsidRPr="002C56A9">
        <w:rPr>
          <w:sz w:val="2"/>
          <w:szCs w:val="10"/>
        </w:rPr>
        <w:t>). Hence</w:t>
      </w:r>
      <w:r w:rsidRPr="002C56A9">
        <w:rPr>
          <w:rStyle w:val="Emphasis"/>
          <w:sz w:val="14"/>
          <w:szCs w:val="10"/>
        </w:rPr>
        <w:t>, the US stock market has reversed its function during the last 30 years, changing from an institution that transports capital from investors to firms that use it for investment into a mechanism that channels money out of listed corporations to their owners</w:t>
      </w:r>
      <w:r w:rsidRPr="002C56A9">
        <w:rPr>
          <w:sz w:val="2"/>
          <w:szCs w:val="10"/>
        </w:rPr>
        <w:t xml:space="preserve">. One consequence of this process is that </w:t>
      </w:r>
      <w:r w:rsidRPr="002C56A9">
        <w:rPr>
          <w:rStyle w:val="Emphasis"/>
          <w:sz w:val="14"/>
          <w:szCs w:val="10"/>
        </w:rPr>
        <w:t>companies become less resilient against external shocks.</w:t>
      </w:r>
      <w:r w:rsidRPr="002C56A9">
        <w:rPr>
          <w:sz w:val="2"/>
          <w:szCs w:val="10"/>
        </w:rPr>
        <w:t xml:space="preserve"> While we certainly need more research on the consequences of </w:t>
      </w:r>
      <w:r w:rsidRPr="002C56A9">
        <w:rPr>
          <w:rStyle w:val="Emphasis"/>
          <w:sz w:val="14"/>
          <w:szCs w:val="10"/>
          <w:highlight w:val="cyan"/>
        </w:rPr>
        <w:t>buybacks</w:t>
      </w:r>
      <w:r w:rsidRPr="002C56A9">
        <w:rPr>
          <w:sz w:val="2"/>
          <w:szCs w:val="10"/>
        </w:rPr>
        <w:t xml:space="preserve"> it seems reasonable to conclude that </w:t>
      </w:r>
      <w:r w:rsidRPr="002C56A9">
        <w:rPr>
          <w:rStyle w:val="Emphasis"/>
          <w:sz w:val="14"/>
          <w:szCs w:val="10"/>
        </w:rPr>
        <w:t xml:space="preserve">they </w:t>
      </w:r>
      <w:r w:rsidRPr="002C56A9">
        <w:rPr>
          <w:rStyle w:val="Emphasis"/>
          <w:sz w:val="14"/>
          <w:szCs w:val="10"/>
          <w:highlight w:val="cyan"/>
        </w:rPr>
        <w:t>constitute a form of corporate short-termism</w:t>
      </w:r>
      <w:r w:rsidRPr="002C56A9">
        <w:rPr>
          <w:rStyle w:val="Emphasis"/>
          <w:sz w:val="14"/>
          <w:szCs w:val="10"/>
        </w:rPr>
        <w:t xml:space="preserve"> that favours ‘easy’ and seemingly certain financial benefits over more difficult and uncertain long-term strategies that involve research and development.</w:t>
      </w:r>
    </w:p>
    <w:p w14:paraId="36429566" w14:textId="77777777" w:rsidR="00F16872" w:rsidRPr="00455585" w:rsidRDefault="00F16872" w:rsidP="00F16872">
      <w:pPr>
        <w:rPr>
          <w:sz w:val="10"/>
        </w:rPr>
      </w:pPr>
      <w:r w:rsidRPr="00455585">
        <w:rPr>
          <w:rStyle w:val="StyleUnderline"/>
          <w:highlight w:val="yellow"/>
        </w:rPr>
        <w:t>In</w:t>
      </w:r>
      <w:r w:rsidRPr="00455585">
        <w:rPr>
          <w:rStyle w:val="StyleUnderline"/>
        </w:rPr>
        <w:t xml:space="preserve"> </w:t>
      </w:r>
      <w:r w:rsidRPr="00455585">
        <w:t>past annual</w:t>
      </w:r>
      <w:r w:rsidRPr="00455585">
        <w:rPr>
          <w:rStyle w:val="StyleUnderline"/>
        </w:rPr>
        <w:t xml:space="preserve"> </w:t>
      </w:r>
      <w:r w:rsidRPr="00455585">
        <w:rPr>
          <w:rStyle w:val="StyleUnderline"/>
          <w:highlight w:val="yellow"/>
        </w:rPr>
        <w:t>letters to CEOs</w:t>
      </w:r>
      <w:r w:rsidRPr="00455585">
        <w:rPr>
          <w:sz w:val="10"/>
        </w:rPr>
        <w:t xml:space="preserve">, </w:t>
      </w:r>
      <w:r w:rsidRPr="00455585">
        <w:rPr>
          <w:rStyle w:val="StyleUnderline"/>
          <w:highlight w:val="yellow"/>
        </w:rPr>
        <w:t xml:space="preserve">BlackRock has </w:t>
      </w:r>
      <w:r w:rsidRPr="00455585">
        <w:rPr>
          <w:rStyle w:val="Emphasis"/>
          <w:highlight w:val="yellow"/>
        </w:rPr>
        <w:t>argued against</w:t>
      </w:r>
      <w:r w:rsidRPr="00455585">
        <w:rPr>
          <w:sz w:val="10"/>
        </w:rPr>
        <w:t xml:space="preserve"> an </w:t>
      </w:r>
      <w:r w:rsidRPr="00455585">
        <w:rPr>
          <w:rStyle w:val="StyleUnderline"/>
          <w:highlight w:val="yellow"/>
        </w:rPr>
        <w:t>excessive use of share buybacks</w:t>
      </w:r>
      <w:r w:rsidRPr="00455585">
        <w:rPr>
          <w:sz w:val="10"/>
        </w:rPr>
        <w:t xml:space="preserve">. And this is clearly consistent with the statement that ‘with BlackRock’s growth, especially in our index business, comes an evolving responsibility. A crucial part of that responsibility is advocating on behalf of our clients for practices that we believe enhance long-term returns’ (BlackRock, </w:t>
      </w:r>
      <w:hyperlink r:id="rId12" w:history="1">
        <w:r w:rsidRPr="00455585">
          <w:rPr>
            <w:rStyle w:val="Hyperlink"/>
            <w:sz w:val="10"/>
          </w:rPr>
          <w:t>Citation2017</w:t>
        </w:r>
      </w:hyperlink>
      <w:r w:rsidRPr="00455585">
        <w:rPr>
          <w:sz w:val="10"/>
        </w:rPr>
        <w:t xml:space="preserve">, p. 20). </w:t>
      </w:r>
      <w:r w:rsidRPr="0029227F">
        <w:rPr>
          <w:rStyle w:val="Emphasis"/>
          <w:highlight w:val="cyan"/>
        </w:rPr>
        <w:t>Surprisingly</w:t>
      </w:r>
      <w:r w:rsidRPr="00F67A00">
        <w:rPr>
          <w:rStyle w:val="Emphasis"/>
        </w:rPr>
        <w:t xml:space="preserve">, in the United States </w:t>
      </w:r>
      <w:r w:rsidRPr="0029227F">
        <w:rPr>
          <w:rStyle w:val="Emphasis"/>
          <w:highlight w:val="cyan"/>
        </w:rPr>
        <w:t>it is not mandatory for management to let shareholders vote on buybacks</w:t>
      </w:r>
      <w:r w:rsidRPr="00455585">
        <w:rPr>
          <w:rStyle w:val="Emphasis"/>
          <w:highlight w:val="yellow"/>
        </w:rPr>
        <w:t>. If BlackRock (as well as Vanguard and State Street) were</w:t>
      </w:r>
      <w:r w:rsidRPr="00D2343A">
        <w:rPr>
          <w:rStyle w:val="Emphasis"/>
        </w:rPr>
        <w:t xml:space="preserve"> </w:t>
      </w:r>
      <w:r w:rsidRPr="00455585">
        <w:rPr>
          <w:sz w:val="10"/>
        </w:rPr>
        <w:t xml:space="preserve">really </w:t>
      </w:r>
      <w:r w:rsidRPr="00455585">
        <w:rPr>
          <w:rStyle w:val="StyleUnderline"/>
          <w:highlight w:val="yellow"/>
        </w:rPr>
        <w:t>concerned</w:t>
      </w:r>
      <w:r w:rsidRPr="00455585">
        <w:rPr>
          <w:sz w:val="10"/>
        </w:rPr>
        <w:t xml:space="preserve"> about buybacks,</w:t>
      </w:r>
      <w:r w:rsidRPr="00D2343A">
        <w:rPr>
          <w:rStyle w:val="Emphasis"/>
        </w:rPr>
        <w:t xml:space="preserve"> </w:t>
      </w:r>
      <w:r w:rsidRPr="0029227F">
        <w:rPr>
          <w:rStyle w:val="Emphasis"/>
          <w:highlight w:val="cyan"/>
        </w:rPr>
        <w:t xml:space="preserve">the </w:t>
      </w:r>
      <w:r w:rsidRPr="00455585">
        <w:rPr>
          <w:rStyle w:val="Emphasis"/>
          <w:highlight w:val="yellow"/>
        </w:rPr>
        <w:t>rational reaction would be to launch a campaign</w:t>
      </w:r>
      <w:r w:rsidRPr="00F67A00">
        <w:rPr>
          <w:rStyle w:val="Emphasis"/>
        </w:rPr>
        <w:t xml:space="preserve"> together with other asset managers </w:t>
      </w:r>
      <w:r w:rsidRPr="0029227F">
        <w:rPr>
          <w:rStyle w:val="Emphasis"/>
          <w:highlight w:val="cyan"/>
        </w:rPr>
        <w:t>to force management to put buybacks up for vote by shareholders</w:t>
      </w:r>
      <w:r w:rsidRPr="00F67A00">
        <w:rPr>
          <w:rStyle w:val="Emphasis"/>
        </w:rPr>
        <w:t>.</w:t>
      </w:r>
      <w:r w:rsidRPr="00455585">
        <w:rPr>
          <w:sz w:val="10"/>
        </w:rPr>
        <w:t xml:space="preserve"> This would be only logical, as most other issues that significantly impact corporations, such as mergers and acquisitions, are voted upon by shareholders. Hence, </w:t>
      </w:r>
      <w:r w:rsidRPr="00455585">
        <w:rPr>
          <w:rStyle w:val="Emphasis"/>
          <w:highlight w:val="yellow"/>
        </w:rPr>
        <w:t>BlackRock could do much more to curb short-termism</w:t>
      </w:r>
      <w:r w:rsidRPr="00F67A00">
        <w:rPr>
          <w:rStyle w:val="Emphasis"/>
        </w:rPr>
        <w:t xml:space="preserve"> that is driven via massive buybacks.</w:t>
      </w:r>
    </w:p>
    <w:p w14:paraId="336A2A45" w14:textId="77777777" w:rsidR="00F16872" w:rsidRPr="002C56A9" w:rsidRDefault="00F16872" w:rsidP="00F16872">
      <w:pPr>
        <w:rPr>
          <w:sz w:val="2"/>
          <w:szCs w:val="12"/>
        </w:rPr>
      </w:pPr>
      <w:r w:rsidRPr="002C56A9">
        <w:rPr>
          <w:sz w:val="2"/>
          <w:szCs w:val="12"/>
        </w:rPr>
        <w:t xml:space="preserve">For single companies, buybacks occasionally may make sense in order to maximize short-term shareholder value, even though there are serious concerns that most firms also buy shares when they are expensive, thus potentially destroying shareholder value. However, if the vast majority of listed corporations spend billions (or even trillions) on buybacks this is a very different thing. Proponents of buybacks argue that this is just a tax-efficient way to give back money to shareholders, but in fact there is no direct financial transfer to shareholders (as in dividends) but only an indirect transfer via an assumed increase in the share price. However, even if the share price of one company really increases due to buybacks there is no way for investors in index funds to immediately realize these gains because they necessarily hold the entire index. Hence, buybacks mean that effectively capital stays within the financial sphere without flowing back to the ‘real’ economy. </w:t>
      </w:r>
      <w:r w:rsidRPr="002C56A9">
        <w:rPr>
          <w:rStyle w:val="Emphasis"/>
          <w:sz w:val="16"/>
          <w:szCs w:val="12"/>
          <w:highlight w:val="cyan"/>
        </w:rPr>
        <w:t>Maximizing buybacks is not a sustainable long-term purpose</w:t>
      </w:r>
      <w:r w:rsidRPr="002C56A9">
        <w:rPr>
          <w:rStyle w:val="Emphasis"/>
          <w:sz w:val="16"/>
          <w:szCs w:val="12"/>
        </w:rPr>
        <w:t xml:space="preserve"> for a corporation</w:t>
      </w:r>
      <w:r w:rsidRPr="002C56A9">
        <w:rPr>
          <w:rStyle w:val="Emphasis"/>
          <w:sz w:val="16"/>
          <w:szCs w:val="12"/>
          <w:highlight w:val="cyan"/>
        </w:rPr>
        <w:t>, it is the financialization of the firm</w:t>
      </w:r>
      <w:r w:rsidRPr="002C56A9">
        <w:rPr>
          <w:rStyle w:val="Emphasis"/>
          <w:sz w:val="16"/>
          <w:szCs w:val="12"/>
        </w:rPr>
        <w:t xml:space="preserve"> </w:t>
      </w:r>
      <w:r w:rsidRPr="002C56A9">
        <w:rPr>
          <w:sz w:val="2"/>
          <w:szCs w:val="12"/>
        </w:rPr>
        <w:t xml:space="preserve">(Fichtner, </w:t>
      </w:r>
      <w:hyperlink r:id="rId13" w:history="1">
        <w:r w:rsidRPr="002C56A9">
          <w:rPr>
            <w:rStyle w:val="Hyperlink"/>
            <w:sz w:val="2"/>
            <w:szCs w:val="12"/>
          </w:rPr>
          <w:t>Citation2020</w:t>
        </w:r>
      </w:hyperlink>
      <w:r w:rsidRPr="002C56A9">
        <w:rPr>
          <w:sz w:val="2"/>
          <w:szCs w:val="12"/>
        </w:rPr>
        <w:t xml:space="preserve">). This directly connects to what Larry Fink stressed in his last letter to CEOs: each firm should think about its purpose for customers, shareholders and society. </w:t>
      </w:r>
    </w:p>
    <w:p w14:paraId="0AE46619" w14:textId="77777777" w:rsidR="00F16872" w:rsidRDefault="00F16872" w:rsidP="00F16872"/>
    <w:p w14:paraId="772D7611" w14:textId="77777777" w:rsidR="00F16872" w:rsidRDefault="00F16872" w:rsidP="00F16872">
      <w:pPr>
        <w:pStyle w:val="Heading4"/>
      </w:pPr>
      <w:r>
        <w:t xml:space="preserve">Blackrock has uniquely facilitated the genocide in Gaza – </w:t>
      </w:r>
      <w:r w:rsidRPr="006C237C">
        <w:rPr>
          <w:u w:val="single"/>
        </w:rPr>
        <w:t>reject the 1AC’s claims</w:t>
      </w:r>
      <w:r>
        <w:t xml:space="preserve"> of patient capital being good. Investment in patient capital is only good as long as it is used to invest in the bombs that are killing the Global South </w:t>
      </w:r>
    </w:p>
    <w:p w14:paraId="261751BB" w14:textId="77777777" w:rsidR="00F16872" w:rsidRPr="006C237C" w:rsidRDefault="00F16872" w:rsidP="00F16872">
      <w:pPr>
        <w:rPr>
          <w:rStyle w:val="Style13ptBold"/>
        </w:rPr>
      </w:pPr>
      <w:r w:rsidRPr="006C237C">
        <w:rPr>
          <w:rStyle w:val="Style13ptBold"/>
        </w:rPr>
        <w:t xml:space="preserve">Norton, 24 </w:t>
      </w:r>
    </w:p>
    <w:p w14:paraId="67A7279B" w14:textId="77777777" w:rsidR="00F16872" w:rsidRPr="006C237C" w:rsidRDefault="00F16872" w:rsidP="00F16872">
      <w:r>
        <w:t xml:space="preserve">[Ben Norton </w:t>
      </w:r>
      <w:r w:rsidRPr="006C237C">
        <w:t xml:space="preserve">-- </w:t>
      </w:r>
      <w:r>
        <w:t>i</w:t>
      </w:r>
      <w:r w:rsidRPr="006C237C">
        <w:t>nvestigative journalist and analyst. Ben is the founder and editor of Geopolitical Economy Report., “</w:t>
      </w:r>
      <w:hyperlink r:id="rId14" w:history="1">
        <w:r w:rsidRPr="006C237C">
          <w:rPr>
            <w:rStyle w:val="Hyperlink"/>
          </w:rPr>
          <w:t>Economy</w:t>
        </w:r>
      </w:hyperlink>
      <w:r w:rsidRPr="006C237C">
        <w:t xml:space="preserve"> BlackRock &amp; Wall Street banks are profiting from Israel’s crimes in Gaza, UN experts say</w:t>
      </w:r>
      <w:r>
        <w:t xml:space="preserve">,” Geopolitical Economy Report, 07-07-2024, </w:t>
      </w:r>
      <w:hyperlink r:id="rId15" w:anchor=":~:text=Economy-,BlackRock%20&amp;%20Wall%20Street%20banks%20are%20profiting%20from%20Israel's%20crimes%20in,Street%20banks%20are%20also%20profiting.&amp;text=Top%20UN%20human%20rights%20experts%20have%20called%20on%20Western%20weapons,ThyssenKrupp" w:history="1">
        <w:r w:rsidRPr="000764D9">
          <w:rPr>
            <w:rStyle w:val="Hyperlink"/>
          </w:rPr>
          <w:t>https://geopoliticaleconomy.com/2024/07/07/blackrock-wall-street-banks-profit-israel-gaza-un/#:~:text=Economy-,BlackRock%20&amp;%20Wall%20Street%20banks%20are%20profiting%20from%20Israel's%20crimes%20in,Street%20banks%20are%20also%20profiting.&amp;text=Top%20UN%20human%20rights%20experts%20have%20called%20on%20Western%20weapons,ThyssenKrupp</w:t>
        </w:r>
      </w:hyperlink>
      <w:r w:rsidRPr="006C237C">
        <w:t>.</w:t>
      </w:r>
      <w:r>
        <w:t>, accessed 11-15-22025 ]</w:t>
      </w:r>
    </w:p>
    <w:p w14:paraId="12A759C0" w14:textId="77777777" w:rsidR="00F16872" w:rsidRDefault="00F16872" w:rsidP="00F16872"/>
    <w:p w14:paraId="392AD891" w14:textId="77777777" w:rsidR="00F16872" w:rsidRPr="006C237C" w:rsidRDefault="00F16872" w:rsidP="00F16872">
      <w:pPr>
        <w:rPr>
          <w:rStyle w:val="Emphasis"/>
          <w:szCs w:val="26"/>
        </w:rPr>
      </w:pPr>
      <w:r w:rsidRPr="006C237C">
        <w:rPr>
          <w:rStyle w:val="StyleUnderline"/>
        </w:rPr>
        <w:t xml:space="preserve">Top </w:t>
      </w:r>
      <w:r w:rsidRPr="006C237C">
        <w:rPr>
          <w:rStyle w:val="StyleUnderline"/>
          <w:highlight w:val="yellow"/>
        </w:rPr>
        <w:t xml:space="preserve">UN </w:t>
      </w:r>
      <w:r w:rsidRPr="006C237C">
        <w:rPr>
          <w:rStyle w:val="Emphasis"/>
          <w:highlight w:val="yellow"/>
        </w:rPr>
        <w:t>human rights experts</w:t>
      </w:r>
      <w:r w:rsidRPr="006C237C">
        <w:rPr>
          <w:sz w:val="10"/>
        </w:rPr>
        <w:t xml:space="preserve"> have</w:t>
      </w:r>
      <w:r w:rsidRPr="006C237C">
        <w:rPr>
          <w:rStyle w:val="StyleUnderline"/>
        </w:rPr>
        <w:t xml:space="preserve"> </w:t>
      </w:r>
      <w:r w:rsidRPr="006C237C">
        <w:rPr>
          <w:rStyle w:val="StyleUnderline"/>
          <w:highlight w:val="yellow"/>
        </w:rPr>
        <w:t xml:space="preserve">called on Western weapons corporations to </w:t>
      </w:r>
      <w:r w:rsidRPr="006C237C">
        <w:rPr>
          <w:rStyle w:val="Emphasis"/>
          <w:highlight w:val="yellow"/>
        </w:rPr>
        <w:t>stop sending arms to Israel</w:t>
      </w:r>
      <w:r w:rsidRPr="006C237C">
        <w:rPr>
          <w:sz w:val="10"/>
        </w:rPr>
        <w:t xml:space="preserve">, arguing they could be </w:t>
      </w:r>
      <w:r w:rsidRPr="006C237C">
        <w:rPr>
          <w:rStyle w:val="Emphasis"/>
          <w:szCs w:val="26"/>
          <w:highlight w:val="yellow"/>
        </w:rPr>
        <w:t>complicit in war crimes.</w:t>
      </w:r>
    </w:p>
    <w:p w14:paraId="3BC306E5" w14:textId="77777777" w:rsidR="00F16872" w:rsidRPr="006C237C" w:rsidRDefault="00F16872" w:rsidP="00F16872">
      <w:pPr>
        <w:rPr>
          <w:rStyle w:val="StyleUnderline"/>
        </w:rPr>
      </w:pPr>
      <w:r w:rsidRPr="006C237C">
        <w:rPr>
          <w:sz w:val="10"/>
        </w:rPr>
        <w:t xml:space="preserve">UN experts also warned that </w:t>
      </w:r>
      <w:r w:rsidRPr="006C237C">
        <w:rPr>
          <w:rStyle w:val="StyleUnderline"/>
        </w:rPr>
        <w:t xml:space="preserve">asset managers like </w:t>
      </w:r>
      <w:r w:rsidRPr="006C237C">
        <w:rPr>
          <w:rStyle w:val="Emphasis"/>
          <w:highlight w:val="yellow"/>
        </w:rPr>
        <w:t>BlackRock</w:t>
      </w:r>
      <w:r w:rsidRPr="006C237C">
        <w:rPr>
          <w:sz w:val="10"/>
        </w:rPr>
        <w:t xml:space="preserve"> and </w:t>
      </w:r>
      <w:r w:rsidRPr="006C237C">
        <w:rPr>
          <w:rStyle w:val="Emphasis"/>
          <w:highlight w:val="yellow"/>
        </w:rPr>
        <w:t>Wall Street banks</w:t>
      </w:r>
      <w:r w:rsidRPr="006C237C">
        <w:rPr>
          <w:sz w:val="10"/>
        </w:rPr>
        <w:t xml:space="preserve"> may be </w:t>
      </w:r>
      <w:r w:rsidRPr="006C237C">
        <w:rPr>
          <w:rStyle w:val="Emphasis"/>
          <w:highlight w:val="yellow"/>
        </w:rPr>
        <w:t>profiting</w:t>
      </w:r>
      <w:r w:rsidRPr="006C237C">
        <w:rPr>
          <w:rStyle w:val="StyleUnderline"/>
          <w:highlight w:val="yellow"/>
        </w:rPr>
        <w:t xml:space="preserve"> from Israel’s brutal war on Gaza.</w:t>
      </w:r>
    </w:p>
    <w:p w14:paraId="43EC5F53" w14:textId="77777777" w:rsidR="00F16872" w:rsidRPr="006C237C" w:rsidRDefault="00F16872" w:rsidP="00F16872">
      <w:pPr>
        <w:rPr>
          <w:sz w:val="10"/>
        </w:rPr>
      </w:pPr>
      <w:r w:rsidRPr="006C237C">
        <w:rPr>
          <w:sz w:val="10"/>
        </w:rPr>
        <w:t>This was stated in a press release published by the Office of the United Nations High Commissioner for Human Rights (OHCHR).</w:t>
      </w:r>
    </w:p>
    <w:p w14:paraId="5E11CEB7" w14:textId="77777777" w:rsidR="00F16872" w:rsidRPr="006C237C" w:rsidRDefault="00F16872" w:rsidP="00F16872">
      <w:pPr>
        <w:rPr>
          <w:sz w:val="10"/>
        </w:rPr>
      </w:pPr>
      <w:r w:rsidRPr="006C237C">
        <w:rPr>
          <w:sz w:val="10"/>
        </w:rPr>
        <w:t>“The </w:t>
      </w:r>
      <w:hyperlink r:id="rId16" w:history="1">
        <w:r w:rsidRPr="006C237C">
          <w:rPr>
            <w:rStyle w:val="StyleUnderline"/>
            <w:highlight w:val="yellow"/>
          </w:rPr>
          <w:t>transfer of weapons and ammunition to Israel</w:t>
        </w:r>
      </w:hyperlink>
      <w:r w:rsidRPr="006C237C">
        <w:rPr>
          <w:rStyle w:val="StyleUnderline"/>
        </w:rPr>
        <w:t> </w:t>
      </w:r>
      <w:r w:rsidRPr="006C237C">
        <w:rPr>
          <w:sz w:val="10"/>
        </w:rPr>
        <w:t xml:space="preserve">may </w:t>
      </w:r>
      <w:r w:rsidRPr="006C237C">
        <w:rPr>
          <w:rStyle w:val="Emphasis"/>
          <w:szCs w:val="26"/>
          <w:highlight w:val="yellow"/>
        </w:rPr>
        <w:t>constitute serious violations of human rights</w:t>
      </w:r>
      <w:r w:rsidRPr="006C237C">
        <w:rPr>
          <w:sz w:val="10"/>
        </w:rPr>
        <w:t xml:space="preserve"> and international humanitarian laws and risk State complicity in international crimes, possibly including genocide, UN experts said today, </w:t>
      </w:r>
      <w:r w:rsidRPr="006C237C">
        <w:rPr>
          <w:rStyle w:val="StyleUnderline"/>
        </w:rPr>
        <w:t>reiterating their demand to stop transfers immediately</w:t>
      </w:r>
      <w:r w:rsidRPr="006C237C">
        <w:rPr>
          <w:sz w:val="10"/>
        </w:rPr>
        <w:t>”, the press release said.</w:t>
      </w:r>
    </w:p>
    <w:p w14:paraId="6C341AF8" w14:textId="77777777" w:rsidR="00F16872" w:rsidRPr="006C237C" w:rsidRDefault="00F16872" w:rsidP="00F16872">
      <w:pPr>
        <w:rPr>
          <w:sz w:val="10"/>
        </w:rPr>
      </w:pPr>
      <w:r w:rsidRPr="006C237C">
        <w:rPr>
          <w:sz w:val="10"/>
        </w:rPr>
        <w:t xml:space="preserve">As </w:t>
      </w:r>
      <w:r w:rsidRPr="006C237C">
        <w:rPr>
          <w:rStyle w:val="StyleUnderline"/>
        </w:rPr>
        <w:t>arms manufacturers</w:t>
      </w:r>
      <w:r w:rsidRPr="006C237C">
        <w:rPr>
          <w:sz w:val="10"/>
        </w:rPr>
        <w:t xml:space="preserve"> that could be </w:t>
      </w:r>
      <w:r w:rsidRPr="006C237C">
        <w:rPr>
          <w:rStyle w:val="StyleUnderline"/>
        </w:rPr>
        <w:t>complicit</w:t>
      </w:r>
      <w:r w:rsidRPr="006C237C">
        <w:rPr>
          <w:sz w:val="10"/>
        </w:rPr>
        <w:t>, the UN human rights experts mentioned:</w:t>
      </w:r>
    </w:p>
    <w:p w14:paraId="25FB89CA" w14:textId="77777777" w:rsidR="00F16872" w:rsidRPr="006C237C" w:rsidRDefault="00F16872" w:rsidP="00F16872">
      <w:pPr>
        <w:numPr>
          <w:ilvl w:val="0"/>
          <w:numId w:val="36"/>
        </w:numPr>
        <w:spacing w:after="0" w:line="240" w:lineRule="auto"/>
        <w:rPr>
          <w:sz w:val="10"/>
        </w:rPr>
      </w:pPr>
      <w:r w:rsidRPr="006C237C">
        <w:rPr>
          <w:sz w:val="10"/>
        </w:rPr>
        <w:t>BAE Systems,</w:t>
      </w:r>
    </w:p>
    <w:p w14:paraId="3DE1E13A" w14:textId="77777777" w:rsidR="00F16872" w:rsidRPr="006C237C" w:rsidRDefault="00F16872" w:rsidP="00F16872">
      <w:pPr>
        <w:numPr>
          <w:ilvl w:val="0"/>
          <w:numId w:val="36"/>
        </w:numPr>
        <w:spacing w:after="0" w:line="240" w:lineRule="auto"/>
        <w:rPr>
          <w:sz w:val="10"/>
        </w:rPr>
      </w:pPr>
      <w:r w:rsidRPr="006C237C">
        <w:rPr>
          <w:sz w:val="10"/>
        </w:rPr>
        <w:t>Boeing,</w:t>
      </w:r>
    </w:p>
    <w:p w14:paraId="1D8A358E" w14:textId="77777777" w:rsidR="00F16872" w:rsidRPr="006C237C" w:rsidRDefault="00F16872" w:rsidP="00F16872">
      <w:pPr>
        <w:numPr>
          <w:ilvl w:val="0"/>
          <w:numId w:val="36"/>
        </w:numPr>
        <w:spacing w:after="0" w:line="240" w:lineRule="auto"/>
        <w:rPr>
          <w:sz w:val="10"/>
        </w:rPr>
      </w:pPr>
      <w:r w:rsidRPr="006C237C">
        <w:rPr>
          <w:sz w:val="10"/>
        </w:rPr>
        <w:t>Caterpillar,</w:t>
      </w:r>
    </w:p>
    <w:p w14:paraId="5A354700" w14:textId="77777777" w:rsidR="00F16872" w:rsidRPr="006C237C" w:rsidRDefault="00F16872" w:rsidP="00F16872">
      <w:pPr>
        <w:numPr>
          <w:ilvl w:val="0"/>
          <w:numId w:val="36"/>
        </w:numPr>
        <w:spacing w:after="0" w:line="240" w:lineRule="auto"/>
        <w:rPr>
          <w:sz w:val="10"/>
        </w:rPr>
      </w:pPr>
      <w:r w:rsidRPr="006C237C">
        <w:rPr>
          <w:sz w:val="10"/>
        </w:rPr>
        <w:t>General Dynamics,</w:t>
      </w:r>
    </w:p>
    <w:p w14:paraId="48F1B09A" w14:textId="77777777" w:rsidR="00F16872" w:rsidRPr="006C237C" w:rsidRDefault="00F16872" w:rsidP="00F16872">
      <w:pPr>
        <w:numPr>
          <w:ilvl w:val="0"/>
          <w:numId w:val="36"/>
        </w:numPr>
        <w:spacing w:after="0" w:line="240" w:lineRule="auto"/>
        <w:rPr>
          <w:sz w:val="10"/>
        </w:rPr>
      </w:pPr>
      <w:r w:rsidRPr="006C237C">
        <w:rPr>
          <w:sz w:val="10"/>
        </w:rPr>
        <w:t>Lockheed Martin,</w:t>
      </w:r>
    </w:p>
    <w:p w14:paraId="7B10E978" w14:textId="77777777" w:rsidR="00F16872" w:rsidRPr="006C237C" w:rsidRDefault="00F16872" w:rsidP="00F16872">
      <w:pPr>
        <w:numPr>
          <w:ilvl w:val="0"/>
          <w:numId w:val="36"/>
        </w:numPr>
        <w:spacing w:after="0" w:line="240" w:lineRule="auto"/>
        <w:rPr>
          <w:sz w:val="10"/>
        </w:rPr>
      </w:pPr>
      <w:r w:rsidRPr="006C237C">
        <w:rPr>
          <w:sz w:val="10"/>
        </w:rPr>
        <w:t>Northrop Grumman,</w:t>
      </w:r>
    </w:p>
    <w:p w14:paraId="52D9A584" w14:textId="77777777" w:rsidR="00F16872" w:rsidRPr="006C237C" w:rsidRDefault="00F16872" w:rsidP="00F16872">
      <w:pPr>
        <w:numPr>
          <w:ilvl w:val="0"/>
          <w:numId w:val="36"/>
        </w:numPr>
        <w:spacing w:after="0" w:line="240" w:lineRule="auto"/>
        <w:rPr>
          <w:sz w:val="10"/>
        </w:rPr>
      </w:pPr>
      <w:r w:rsidRPr="006C237C">
        <w:rPr>
          <w:sz w:val="10"/>
        </w:rPr>
        <w:t>Oshkosh,</w:t>
      </w:r>
    </w:p>
    <w:p w14:paraId="02AF9BCA" w14:textId="77777777" w:rsidR="00F16872" w:rsidRPr="006C237C" w:rsidRDefault="00F16872" w:rsidP="00F16872">
      <w:pPr>
        <w:numPr>
          <w:ilvl w:val="0"/>
          <w:numId w:val="36"/>
        </w:numPr>
        <w:spacing w:after="0" w:line="240" w:lineRule="auto"/>
        <w:rPr>
          <w:sz w:val="10"/>
        </w:rPr>
      </w:pPr>
      <w:r w:rsidRPr="006C237C">
        <w:rPr>
          <w:sz w:val="10"/>
        </w:rPr>
        <w:t>Rheinmetall AG,</w:t>
      </w:r>
    </w:p>
    <w:p w14:paraId="25F837E7" w14:textId="77777777" w:rsidR="00F16872" w:rsidRPr="006C237C" w:rsidRDefault="00F16872" w:rsidP="00F16872">
      <w:pPr>
        <w:numPr>
          <w:ilvl w:val="0"/>
          <w:numId w:val="36"/>
        </w:numPr>
        <w:spacing w:after="0" w:line="240" w:lineRule="auto"/>
        <w:rPr>
          <w:sz w:val="10"/>
        </w:rPr>
      </w:pPr>
      <w:r w:rsidRPr="006C237C">
        <w:rPr>
          <w:sz w:val="10"/>
        </w:rPr>
        <w:t>Rolls-Royce Power Systems,</w:t>
      </w:r>
    </w:p>
    <w:p w14:paraId="3E855025" w14:textId="77777777" w:rsidR="00F16872" w:rsidRPr="006C237C" w:rsidRDefault="00F16872" w:rsidP="00F16872">
      <w:pPr>
        <w:numPr>
          <w:ilvl w:val="0"/>
          <w:numId w:val="36"/>
        </w:numPr>
        <w:spacing w:after="0" w:line="240" w:lineRule="auto"/>
        <w:rPr>
          <w:sz w:val="10"/>
        </w:rPr>
      </w:pPr>
      <w:r w:rsidRPr="006C237C">
        <w:rPr>
          <w:sz w:val="10"/>
        </w:rPr>
        <w:t>RTX, and</w:t>
      </w:r>
    </w:p>
    <w:p w14:paraId="1B6060E7" w14:textId="77777777" w:rsidR="00F16872" w:rsidRPr="006C237C" w:rsidRDefault="00F16872" w:rsidP="00F16872">
      <w:pPr>
        <w:numPr>
          <w:ilvl w:val="0"/>
          <w:numId w:val="36"/>
        </w:numPr>
        <w:spacing w:after="0" w:line="240" w:lineRule="auto"/>
        <w:rPr>
          <w:sz w:val="10"/>
        </w:rPr>
      </w:pPr>
      <w:r w:rsidRPr="006C237C">
        <w:rPr>
          <w:sz w:val="10"/>
        </w:rPr>
        <w:t>ThyssenKrupp.</w:t>
      </w:r>
    </w:p>
    <w:p w14:paraId="5B724001" w14:textId="77777777" w:rsidR="00F16872" w:rsidRPr="006C237C" w:rsidRDefault="00F16872" w:rsidP="00F16872">
      <w:pPr>
        <w:rPr>
          <w:sz w:val="10"/>
        </w:rPr>
      </w:pPr>
      <w:r w:rsidRPr="006C237C">
        <w:rPr>
          <w:sz w:val="10"/>
        </w:rPr>
        <w:t xml:space="preserve">The </w:t>
      </w:r>
      <w:r w:rsidRPr="006C237C">
        <w:rPr>
          <w:rStyle w:val="StyleUnderline"/>
        </w:rPr>
        <w:t xml:space="preserve">UN experts </w:t>
      </w:r>
      <w:r w:rsidRPr="006C237C">
        <w:rPr>
          <w:rStyle w:val="StyleUnderline"/>
          <w:highlight w:val="yellow"/>
        </w:rPr>
        <w:t>likewise named Western financial companies</w:t>
      </w:r>
      <w:r w:rsidRPr="006C237C">
        <w:rPr>
          <w:sz w:val="10"/>
        </w:rPr>
        <w:t xml:space="preserve"> that have </w:t>
      </w:r>
      <w:r w:rsidRPr="006C237C">
        <w:rPr>
          <w:rStyle w:val="Emphasis"/>
          <w:highlight w:val="yellow"/>
        </w:rPr>
        <w:t>significantly invested in the arms industry</w:t>
      </w:r>
      <w:r w:rsidRPr="006C237C">
        <w:rPr>
          <w:sz w:val="10"/>
        </w:rPr>
        <w:t>, including:</w:t>
      </w:r>
    </w:p>
    <w:p w14:paraId="490E4825" w14:textId="77777777" w:rsidR="00F16872" w:rsidRPr="006C237C" w:rsidRDefault="00F16872" w:rsidP="00F16872">
      <w:pPr>
        <w:numPr>
          <w:ilvl w:val="0"/>
          <w:numId w:val="37"/>
        </w:numPr>
        <w:spacing w:after="0" w:line="240" w:lineRule="auto"/>
        <w:rPr>
          <w:sz w:val="10"/>
        </w:rPr>
      </w:pPr>
      <w:r w:rsidRPr="006C237C">
        <w:rPr>
          <w:sz w:val="10"/>
        </w:rPr>
        <w:t>Alfried Krupp von Bohlen und Halbach-Stiftung,</w:t>
      </w:r>
    </w:p>
    <w:p w14:paraId="43F28EDB" w14:textId="77777777" w:rsidR="00F16872" w:rsidRPr="006C237C" w:rsidRDefault="00F16872" w:rsidP="00F16872">
      <w:pPr>
        <w:numPr>
          <w:ilvl w:val="0"/>
          <w:numId w:val="37"/>
        </w:numPr>
        <w:spacing w:after="0" w:line="240" w:lineRule="auto"/>
        <w:rPr>
          <w:rStyle w:val="StyleUnderline"/>
        </w:rPr>
      </w:pPr>
      <w:r w:rsidRPr="006C237C">
        <w:rPr>
          <w:rStyle w:val="StyleUnderline"/>
        </w:rPr>
        <w:t>Amundi Asset Management,</w:t>
      </w:r>
    </w:p>
    <w:p w14:paraId="4B5F321D" w14:textId="77777777" w:rsidR="00F16872" w:rsidRPr="006C237C" w:rsidRDefault="00F16872" w:rsidP="00F16872">
      <w:pPr>
        <w:numPr>
          <w:ilvl w:val="0"/>
          <w:numId w:val="37"/>
        </w:numPr>
        <w:spacing w:after="0" w:line="240" w:lineRule="auto"/>
        <w:rPr>
          <w:sz w:val="10"/>
        </w:rPr>
      </w:pPr>
      <w:r w:rsidRPr="006C237C">
        <w:rPr>
          <w:sz w:val="10"/>
        </w:rPr>
        <w:t>Bank of America,</w:t>
      </w:r>
    </w:p>
    <w:p w14:paraId="1E12521D" w14:textId="77777777" w:rsidR="00F16872" w:rsidRPr="006C237C" w:rsidRDefault="00F16872" w:rsidP="00F16872">
      <w:pPr>
        <w:numPr>
          <w:ilvl w:val="0"/>
          <w:numId w:val="37"/>
        </w:numPr>
        <w:spacing w:after="0" w:line="240" w:lineRule="auto"/>
        <w:rPr>
          <w:rStyle w:val="StyleUnderline"/>
        </w:rPr>
      </w:pPr>
      <w:r w:rsidRPr="006C237C">
        <w:rPr>
          <w:rStyle w:val="StyleUnderline"/>
        </w:rPr>
        <w:t>BlackRock,</w:t>
      </w:r>
    </w:p>
    <w:p w14:paraId="3FE4D244" w14:textId="77777777" w:rsidR="00F16872" w:rsidRPr="006C237C" w:rsidRDefault="00F16872" w:rsidP="00F16872">
      <w:pPr>
        <w:numPr>
          <w:ilvl w:val="0"/>
          <w:numId w:val="37"/>
        </w:numPr>
        <w:spacing w:after="0" w:line="240" w:lineRule="auto"/>
        <w:rPr>
          <w:sz w:val="10"/>
        </w:rPr>
      </w:pPr>
      <w:r w:rsidRPr="006C237C">
        <w:rPr>
          <w:sz w:val="10"/>
        </w:rPr>
        <w:t>Capital Group,</w:t>
      </w:r>
    </w:p>
    <w:p w14:paraId="4863493A" w14:textId="77777777" w:rsidR="00F16872" w:rsidRPr="006C237C" w:rsidRDefault="00F16872" w:rsidP="00F16872">
      <w:pPr>
        <w:numPr>
          <w:ilvl w:val="0"/>
          <w:numId w:val="37"/>
        </w:numPr>
        <w:spacing w:after="0" w:line="240" w:lineRule="auto"/>
        <w:rPr>
          <w:sz w:val="10"/>
        </w:rPr>
      </w:pPr>
      <w:r w:rsidRPr="006C237C">
        <w:rPr>
          <w:sz w:val="10"/>
        </w:rPr>
        <w:t>Causeway Capital Management,</w:t>
      </w:r>
    </w:p>
    <w:p w14:paraId="23FD1DB3" w14:textId="77777777" w:rsidR="00F16872" w:rsidRPr="006C237C" w:rsidRDefault="00F16872" w:rsidP="00F16872">
      <w:pPr>
        <w:numPr>
          <w:ilvl w:val="0"/>
          <w:numId w:val="37"/>
        </w:numPr>
        <w:spacing w:after="0" w:line="240" w:lineRule="auto"/>
        <w:rPr>
          <w:sz w:val="10"/>
        </w:rPr>
      </w:pPr>
      <w:r w:rsidRPr="006C237C">
        <w:rPr>
          <w:sz w:val="10"/>
        </w:rPr>
        <w:t>Citigroup,</w:t>
      </w:r>
    </w:p>
    <w:p w14:paraId="40691785" w14:textId="77777777" w:rsidR="00F16872" w:rsidRPr="006C237C" w:rsidRDefault="00F16872" w:rsidP="00F16872">
      <w:pPr>
        <w:numPr>
          <w:ilvl w:val="0"/>
          <w:numId w:val="37"/>
        </w:numPr>
        <w:spacing w:after="0" w:line="240" w:lineRule="auto"/>
        <w:rPr>
          <w:sz w:val="10"/>
        </w:rPr>
      </w:pPr>
      <w:r w:rsidRPr="006C237C">
        <w:rPr>
          <w:sz w:val="10"/>
        </w:rPr>
        <w:t>Fidelity Management &amp; Research,</w:t>
      </w:r>
    </w:p>
    <w:p w14:paraId="1AB82BB3" w14:textId="77777777" w:rsidR="00F16872" w:rsidRPr="006C237C" w:rsidRDefault="00F16872" w:rsidP="00F16872">
      <w:pPr>
        <w:numPr>
          <w:ilvl w:val="0"/>
          <w:numId w:val="37"/>
        </w:numPr>
        <w:spacing w:after="0" w:line="240" w:lineRule="auto"/>
        <w:rPr>
          <w:sz w:val="10"/>
        </w:rPr>
      </w:pPr>
      <w:r w:rsidRPr="006C237C">
        <w:rPr>
          <w:sz w:val="10"/>
        </w:rPr>
        <w:t>INVESCO Ltd,</w:t>
      </w:r>
    </w:p>
    <w:p w14:paraId="26713876" w14:textId="77777777" w:rsidR="00F16872" w:rsidRPr="006C237C" w:rsidRDefault="00F16872" w:rsidP="00F16872">
      <w:pPr>
        <w:numPr>
          <w:ilvl w:val="0"/>
          <w:numId w:val="37"/>
        </w:numPr>
        <w:spacing w:after="0" w:line="240" w:lineRule="auto"/>
        <w:rPr>
          <w:sz w:val="10"/>
        </w:rPr>
      </w:pPr>
      <w:r w:rsidRPr="006C237C">
        <w:rPr>
          <w:sz w:val="10"/>
        </w:rPr>
        <w:t>JP Morgan Chase,</w:t>
      </w:r>
    </w:p>
    <w:p w14:paraId="608FD6D0" w14:textId="77777777" w:rsidR="00F16872" w:rsidRPr="006C237C" w:rsidRDefault="00F16872" w:rsidP="00F16872">
      <w:pPr>
        <w:numPr>
          <w:ilvl w:val="0"/>
          <w:numId w:val="37"/>
        </w:numPr>
        <w:spacing w:after="0" w:line="240" w:lineRule="auto"/>
        <w:rPr>
          <w:rStyle w:val="StyleUnderline"/>
        </w:rPr>
      </w:pPr>
      <w:r w:rsidRPr="006C237C">
        <w:rPr>
          <w:rStyle w:val="StyleUnderline"/>
        </w:rPr>
        <w:t>Harris Associates,</w:t>
      </w:r>
    </w:p>
    <w:p w14:paraId="0930E280" w14:textId="77777777" w:rsidR="00F16872" w:rsidRPr="006C237C" w:rsidRDefault="00F16872" w:rsidP="00F16872">
      <w:pPr>
        <w:numPr>
          <w:ilvl w:val="0"/>
          <w:numId w:val="37"/>
        </w:numPr>
        <w:spacing w:after="0" w:line="240" w:lineRule="auto"/>
        <w:rPr>
          <w:rStyle w:val="StyleUnderline"/>
        </w:rPr>
      </w:pPr>
      <w:r w:rsidRPr="006C237C">
        <w:rPr>
          <w:rStyle w:val="StyleUnderline"/>
        </w:rPr>
        <w:t>Morgan Stanley,</w:t>
      </w:r>
    </w:p>
    <w:p w14:paraId="336E026C" w14:textId="77777777" w:rsidR="00F16872" w:rsidRPr="006C237C" w:rsidRDefault="00F16872" w:rsidP="00F16872">
      <w:pPr>
        <w:numPr>
          <w:ilvl w:val="0"/>
          <w:numId w:val="37"/>
        </w:numPr>
        <w:spacing w:after="0" w:line="240" w:lineRule="auto"/>
        <w:rPr>
          <w:sz w:val="10"/>
        </w:rPr>
      </w:pPr>
      <w:r w:rsidRPr="006C237C">
        <w:rPr>
          <w:sz w:val="10"/>
        </w:rPr>
        <w:t>Norges Bank Investment Management,</w:t>
      </w:r>
    </w:p>
    <w:p w14:paraId="1E5FAC5F" w14:textId="77777777" w:rsidR="00F16872" w:rsidRPr="006C237C" w:rsidRDefault="00F16872" w:rsidP="00F16872">
      <w:pPr>
        <w:numPr>
          <w:ilvl w:val="0"/>
          <w:numId w:val="37"/>
        </w:numPr>
        <w:spacing w:after="0" w:line="240" w:lineRule="auto"/>
        <w:rPr>
          <w:sz w:val="10"/>
        </w:rPr>
      </w:pPr>
      <w:r w:rsidRPr="006C237C">
        <w:rPr>
          <w:sz w:val="10"/>
        </w:rPr>
        <w:t>Newport Group,</w:t>
      </w:r>
    </w:p>
    <w:p w14:paraId="576488C2" w14:textId="77777777" w:rsidR="00F16872" w:rsidRPr="006C237C" w:rsidRDefault="00F16872" w:rsidP="00F16872">
      <w:pPr>
        <w:numPr>
          <w:ilvl w:val="0"/>
          <w:numId w:val="37"/>
        </w:numPr>
        <w:spacing w:after="0" w:line="240" w:lineRule="auto"/>
        <w:rPr>
          <w:sz w:val="10"/>
        </w:rPr>
      </w:pPr>
      <w:r w:rsidRPr="006C237C">
        <w:rPr>
          <w:sz w:val="10"/>
        </w:rPr>
        <w:t>Raven’s wing Asset Management,</w:t>
      </w:r>
    </w:p>
    <w:p w14:paraId="46DF68EC" w14:textId="77777777" w:rsidR="00F16872" w:rsidRPr="006C237C" w:rsidRDefault="00F16872" w:rsidP="00F16872">
      <w:pPr>
        <w:numPr>
          <w:ilvl w:val="0"/>
          <w:numId w:val="37"/>
        </w:numPr>
        <w:spacing w:after="0" w:line="240" w:lineRule="auto"/>
        <w:rPr>
          <w:rStyle w:val="StyleUnderline"/>
        </w:rPr>
      </w:pPr>
      <w:r w:rsidRPr="006C237C">
        <w:rPr>
          <w:rStyle w:val="StyleUnderline"/>
        </w:rPr>
        <w:t>State Farm Mutual Automobile Insurance,</w:t>
      </w:r>
    </w:p>
    <w:p w14:paraId="03C8F589" w14:textId="77777777" w:rsidR="00F16872" w:rsidRPr="006C237C" w:rsidRDefault="00F16872" w:rsidP="00F16872">
      <w:pPr>
        <w:numPr>
          <w:ilvl w:val="0"/>
          <w:numId w:val="37"/>
        </w:numPr>
        <w:spacing w:after="0" w:line="240" w:lineRule="auto"/>
        <w:rPr>
          <w:sz w:val="10"/>
        </w:rPr>
      </w:pPr>
      <w:r w:rsidRPr="006C237C">
        <w:rPr>
          <w:sz w:val="10"/>
        </w:rPr>
        <w:t>State Street Corporation,</w:t>
      </w:r>
    </w:p>
    <w:p w14:paraId="4F804D67" w14:textId="77777777" w:rsidR="00F16872" w:rsidRPr="006C237C" w:rsidRDefault="00F16872" w:rsidP="00F16872">
      <w:pPr>
        <w:numPr>
          <w:ilvl w:val="0"/>
          <w:numId w:val="37"/>
        </w:numPr>
        <w:spacing w:after="0" w:line="240" w:lineRule="auto"/>
        <w:rPr>
          <w:sz w:val="10"/>
        </w:rPr>
      </w:pPr>
      <w:r w:rsidRPr="006C237C">
        <w:rPr>
          <w:sz w:val="10"/>
        </w:rPr>
        <w:t>Union Investment Privatfonds,</w:t>
      </w:r>
    </w:p>
    <w:p w14:paraId="082650F2" w14:textId="77777777" w:rsidR="00F16872" w:rsidRPr="006C237C" w:rsidRDefault="00F16872" w:rsidP="00F16872">
      <w:pPr>
        <w:numPr>
          <w:ilvl w:val="0"/>
          <w:numId w:val="37"/>
        </w:numPr>
        <w:spacing w:after="0" w:line="240" w:lineRule="auto"/>
        <w:rPr>
          <w:sz w:val="10"/>
        </w:rPr>
      </w:pPr>
      <w:r w:rsidRPr="006C237C">
        <w:rPr>
          <w:sz w:val="10"/>
        </w:rPr>
        <w:t>Vanguard Group,</w:t>
      </w:r>
    </w:p>
    <w:p w14:paraId="40FC164D" w14:textId="77777777" w:rsidR="00F16872" w:rsidRPr="006C237C" w:rsidRDefault="00F16872" w:rsidP="00F16872">
      <w:pPr>
        <w:numPr>
          <w:ilvl w:val="0"/>
          <w:numId w:val="37"/>
        </w:numPr>
        <w:spacing w:after="0" w:line="240" w:lineRule="auto"/>
        <w:rPr>
          <w:rStyle w:val="StyleUnderline"/>
        </w:rPr>
      </w:pPr>
      <w:r w:rsidRPr="006C237C">
        <w:rPr>
          <w:rStyle w:val="StyleUnderline"/>
        </w:rPr>
        <w:t>Wellington, and</w:t>
      </w:r>
    </w:p>
    <w:p w14:paraId="21F05F44" w14:textId="77777777" w:rsidR="00F16872" w:rsidRPr="006C237C" w:rsidRDefault="00F16872" w:rsidP="00F16872">
      <w:pPr>
        <w:numPr>
          <w:ilvl w:val="0"/>
          <w:numId w:val="37"/>
        </w:numPr>
        <w:spacing w:after="0" w:line="240" w:lineRule="auto"/>
        <w:rPr>
          <w:rStyle w:val="StyleUnderline"/>
        </w:rPr>
      </w:pPr>
      <w:r w:rsidRPr="006C237C">
        <w:rPr>
          <w:rStyle w:val="StyleUnderline"/>
        </w:rPr>
        <w:t>Wells Fargo &amp; Company.</w:t>
      </w:r>
    </w:p>
    <w:p w14:paraId="1D837EA2" w14:textId="77777777" w:rsidR="00F16872" w:rsidRPr="006C237C" w:rsidRDefault="00F16872" w:rsidP="00F16872">
      <w:pPr>
        <w:rPr>
          <w:sz w:val="10"/>
        </w:rPr>
      </w:pPr>
      <w:r w:rsidRPr="006C237C">
        <w:rPr>
          <w:sz w:val="10"/>
        </w:rPr>
        <w:t>“</w:t>
      </w:r>
      <w:r w:rsidRPr="006C237C">
        <w:rPr>
          <w:rStyle w:val="StyleUnderline"/>
        </w:rPr>
        <w:t>Failure to prevent or mitigate t</w:t>
      </w:r>
      <w:r w:rsidRPr="006C237C">
        <w:rPr>
          <w:sz w:val="10"/>
        </w:rPr>
        <w:t xml:space="preserve">heir </w:t>
      </w:r>
      <w:r w:rsidRPr="006C237C">
        <w:rPr>
          <w:rStyle w:val="StyleUnderline"/>
          <w:highlight w:val="yellow"/>
        </w:rPr>
        <w:t>business relationships with</w:t>
      </w:r>
      <w:r w:rsidRPr="006C237C">
        <w:rPr>
          <w:rStyle w:val="StyleUnderline"/>
        </w:rPr>
        <w:t xml:space="preserve"> </w:t>
      </w:r>
      <w:r w:rsidRPr="006C237C">
        <w:rPr>
          <w:sz w:val="10"/>
        </w:rPr>
        <w:t xml:space="preserve">these </w:t>
      </w:r>
      <w:r w:rsidRPr="006C237C">
        <w:rPr>
          <w:rStyle w:val="Emphasis"/>
          <w:highlight w:val="yellow"/>
        </w:rPr>
        <w:t>arms manufacturers</w:t>
      </w:r>
      <w:r w:rsidRPr="006C237C">
        <w:rPr>
          <w:rStyle w:val="StyleUnderline"/>
        </w:rPr>
        <w:t xml:space="preserve"> transferring arms to Israel could move from being </w:t>
      </w:r>
      <w:r w:rsidRPr="006C237C">
        <w:rPr>
          <w:rStyle w:val="Emphasis"/>
          <w:highlight w:val="yellow"/>
        </w:rPr>
        <w:t>directly linked to human rights abuses</w:t>
      </w:r>
      <w:r w:rsidRPr="006C237C">
        <w:rPr>
          <w:rStyle w:val="StyleUnderline"/>
        </w:rPr>
        <w:t xml:space="preserve"> to contributing to them</w:t>
      </w:r>
      <w:r w:rsidRPr="006C237C">
        <w:rPr>
          <w:sz w:val="10"/>
        </w:rPr>
        <w:t>, with repercussions for complicity in potential atrocity crimes, the experts said”, the press release stated.</w:t>
      </w:r>
    </w:p>
    <w:p w14:paraId="589DD8E7" w14:textId="77777777" w:rsidR="00F16872" w:rsidRPr="006C237C" w:rsidRDefault="00F16872" w:rsidP="00F16872">
      <w:pPr>
        <w:rPr>
          <w:sz w:val="10"/>
        </w:rPr>
      </w:pPr>
      <w:r w:rsidRPr="006C237C">
        <w:rPr>
          <w:sz w:val="10"/>
        </w:rPr>
        <w:t>The United States sent Israel </w:t>
      </w:r>
      <w:hyperlink r:id="rId17" w:history="1">
        <w:r w:rsidRPr="006C237C">
          <w:rPr>
            <w:rStyle w:val="Hyperlink"/>
            <w:sz w:val="10"/>
          </w:rPr>
          <w:t>$3.8 billion in military aid every year</w:t>
        </w:r>
      </w:hyperlink>
      <w:r w:rsidRPr="006C237C">
        <w:rPr>
          <w:sz w:val="10"/>
        </w:rPr>
        <w:t> before the Gaza war broke out in October 2023. Since then, Washington has shipped </w:t>
      </w:r>
      <w:hyperlink r:id="rId18" w:history="1">
        <w:r w:rsidRPr="006C237C">
          <w:rPr>
            <w:rStyle w:val="Hyperlink"/>
            <w:sz w:val="10"/>
          </w:rPr>
          <w:t>billions more in arms and ammunition</w:t>
        </w:r>
      </w:hyperlink>
      <w:r w:rsidRPr="006C237C">
        <w:rPr>
          <w:sz w:val="10"/>
        </w:rPr>
        <w:t>.</w:t>
      </w:r>
    </w:p>
    <w:p w14:paraId="3A96FDC5" w14:textId="77777777" w:rsidR="00F16872" w:rsidRPr="006C237C" w:rsidRDefault="00F16872" w:rsidP="00F16872">
      <w:pPr>
        <w:rPr>
          <w:sz w:val="10"/>
        </w:rPr>
      </w:pPr>
      <w:r w:rsidRPr="006C237C">
        <w:rPr>
          <w:sz w:val="10"/>
        </w:rPr>
        <w:t>President Joe Biden claimed that if Israel invaded Rafah, the Gazan city where approximately a million Palestinian civilians were concentrated, it would cross a red line and he would stop supporting Tel Aviv. The US president lied, however, and </w:t>
      </w:r>
      <w:hyperlink r:id="rId19" w:history="1">
        <w:r w:rsidRPr="006C237C">
          <w:rPr>
            <w:rStyle w:val="Hyperlink"/>
            <w:sz w:val="10"/>
          </w:rPr>
          <w:t>approved another $1 billion in arms and ammo</w:t>
        </w:r>
      </w:hyperlink>
      <w:r w:rsidRPr="006C237C">
        <w:rPr>
          <w:sz w:val="10"/>
        </w:rPr>
        <w:t> after Israel attacked Rafah.</w:t>
      </w:r>
    </w:p>
    <w:p w14:paraId="4D923EF7" w14:textId="77777777" w:rsidR="00F16872" w:rsidRPr="006C237C" w:rsidRDefault="00F16872" w:rsidP="00F16872">
      <w:pPr>
        <w:rPr>
          <w:sz w:val="10"/>
        </w:rPr>
      </w:pPr>
      <w:r w:rsidRPr="006C237C">
        <w:rPr>
          <w:sz w:val="10"/>
        </w:rPr>
        <w:t>The </w:t>
      </w:r>
      <w:hyperlink r:id="rId20" w:history="1">
        <w:r w:rsidRPr="006C237C">
          <w:rPr>
            <w:rStyle w:val="Hyperlink"/>
            <w:sz w:val="10"/>
          </w:rPr>
          <w:t>US provides 65.6% of weapons exports to Israel</w:t>
        </w:r>
      </w:hyperlink>
      <w:r w:rsidRPr="006C237C">
        <w:rPr>
          <w:sz w:val="10"/>
        </w:rPr>
        <w:t>, followed by Germany at 29.7% and Italy at 4.7%.</w:t>
      </w:r>
    </w:p>
    <w:p w14:paraId="7E865FBF" w14:textId="77777777" w:rsidR="00F16872" w:rsidRPr="00351F6F" w:rsidRDefault="00F16872" w:rsidP="00F16872">
      <w:pPr>
        <w:rPr>
          <w:sz w:val="10"/>
        </w:rPr>
      </w:pPr>
      <w:r w:rsidRPr="00351F6F">
        <w:rPr>
          <w:sz w:val="10"/>
        </w:rPr>
        <w:t xml:space="preserve">[Figure Omitted] </w:t>
      </w:r>
    </w:p>
    <w:p w14:paraId="0414104F" w14:textId="77777777" w:rsidR="00F16872" w:rsidRPr="006C237C" w:rsidRDefault="00F16872" w:rsidP="00F16872">
      <w:pPr>
        <w:rPr>
          <w:rStyle w:val="StyleUnderline"/>
        </w:rPr>
      </w:pPr>
      <w:r w:rsidRPr="006C237C">
        <w:rPr>
          <w:rStyle w:val="StyleUnderline"/>
        </w:rPr>
        <w:t>Big banks on Wall Street</w:t>
      </w:r>
      <w:r w:rsidRPr="006C237C">
        <w:rPr>
          <w:sz w:val="10"/>
        </w:rPr>
        <w:t xml:space="preserve"> have </w:t>
      </w:r>
      <w:r w:rsidRPr="006C237C">
        <w:rPr>
          <w:rStyle w:val="StyleUnderline"/>
        </w:rPr>
        <w:t>helped Israel to fund its war on Gaza</w:t>
      </w:r>
      <w:r w:rsidRPr="006C237C">
        <w:rPr>
          <w:sz w:val="10"/>
        </w:rPr>
        <w:t xml:space="preserve">. In March, </w:t>
      </w:r>
      <w:r w:rsidRPr="006C237C">
        <w:rPr>
          <w:rStyle w:val="StyleUnderline"/>
        </w:rPr>
        <w:t>BNP Paribas, Bank of America, Deutsche Bank, and Goldman Sachs underwrote $8 billion in bonds for Israel.</w:t>
      </w:r>
    </w:p>
    <w:p w14:paraId="10C26C29" w14:textId="77777777" w:rsidR="00F16872" w:rsidRPr="006C237C" w:rsidRDefault="00F16872" w:rsidP="00F16872">
      <w:pPr>
        <w:rPr>
          <w:sz w:val="10"/>
        </w:rPr>
      </w:pPr>
      <w:r w:rsidRPr="006C237C">
        <w:rPr>
          <w:sz w:val="10"/>
        </w:rPr>
        <w:t>The muckraking website </w:t>
      </w:r>
      <w:hyperlink r:id="rId21" w:history="1">
        <w:r w:rsidRPr="006C237C">
          <w:rPr>
            <w:rStyle w:val="Hyperlink"/>
            <w:sz w:val="10"/>
          </w:rPr>
          <w:t>Wall Street on Parade noted</w:t>
        </w:r>
      </w:hyperlink>
      <w:r w:rsidRPr="006C237C">
        <w:rPr>
          <w:sz w:val="10"/>
        </w:rPr>
        <w:t>: “</w:t>
      </w:r>
      <w:r w:rsidRPr="006C237C">
        <w:rPr>
          <w:rStyle w:val="StyleUnderline"/>
        </w:rPr>
        <w:t>Supplementing bond underwriting by megabanks on Wall Street, Israel owns its own broker-dealer in the United States</w:t>
      </w:r>
      <w:r w:rsidRPr="006C237C">
        <w:rPr>
          <w:sz w:val="10"/>
        </w:rPr>
        <w:t xml:space="preserve"> – the Development Corporation for Israel, also known simply as Israel Bonds. Various iterations of the corporation operate in Germany, England, Canada and elsewhere. According to its website, </w:t>
      </w:r>
      <w:r w:rsidRPr="006C237C">
        <w:rPr>
          <w:rStyle w:val="StyleUnderline"/>
        </w:rPr>
        <w:t xml:space="preserve">global sales of Israel Bonds </w:t>
      </w:r>
      <w:r w:rsidRPr="006C237C">
        <w:rPr>
          <w:sz w:val="10"/>
        </w:rPr>
        <w:t>have</w:t>
      </w:r>
      <w:r w:rsidRPr="006C237C">
        <w:rPr>
          <w:rStyle w:val="StyleUnderline"/>
        </w:rPr>
        <w:t xml:space="preserve"> </w:t>
      </w:r>
      <w:r w:rsidRPr="006C237C">
        <w:rPr>
          <w:rStyle w:val="Emphasis"/>
        </w:rPr>
        <w:t>exceeded $1 billion</w:t>
      </w:r>
      <w:r w:rsidRPr="006C237C">
        <w:rPr>
          <w:rStyle w:val="StyleUnderline"/>
        </w:rPr>
        <w:t xml:space="preserve"> in each of the past four years</w:t>
      </w:r>
      <w:r w:rsidRPr="006C237C">
        <w:rPr>
          <w:sz w:val="10"/>
        </w:rPr>
        <w:t>”.</w:t>
      </w:r>
    </w:p>
    <w:p w14:paraId="0DBC22FC" w14:textId="77777777" w:rsidR="00F16872" w:rsidRPr="006C237C" w:rsidRDefault="00F16872" w:rsidP="00F16872">
      <w:pPr>
        <w:rPr>
          <w:sz w:val="10"/>
        </w:rPr>
      </w:pPr>
      <w:r w:rsidRPr="006C237C">
        <w:rPr>
          <w:sz w:val="10"/>
        </w:rPr>
        <w:t>Since October, numerous US state governments, run by both Republicans and Democrats, have bought </w:t>
      </w:r>
      <w:hyperlink r:id="rId22" w:history="1">
        <w:r w:rsidRPr="006C237C">
          <w:rPr>
            <w:rStyle w:val="Hyperlink"/>
            <w:sz w:val="10"/>
          </w:rPr>
          <w:t>hundreds of millions of dollars of Israel bonds</w:t>
        </w:r>
      </w:hyperlink>
      <w:r w:rsidRPr="006C237C">
        <w:rPr>
          <w:sz w:val="10"/>
        </w:rPr>
        <w:t>.</w:t>
      </w:r>
    </w:p>
    <w:p w14:paraId="0596D8F8" w14:textId="77777777" w:rsidR="00F16872" w:rsidRPr="006C237C" w:rsidRDefault="00F16872" w:rsidP="00F16872">
      <w:pPr>
        <w:rPr>
          <w:sz w:val="10"/>
        </w:rPr>
      </w:pPr>
      <w:r w:rsidRPr="006C237C">
        <w:rPr>
          <w:sz w:val="10"/>
        </w:rPr>
        <w:t>Asset managers on Wall Street have similarly faced scrutiny for their investments in Israel, as it carries out what the International Criminal Court has referred to as </w:t>
      </w:r>
      <w:hyperlink r:id="rId23" w:history="1">
        <w:r w:rsidRPr="006C237C">
          <w:rPr>
            <w:rStyle w:val="Hyperlink"/>
            <w:sz w:val="10"/>
          </w:rPr>
          <w:t>war crimes and crimes against humanity</w:t>
        </w:r>
      </w:hyperlink>
      <w:r w:rsidRPr="006C237C">
        <w:rPr>
          <w:sz w:val="10"/>
        </w:rPr>
        <w:t>.</w:t>
      </w:r>
    </w:p>
    <w:p w14:paraId="070E5726" w14:textId="77777777" w:rsidR="00F16872" w:rsidRPr="006C237C" w:rsidRDefault="00F16872" w:rsidP="00F16872">
      <w:pPr>
        <w:rPr>
          <w:sz w:val="10"/>
        </w:rPr>
      </w:pPr>
      <w:r w:rsidRPr="006C237C">
        <w:rPr>
          <w:sz w:val="10"/>
        </w:rPr>
        <w:t>Activists in New York City held </w:t>
      </w:r>
      <w:hyperlink r:id="rId24" w:history="1">
        <w:r w:rsidRPr="006C237C">
          <w:rPr>
            <w:rStyle w:val="Hyperlink"/>
            <w:sz w:val="10"/>
          </w:rPr>
          <w:t>protests outside BlackRock’s headquarters</w:t>
        </w:r>
      </w:hyperlink>
      <w:r w:rsidRPr="006C237C">
        <w:rPr>
          <w:sz w:val="10"/>
        </w:rPr>
        <w:t> in November, accusing the firm of profiting from Israel’s crimes.</w:t>
      </w:r>
    </w:p>
    <w:p w14:paraId="4C31F0FF" w14:textId="77777777" w:rsidR="00F16872" w:rsidRPr="006C237C" w:rsidRDefault="00F16872" w:rsidP="00F16872">
      <w:pPr>
        <w:rPr>
          <w:rStyle w:val="StyleUnderline"/>
        </w:rPr>
      </w:pPr>
      <w:r w:rsidRPr="006C237C">
        <w:rPr>
          <w:rStyle w:val="Emphasis"/>
          <w:highlight w:val="yellow"/>
        </w:rPr>
        <w:t xml:space="preserve">BlackRock </w:t>
      </w:r>
      <w:r w:rsidRPr="006C237C">
        <w:rPr>
          <w:sz w:val="10"/>
        </w:rPr>
        <w:t>is the</w:t>
      </w:r>
      <w:r w:rsidRPr="006C237C">
        <w:rPr>
          <w:rStyle w:val="Emphasis"/>
          <w:highlight w:val="yellow"/>
        </w:rPr>
        <w:t xml:space="preserve"> world’s largest investment company</w:t>
      </w:r>
      <w:r w:rsidRPr="006C237C">
        <w:rPr>
          <w:sz w:val="10"/>
        </w:rPr>
        <w:t>, with </w:t>
      </w:r>
      <w:hyperlink r:id="rId25" w:history="1">
        <w:r w:rsidRPr="006C237C">
          <w:rPr>
            <w:rStyle w:val="StyleUnderline"/>
          </w:rPr>
          <w:t>$10.5 trillion in assets under management</w:t>
        </w:r>
      </w:hyperlink>
      <w:r w:rsidRPr="006C237C">
        <w:rPr>
          <w:rStyle w:val="StyleUnderline"/>
        </w:rPr>
        <w:t>.</w:t>
      </w:r>
    </w:p>
    <w:p w14:paraId="32F73636" w14:textId="77777777" w:rsidR="00F16872" w:rsidRPr="006C237C" w:rsidRDefault="00F16872" w:rsidP="00F16872">
      <w:pPr>
        <w:rPr>
          <w:sz w:val="10"/>
        </w:rPr>
      </w:pPr>
      <w:r w:rsidRPr="006C237C">
        <w:rPr>
          <w:rStyle w:val="StyleUnderline"/>
          <w:highlight w:val="yellow"/>
        </w:rPr>
        <w:t>BlackRock has </w:t>
      </w:r>
      <w:hyperlink r:id="rId26" w:history="1">
        <w:r w:rsidRPr="006C237C">
          <w:rPr>
            <w:rStyle w:val="StyleUnderline"/>
            <w:highlight w:val="yellow"/>
          </w:rPr>
          <w:t>operated in Israel since 2016</w:t>
        </w:r>
      </w:hyperlink>
      <w:r w:rsidRPr="006C237C">
        <w:rPr>
          <w:sz w:val="10"/>
        </w:rPr>
        <w:t xml:space="preserve">, and </w:t>
      </w:r>
      <w:r w:rsidRPr="006C237C">
        <w:rPr>
          <w:rStyle w:val="Emphasis"/>
          <w:highlight w:val="yellow"/>
        </w:rPr>
        <w:t>strongly encourages</w:t>
      </w:r>
      <w:r w:rsidRPr="006C237C">
        <w:rPr>
          <w:rStyle w:val="StyleUnderline"/>
          <w:highlight w:val="yellow"/>
        </w:rPr>
        <w:t xml:space="preserve"> investments there</w:t>
      </w:r>
      <w:r w:rsidRPr="006C237C">
        <w:rPr>
          <w:sz w:val="10"/>
        </w:rPr>
        <w:t>.</w:t>
      </w:r>
    </w:p>
    <w:p w14:paraId="50E78BB6" w14:textId="77777777" w:rsidR="00F16872" w:rsidRDefault="00F16872" w:rsidP="00F16872"/>
    <w:p w14:paraId="5DE793A4" w14:textId="77777777" w:rsidR="00F16872" w:rsidRDefault="00F16872" w:rsidP="00F16872">
      <w:pPr>
        <w:pStyle w:val="Heading3"/>
      </w:pPr>
      <w:r>
        <w:t>Inequality</w:t>
      </w:r>
    </w:p>
    <w:p w14:paraId="1817E235" w14:textId="77777777" w:rsidR="00F16872" w:rsidRDefault="00F16872" w:rsidP="00F16872">
      <w:pPr>
        <w:pStyle w:val="Heading4"/>
      </w:pPr>
      <w:r>
        <w:t xml:space="preserve">Collective Bargaining solves </w:t>
      </w:r>
      <w:r w:rsidRPr="00710648">
        <w:rPr>
          <w:u w:val="single"/>
        </w:rPr>
        <w:t>nothing</w:t>
      </w:r>
      <w:r>
        <w:t>. Detection fails and no one brings suit.</w:t>
      </w:r>
    </w:p>
    <w:p w14:paraId="674DC6BF" w14:textId="77777777" w:rsidR="00F16872" w:rsidRDefault="00F16872" w:rsidP="00F16872">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2DCE6FC5" w14:textId="77777777" w:rsidR="00F16872" w:rsidRPr="00CD772A" w:rsidRDefault="00F16872" w:rsidP="00F16872">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to</w:t>
      </w:r>
      <w:r w:rsidRPr="00C37E76">
        <w:rPr>
          <w:rStyle w:val="StyleUnderline"/>
        </w:rPr>
        <w:t xml:space="preserve"> have an </w:t>
      </w:r>
      <w:r w:rsidRPr="00C37E76">
        <w:rPr>
          <w:rStyle w:val="Emphasis"/>
        </w:rPr>
        <w:t xml:space="preserve">incentive to </w:t>
      </w:r>
      <w:r w:rsidRPr="001C152D">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C37E76">
        <w:rPr>
          <w:rStyle w:val="Emphasis"/>
        </w:rPr>
        <w:t>in practice</w:t>
      </w:r>
      <w:r w:rsidRPr="00CD772A">
        <w:rPr>
          <w:sz w:val="16"/>
        </w:rPr>
        <w:t xml:space="preserve">? </w:t>
      </w:r>
      <w:r w:rsidRPr="00C37E76">
        <w:rPr>
          <w:rStyle w:val="StyleUnderline"/>
        </w:rPr>
        <w:t xml:space="preserve">The </w:t>
      </w:r>
      <w:r w:rsidRPr="001C152D">
        <w:rPr>
          <w:rStyle w:val="StyleUnderline"/>
          <w:highlight w:val="cyan"/>
        </w:rPr>
        <w:t>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63A29EFF" w14:textId="77777777" w:rsidR="00F16872" w:rsidRPr="00CD772A" w:rsidRDefault="00F16872" w:rsidP="00F16872">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C37E76">
        <w:rPr>
          <w:rStyle w:val="StyleUnderline"/>
        </w:rPr>
        <w:t>three years</w:t>
      </w:r>
      <w:r w:rsidRPr="00C37E76">
        <w:rPr>
          <w:sz w:val="16"/>
        </w:rPr>
        <w:t xml:space="preserve">, </w:t>
      </w:r>
      <w:r w:rsidRPr="00C37E76">
        <w:rPr>
          <w:rStyle w:val="StyleUnderline"/>
        </w:rPr>
        <w:t xml:space="preserve">the </w:t>
      </w:r>
      <w:r w:rsidRPr="00C37E76">
        <w:rPr>
          <w:rStyle w:val="Emphasis"/>
        </w:rPr>
        <w:t>maximum length</w:t>
      </w:r>
      <w:r w:rsidRPr="00C37E76">
        <w:rPr>
          <w:rStyle w:val="StyleUnderline"/>
        </w:rPr>
        <w:t xml:space="preserve"> for which </w:t>
      </w:r>
      <w:r w:rsidRPr="00C37E76">
        <w:rPr>
          <w:rStyle w:val="Emphasis"/>
        </w:rPr>
        <w:t>back wages</w:t>
      </w:r>
      <w:r w:rsidRPr="00C37E76">
        <w:rPr>
          <w:rStyle w:val="StyleUnderline"/>
        </w:rPr>
        <w:t xml:space="preserve"> can be claimed</w:t>
      </w:r>
      <w:r w:rsidRPr="00CD772A">
        <w:rPr>
          <w:sz w:val="16"/>
        </w:rPr>
        <w:t xml:space="preserve">). This finding illustrates that </w:t>
      </w:r>
      <w:r w:rsidRPr="00C37E76">
        <w:rPr>
          <w:rStyle w:val="StyleUnderline"/>
        </w:rPr>
        <w:t>even under</w:t>
      </w:r>
      <w:r w:rsidRPr="00CD772A">
        <w:rPr>
          <w:sz w:val="16"/>
        </w:rPr>
        <w:t xml:space="preserve"> relatively </w:t>
      </w:r>
      <w:r w:rsidRPr="00C37E76">
        <w:rPr>
          <w:rStyle w:val="Emphasis"/>
        </w:rPr>
        <w:t>effective targeting</w:t>
      </w:r>
      <w:r w:rsidRPr="00CD772A">
        <w:rPr>
          <w:sz w:val="16"/>
        </w:rPr>
        <w:t xml:space="preserve">, </w:t>
      </w:r>
      <w:r w:rsidRPr="001C152D">
        <w:rPr>
          <w:rStyle w:val="StyleUnderline"/>
          <w:highlight w:val="cyan"/>
        </w:rPr>
        <w:t>detection</w:t>
      </w:r>
      <w:r w:rsidRPr="00C37E76">
        <w:rPr>
          <w:rStyle w:val="StyleUnderline"/>
        </w:rPr>
        <w:t xml:space="preserve"> probabilities would </w:t>
      </w:r>
      <w:r w:rsidRPr="001C152D">
        <w:rPr>
          <w:rStyle w:val="StyleUnderline"/>
          <w:highlight w:val="cyan"/>
        </w:rPr>
        <w:t xml:space="preserve">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70BA92F2" w14:textId="77777777" w:rsidR="00F16872" w:rsidRPr="00CD772A" w:rsidRDefault="00F16872" w:rsidP="00F16872">
      <w:pPr>
        <w:rPr>
          <w:sz w:val="16"/>
        </w:rPr>
      </w:pPr>
      <w:r w:rsidRPr="00C37E76">
        <w:rPr>
          <w:rStyle w:val="StyleUnderline"/>
        </w:rPr>
        <w:t>Given the</w:t>
      </w:r>
      <w:r w:rsidRPr="00C37E76">
        <w:rPr>
          <w:sz w:val="16"/>
        </w:rPr>
        <w:t xml:space="preserve"> relative </w:t>
      </w:r>
      <w:r w:rsidRPr="00C37E76">
        <w:rPr>
          <w:rStyle w:val="StyleUnderline"/>
        </w:rPr>
        <w:t xml:space="preserve">scarcity of </w:t>
      </w:r>
      <w:r w:rsidRPr="00C37E76">
        <w:rPr>
          <w:rStyle w:val="Emphasis"/>
        </w:rPr>
        <w:t>inspection resources</w:t>
      </w:r>
      <w:r w:rsidRPr="00C37E76">
        <w:rPr>
          <w:sz w:val="16"/>
        </w:rPr>
        <w:t xml:space="preserve">, </w:t>
      </w:r>
      <w:r w:rsidRPr="00C37E76">
        <w:rPr>
          <w:rStyle w:val="StyleUnderline"/>
        </w:rPr>
        <w:t xml:space="preserve">worker-initiated actions are a </w:t>
      </w:r>
      <w:r w:rsidRPr="00C37E76">
        <w:rPr>
          <w:rStyle w:val="Emphasis"/>
        </w:rPr>
        <w:t>key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C37E76">
        <w:rPr>
          <w:rStyle w:val="Emphasis"/>
        </w:rPr>
        <w:t>particularly true</w:t>
      </w:r>
      <w:r w:rsidRPr="00C37E76">
        <w:rPr>
          <w:rStyle w:val="StyleUnderline"/>
        </w:rPr>
        <w:t xml:space="preserve"> for the </w:t>
      </w:r>
      <w:r w:rsidRPr="00C37E76">
        <w:rPr>
          <w:rStyle w:val="Emphasis"/>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40A446D9" w14:textId="77777777" w:rsidR="00F16872" w:rsidRPr="00641FCA" w:rsidRDefault="00F16872" w:rsidP="00F16872">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C37E76">
        <w:rPr>
          <w:rStyle w:val="StyleUnderline"/>
        </w:rPr>
        <w:t xml:space="preserve">losing their job if the firm is </w:t>
      </w:r>
      <w:r w:rsidRPr="00C37E76">
        <w:rPr>
          <w:rStyle w:val="Emphasis"/>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w:t>
      </w:r>
      <w:r w:rsidRPr="00C37E76">
        <w:rPr>
          <w:rStyle w:val="Emphasis"/>
          <w:highlight w:val="cyan"/>
        </w:rPr>
        <w:t>e on</w:t>
      </w:r>
      <w:r w:rsidRPr="00641FCA">
        <w:rPr>
          <w:rStyle w:val="StyleUnderline"/>
        </w:rPr>
        <w:t xml:space="preserve"> </w:t>
      </w:r>
      <w:r w:rsidRPr="00C37E76">
        <w:rPr>
          <w:rStyle w:val="StyleUnderline"/>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C37E76">
        <w:rPr>
          <w:rStyle w:val="StyleUnderline"/>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w:t>
      </w:r>
      <w:r w:rsidRPr="00C37E76">
        <w:rPr>
          <w:rStyle w:val="Emphasis"/>
        </w:rPr>
        <w:t xml:space="preserve"> financially </w:t>
      </w:r>
      <w:r w:rsidRPr="001C152D">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793ED343" w14:textId="77777777" w:rsidR="00F16872" w:rsidRPr="007E52CF" w:rsidRDefault="00F16872" w:rsidP="00F16872"/>
    <w:p w14:paraId="7A3BA8C6" w14:textId="77777777" w:rsidR="00F16872" w:rsidRPr="003D1CE8" w:rsidRDefault="00F16872" w:rsidP="00F16872">
      <w:pPr>
        <w:pStyle w:val="Heading4"/>
      </w:pPr>
      <w:r>
        <w:t xml:space="preserve">A focus on legalistic approaches to labor rights </w:t>
      </w:r>
      <w:r>
        <w:rPr>
          <w:u w:val="single"/>
        </w:rPr>
        <w:t>undermines</w:t>
      </w:r>
      <w:r>
        <w:t xml:space="preserve"> militancy and </w:t>
      </w:r>
      <w:r>
        <w:rPr>
          <w:u w:val="single"/>
        </w:rPr>
        <w:t>collective worker power</w:t>
      </w:r>
      <w:r>
        <w:t xml:space="preserve"> by </w:t>
      </w:r>
      <w:r>
        <w:rPr>
          <w:u w:val="single"/>
        </w:rPr>
        <w:t>individualizing</w:t>
      </w:r>
      <w:r>
        <w:t xml:space="preserve"> labor struggle. It siphons energy and financial resources into </w:t>
      </w:r>
      <w:r>
        <w:rPr>
          <w:u w:val="single"/>
        </w:rPr>
        <w:t>dead-end politics</w:t>
      </w:r>
      <w:r>
        <w:t xml:space="preserve"> that trades off with </w:t>
      </w:r>
      <w:r>
        <w:rPr>
          <w:u w:val="single"/>
        </w:rPr>
        <w:t>direct counteroffensives</w:t>
      </w:r>
      <w:r>
        <w:t xml:space="preserve"> against neoliberalism.</w:t>
      </w:r>
    </w:p>
    <w:p w14:paraId="5DC6A273" w14:textId="77777777" w:rsidR="00F16872" w:rsidRPr="00A66E94" w:rsidRDefault="00F16872" w:rsidP="00F16872">
      <w:r w:rsidRPr="00366473">
        <w:rPr>
          <w:rStyle w:val="Style13ptBold"/>
        </w:rPr>
        <w:t xml:space="preserve">Savage 09 </w:t>
      </w:r>
      <w:r>
        <w:t>(</w:t>
      </w:r>
      <w:r w:rsidRPr="00A66E94">
        <w:t>Larry.</w:t>
      </w:r>
      <w:r>
        <w:t xml:space="preserve"> Professor of Labour Studies, Brock University. PhD, York University.</w:t>
      </w:r>
      <w:r w:rsidRPr="00A66E94">
        <w:t xml:space="preserve"> "Workers' rights as human rights: Organized labor and rights discourse in Canada." </w:t>
      </w:r>
      <w:r w:rsidRPr="00A66E94">
        <w:rPr>
          <w:i/>
          <w:iCs/>
        </w:rPr>
        <w:t>Labor Studies Journal </w:t>
      </w:r>
      <w:r w:rsidRPr="00A66E94">
        <w:t>34, no. 1 (2009): 8-20</w:t>
      </w:r>
      <w:r>
        <w:t>)</w:t>
      </w:r>
    </w:p>
    <w:p w14:paraId="2852EC9F" w14:textId="77777777" w:rsidR="00F16872" w:rsidRPr="00855CC8" w:rsidRDefault="00F16872" w:rsidP="00F16872">
      <w:pPr>
        <w:ind w:firstLine="720"/>
        <w:rPr>
          <w:u w:val="single"/>
        </w:rPr>
      </w:pPr>
      <w:r w:rsidRPr="0046336A">
        <w:rPr>
          <w:sz w:val="14"/>
        </w:rPr>
        <w:t xml:space="preserve">This article takes aim at the strategic use of human rights discourse in the Canadian labor movement. In doing so, it builds on the work of </w:t>
      </w:r>
      <w:r w:rsidRPr="0046336A">
        <w:rPr>
          <w:rStyle w:val="Emphasis"/>
        </w:rPr>
        <w:t>labor historians</w:t>
      </w:r>
      <w:r w:rsidRPr="0046336A">
        <w:rPr>
          <w:sz w:val="14"/>
        </w:rPr>
        <w:t xml:space="preserve"> who have </w:t>
      </w:r>
      <w:r w:rsidRPr="00366473">
        <w:rPr>
          <w:u w:val="single"/>
        </w:rPr>
        <w:t>argued that</w:t>
      </w:r>
      <w:r w:rsidRPr="0046336A">
        <w:rPr>
          <w:sz w:val="14"/>
        </w:rPr>
        <w:t xml:space="preserve"> </w:t>
      </w:r>
      <w:r w:rsidRPr="00043DFA">
        <w:rPr>
          <w:rStyle w:val="Emphasis"/>
          <w:highlight w:val="yellow"/>
        </w:rPr>
        <w:t>rights-based</w:t>
      </w:r>
      <w:r w:rsidRPr="00043DFA">
        <w:rPr>
          <w:highlight w:val="yellow"/>
          <w:u w:val="single"/>
        </w:rPr>
        <w:t xml:space="preserve"> </w:t>
      </w:r>
      <w:r w:rsidRPr="00043DFA">
        <w:rPr>
          <w:b/>
          <w:bCs/>
          <w:highlight w:val="yellow"/>
          <w:u w:val="single"/>
        </w:rPr>
        <w:t>approaches</w:t>
      </w:r>
      <w:r w:rsidRPr="00043DFA">
        <w:rPr>
          <w:highlight w:val="yellow"/>
          <w:u w:val="single"/>
        </w:rPr>
        <w:t xml:space="preserve"> </w:t>
      </w:r>
      <w:r w:rsidRPr="00043DFA">
        <w:rPr>
          <w:rStyle w:val="Emphasis"/>
          <w:highlight w:val="yellow"/>
        </w:rPr>
        <w:t>undermine labor militancy</w:t>
      </w:r>
      <w:r w:rsidRPr="00366473">
        <w:rPr>
          <w:u w:val="single"/>
        </w:rPr>
        <w:t xml:space="preserve"> </w:t>
      </w:r>
      <w:r w:rsidRPr="00043DFA">
        <w:rPr>
          <w:highlight w:val="yellow"/>
          <w:u w:val="single"/>
        </w:rPr>
        <w:t xml:space="preserve">and </w:t>
      </w:r>
      <w:r w:rsidRPr="00043DFA">
        <w:rPr>
          <w:b/>
          <w:bCs/>
          <w:highlight w:val="yellow"/>
          <w:u w:val="single"/>
        </w:rPr>
        <w:t>foster</w:t>
      </w:r>
      <w:r w:rsidRPr="00366473">
        <w:rPr>
          <w:u w:val="single"/>
        </w:rPr>
        <w:t xml:space="preserve"> a sense of </w:t>
      </w:r>
      <w:r w:rsidRPr="00043DFA">
        <w:rPr>
          <w:rStyle w:val="Emphasis"/>
          <w:highlight w:val="yellow"/>
        </w:rPr>
        <w:t>individualism in workers</w:t>
      </w:r>
      <w:r w:rsidRPr="00043DFA">
        <w:rPr>
          <w:highlight w:val="yellow"/>
          <w:u w:val="single"/>
        </w:rPr>
        <w:t xml:space="preserve"> rather than</w:t>
      </w:r>
      <w:r w:rsidRPr="00366473">
        <w:rPr>
          <w:u w:val="single"/>
        </w:rPr>
        <w:t xml:space="preserve"> the sense of </w:t>
      </w:r>
      <w:r w:rsidRPr="00043DFA">
        <w:rPr>
          <w:rStyle w:val="Emphasis"/>
          <w:highlight w:val="yellow"/>
        </w:rPr>
        <w:t>collective worker power</w:t>
      </w:r>
      <w:r w:rsidRPr="00366473">
        <w:rPr>
          <w:rStyle w:val="Emphasis"/>
        </w:rPr>
        <w:t xml:space="preserve"> required </w:t>
      </w:r>
      <w:r w:rsidRPr="00043DFA">
        <w:rPr>
          <w:rStyle w:val="Emphasis"/>
          <w:highlight w:val="yellow"/>
        </w:rPr>
        <w:t>to transform society</w:t>
      </w:r>
      <w:r w:rsidRPr="0046336A">
        <w:rPr>
          <w:sz w:val="14"/>
        </w:rPr>
        <w:t xml:space="preserve"> (McCartin 2005; Lichtenstein 2003; Brody 2001). This article contends that </w:t>
      </w:r>
      <w:r w:rsidRPr="00366473">
        <w:rPr>
          <w:u w:val="single"/>
        </w:rPr>
        <w:t xml:space="preserve">the </w:t>
      </w:r>
      <w:r w:rsidRPr="00043DFA">
        <w:rPr>
          <w:b/>
          <w:bCs/>
          <w:highlight w:val="yellow"/>
          <w:u w:val="single"/>
        </w:rPr>
        <w:t>pursuit</w:t>
      </w:r>
      <w:r w:rsidRPr="00043DFA">
        <w:rPr>
          <w:highlight w:val="yellow"/>
          <w:u w:val="single"/>
        </w:rPr>
        <w:t xml:space="preserve"> of</w:t>
      </w:r>
      <w:r w:rsidRPr="00366473">
        <w:rPr>
          <w:u w:val="single"/>
        </w:rPr>
        <w:t xml:space="preserve"> a </w:t>
      </w:r>
      <w:r w:rsidRPr="00043DFA">
        <w:rPr>
          <w:rStyle w:val="Emphasis"/>
          <w:highlight w:val="yellow"/>
        </w:rPr>
        <w:t>workers’ rights</w:t>
      </w:r>
      <w:r w:rsidRPr="0046336A">
        <w:rPr>
          <w:sz w:val="14"/>
        </w:rPr>
        <w:t xml:space="preserve"> as human rights agenda, </w:t>
      </w:r>
      <w:r w:rsidRPr="00366473">
        <w:rPr>
          <w:u w:val="single"/>
        </w:rPr>
        <w:t xml:space="preserve">based on liberal rights discourse, </w:t>
      </w:r>
      <w:r w:rsidRPr="00043DFA">
        <w:rPr>
          <w:b/>
          <w:bCs/>
          <w:highlight w:val="yellow"/>
          <w:u w:val="single"/>
        </w:rPr>
        <w:t>threatens</w:t>
      </w:r>
      <w:r w:rsidRPr="0046336A">
        <w:rPr>
          <w:sz w:val="14"/>
        </w:rPr>
        <w:t xml:space="preserve">, over time, </w:t>
      </w:r>
      <w:r w:rsidRPr="00043DFA">
        <w:rPr>
          <w:rStyle w:val="Emphasis"/>
          <w:highlight w:val="yellow"/>
        </w:rPr>
        <w:t>to depoliticize</w:t>
      </w:r>
      <w:r w:rsidRPr="00366473">
        <w:rPr>
          <w:u w:val="single"/>
        </w:rPr>
        <w:t xml:space="preserve"> traditional class-based </w:t>
      </w:r>
      <w:r w:rsidRPr="0046336A">
        <w:rPr>
          <w:b/>
          <w:bCs/>
          <w:u w:val="single"/>
        </w:rPr>
        <w:t>approaches</w:t>
      </w:r>
      <w:r w:rsidRPr="00366473">
        <w:rPr>
          <w:u w:val="single"/>
        </w:rPr>
        <w:t xml:space="preserve"> to advancing workers’ rights</w:t>
      </w:r>
      <w:r w:rsidRPr="0046336A">
        <w:rPr>
          <w:sz w:val="14"/>
        </w:rPr>
        <w:t xml:space="preserve"> in Canada </w:t>
      </w:r>
      <w:r w:rsidRPr="00043DFA">
        <w:rPr>
          <w:highlight w:val="yellow"/>
          <w:u w:val="single"/>
        </w:rPr>
        <w:t xml:space="preserve">because </w:t>
      </w:r>
      <w:r w:rsidRPr="00043DFA">
        <w:rPr>
          <w:rStyle w:val="Emphasis"/>
          <w:highlight w:val="yellow"/>
        </w:rPr>
        <w:t>they rely</w:t>
      </w:r>
      <w:r w:rsidRPr="00366473">
        <w:rPr>
          <w:rStyle w:val="Emphasis"/>
        </w:rPr>
        <w:t xml:space="preserve"> primarily </w:t>
      </w:r>
      <w:r w:rsidRPr="00043DFA">
        <w:rPr>
          <w:rStyle w:val="Emphasis"/>
          <w:highlight w:val="yellow"/>
        </w:rPr>
        <w:t>on elite-driven judicial strategies</w:t>
      </w:r>
      <w:r w:rsidRPr="0046336A">
        <w:rPr>
          <w:sz w:val="14"/>
        </w:rPr>
        <w:t xml:space="preserve">. The argument is further premised on the notion that liberal human rights discourse, on which the workers’ rights as human rights approach is based, does little to address the inequalities in wealth that polarize Canadian society along class lines. </w:t>
      </w:r>
      <w:r w:rsidRPr="00855CC8">
        <w:rPr>
          <w:u w:val="single"/>
        </w:rPr>
        <w:t xml:space="preserve">In advanced capitalist countries </w:t>
      </w:r>
      <w:r w:rsidRPr="0046336A">
        <w:rPr>
          <w:sz w:val="14"/>
        </w:rPr>
        <w:t>like Canada,</w:t>
      </w:r>
      <w:r w:rsidRPr="00855CC8">
        <w:rPr>
          <w:u w:val="single"/>
        </w:rPr>
        <w:t xml:space="preserve"> </w:t>
      </w:r>
      <w:r w:rsidRPr="00855CC8">
        <w:rPr>
          <w:rStyle w:val="Emphasis"/>
        </w:rPr>
        <w:t xml:space="preserve">the </w:t>
      </w:r>
      <w:r w:rsidRPr="00043DFA">
        <w:rPr>
          <w:rStyle w:val="Emphasis"/>
          <w:highlight w:val="yellow"/>
        </w:rPr>
        <w:t>power of labor does not flow from rights</w:t>
      </w:r>
      <w:r w:rsidRPr="00855CC8">
        <w:rPr>
          <w:u w:val="single"/>
        </w:rPr>
        <w:t xml:space="preserve">. Rather, </w:t>
      </w:r>
      <w:r w:rsidRPr="00043DFA">
        <w:rPr>
          <w:rStyle w:val="Emphasis"/>
          <w:highlight w:val="yellow"/>
        </w:rPr>
        <w:t>rights flow from labor’s</w:t>
      </w:r>
      <w:r w:rsidRPr="00855CC8">
        <w:rPr>
          <w:rStyle w:val="Emphasis"/>
        </w:rPr>
        <w:t xml:space="preserve"> political </w:t>
      </w:r>
      <w:r w:rsidRPr="00043DFA">
        <w:rPr>
          <w:rStyle w:val="Emphasis"/>
          <w:highlight w:val="yellow"/>
        </w:rPr>
        <w:t>power</w:t>
      </w:r>
      <w:r w:rsidRPr="00855CC8">
        <w:rPr>
          <w:rStyle w:val="Emphasis"/>
        </w:rPr>
        <w:t>.</w:t>
      </w:r>
      <w:r w:rsidRPr="0046336A">
        <w:rPr>
          <w:sz w:val="14"/>
        </w:rPr>
        <w:t xml:space="preserve"> As such, </w:t>
      </w:r>
      <w:r w:rsidRPr="00043DFA">
        <w:rPr>
          <w:rStyle w:val="Emphasis"/>
          <w:highlight w:val="yellow"/>
        </w:rPr>
        <w:t>rights-based prescriptions</w:t>
      </w:r>
      <w:r w:rsidRPr="00855CC8">
        <w:rPr>
          <w:u w:val="single"/>
        </w:rPr>
        <w:t xml:space="preserve">, which </w:t>
      </w:r>
      <w:r w:rsidRPr="00043DFA">
        <w:rPr>
          <w:highlight w:val="yellow"/>
          <w:u w:val="single"/>
        </w:rPr>
        <w:t xml:space="preserve">rely on a </w:t>
      </w:r>
      <w:r w:rsidRPr="00043DFA">
        <w:rPr>
          <w:rStyle w:val="Emphasis"/>
          <w:highlight w:val="yellow"/>
        </w:rPr>
        <w:t>narrow liberal interpretation</w:t>
      </w:r>
      <w:r w:rsidRPr="00855CC8">
        <w:rPr>
          <w:u w:val="single"/>
        </w:rPr>
        <w:t xml:space="preserve"> of freedom of association, </w:t>
      </w:r>
      <w:r w:rsidRPr="00043DFA">
        <w:rPr>
          <w:b/>
          <w:bCs/>
          <w:highlight w:val="yellow"/>
          <w:u w:val="single"/>
        </w:rPr>
        <w:t>can never</w:t>
      </w:r>
      <w:r w:rsidRPr="00855CC8">
        <w:rPr>
          <w:u w:val="single"/>
        </w:rPr>
        <w:t xml:space="preserve"> fully </w:t>
      </w:r>
      <w:r w:rsidRPr="00043DFA">
        <w:rPr>
          <w:b/>
          <w:bCs/>
          <w:highlight w:val="yellow"/>
          <w:u w:val="single"/>
        </w:rPr>
        <w:t>replace</w:t>
      </w:r>
      <w:r w:rsidRPr="00043DFA">
        <w:rPr>
          <w:highlight w:val="yellow"/>
          <w:u w:val="single"/>
        </w:rPr>
        <w:t xml:space="preserve"> </w:t>
      </w:r>
      <w:r w:rsidRPr="00043DFA">
        <w:rPr>
          <w:rStyle w:val="Emphasis"/>
          <w:highlight w:val="yellow"/>
        </w:rPr>
        <w:t>sustained class-based mobilizations</w:t>
      </w:r>
      <w:r w:rsidRPr="00855CC8">
        <w:rPr>
          <w:u w:val="single"/>
        </w:rPr>
        <w:t xml:space="preserve"> as a </w:t>
      </w:r>
      <w:r w:rsidRPr="00855CC8">
        <w:rPr>
          <w:b/>
          <w:bCs/>
          <w:u w:val="single"/>
        </w:rPr>
        <w:t>political</w:t>
      </w:r>
      <w:r w:rsidRPr="00855CC8">
        <w:rPr>
          <w:u w:val="single"/>
        </w:rPr>
        <w:t xml:space="preserve"> </w:t>
      </w:r>
      <w:r w:rsidRPr="00855CC8">
        <w:rPr>
          <w:b/>
          <w:bCs/>
          <w:u w:val="single"/>
        </w:rPr>
        <w:t>tool</w:t>
      </w:r>
      <w:r w:rsidRPr="00855CC8">
        <w:rPr>
          <w:u w:val="single"/>
        </w:rPr>
        <w:t xml:space="preserve"> for organized labor.</w:t>
      </w:r>
    </w:p>
    <w:p w14:paraId="104C573F" w14:textId="77777777" w:rsidR="00F16872" w:rsidRPr="0046336A" w:rsidRDefault="00F16872" w:rsidP="00F16872">
      <w:pPr>
        <w:rPr>
          <w:sz w:val="6"/>
          <w:szCs w:val="6"/>
        </w:rPr>
      </w:pPr>
      <w:r w:rsidRPr="0046336A">
        <w:rPr>
          <w:sz w:val="6"/>
          <w:szCs w:val="6"/>
        </w:rPr>
        <w:t xml:space="preserve">Early </w:t>
      </w:r>
      <w:r w:rsidRPr="0046336A">
        <w:rPr>
          <w:i/>
          <w:iCs/>
          <w:sz w:val="6"/>
          <w:szCs w:val="6"/>
        </w:rPr>
        <w:t>Charter</w:t>
      </w:r>
      <w:r w:rsidRPr="0046336A">
        <w:rPr>
          <w:sz w:val="6"/>
          <w:szCs w:val="6"/>
        </w:rPr>
        <w:t xml:space="preserve"> Decisions</w:t>
      </w:r>
    </w:p>
    <w:p w14:paraId="5BBBCA4D" w14:textId="77777777" w:rsidR="00F16872" w:rsidRPr="0046336A" w:rsidRDefault="00F16872" w:rsidP="00F16872">
      <w:pPr>
        <w:rPr>
          <w:sz w:val="6"/>
          <w:szCs w:val="6"/>
        </w:rPr>
      </w:pPr>
      <w:r w:rsidRPr="0046336A">
        <w:rPr>
          <w:sz w:val="6"/>
          <w:szCs w:val="6"/>
        </w:rPr>
        <w:t xml:space="preserve">Canadian labor law has played an important role historically in defending private property rights and maintaining the prevailing economic orthodoxy through suppression of workers’ collective action (Fudge and Tucker 2001). With the advent of the </w:t>
      </w:r>
      <w:r w:rsidRPr="0046336A">
        <w:rPr>
          <w:i/>
          <w:iCs/>
          <w:sz w:val="6"/>
          <w:szCs w:val="6"/>
        </w:rPr>
        <w:t>Charter of Rights and Freedoms</w:t>
      </w:r>
      <w:r w:rsidRPr="0046336A">
        <w:rPr>
          <w:sz w:val="6"/>
          <w:szCs w:val="6"/>
        </w:rPr>
        <w:t xml:space="preserve"> in 1982, there were no expectations from the labor movement that anything would change for the better (Savage 2007). The first round of significant labor-related Charter challenges came in 1987, five years after the adoption of Canada’s Constitution, when the Supreme Court made a set of simultaneous judgments on appeals from three separate cases: </w:t>
      </w:r>
      <w:r w:rsidRPr="0046336A">
        <w:rPr>
          <w:i/>
          <w:iCs/>
          <w:sz w:val="6"/>
          <w:szCs w:val="6"/>
        </w:rPr>
        <w:t>Reference re Public Service Employees Relations Act</w:t>
      </w:r>
      <w:r w:rsidRPr="0046336A">
        <w:rPr>
          <w:sz w:val="6"/>
          <w:szCs w:val="6"/>
        </w:rPr>
        <w:t xml:space="preserve"> (Alta.) (1987; hereinafter “</w:t>
      </w:r>
      <w:r w:rsidRPr="0046336A">
        <w:rPr>
          <w:i/>
          <w:iCs/>
          <w:sz w:val="6"/>
          <w:szCs w:val="6"/>
        </w:rPr>
        <w:t>Alberta Reference</w:t>
      </w:r>
      <w:r w:rsidRPr="0046336A">
        <w:rPr>
          <w:sz w:val="6"/>
          <w:szCs w:val="6"/>
        </w:rPr>
        <w:t xml:space="preserve">”); </w:t>
      </w:r>
      <w:r w:rsidRPr="0046336A">
        <w:rPr>
          <w:i/>
          <w:iCs/>
          <w:sz w:val="6"/>
          <w:szCs w:val="6"/>
        </w:rPr>
        <w:t>Public Service Alliance of Canada v. Canada</w:t>
      </w:r>
      <w:r w:rsidRPr="0046336A">
        <w:rPr>
          <w:sz w:val="6"/>
          <w:szCs w:val="6"/>
        </w:rPr>
        <w:t xml:space="preserve"> (1987; hereinafter “PSAC”); and </w:t>
      </w:r>
      <w:r w:rsidRPr="0046336A">
        <w:rPr>
          <w:i/>
          <w:iCs/>
          <w:sz w:val="6"/>
          <w:szCs w:val="6"/>
        </w:rPr>
        <w:t>Retail, Wholesale and Department Store Union Locals 544 et al. v. Government of Saskatchewan</w:t>
      </w:r>
      <w:r w:rsidRPr="0046336A">
        <w:rPr>
          <w:sz w:val="6"/>
          <w:szCs w:val="6"/>
        </w:rPr>
        <w:t xml:space="preserve"> (1987; hereinafter “</w:t>
      </w:r>
      <w:r w:rsidRPr="0046336A">
        <w:rPr>
          <w:i/>
          <w:iCs/>
          <w:sz w:val="6"/>
          <w:szCs w:val="6"/>
        </w:rPr>
        <w:t>RWDSU</w:t>
      </w:r>
      <w:r w:rsidRPr="0046336A">
        <w:rPr>
          <w:sz w:val="6"/>
          <w:szCs w:val="6"/>
        </w:rPr>
        <w:t>”). These three cases involving the right to strike became known as the “Labour Trilogy.”</w:t>
      </w:r>
    </w:p>
    <w:p w14:paraId="4E4CD193" w14:textId="77777777" w:rsidR="00F16872" w:rsidRPr="0046336A" w:rsidRDefault="00F16872" w:rsidP="00F16872">
      <w:pPr>
        <w:rPr>
          <w:sz w:val="6"/>
          <w:szCs w:val="6"/>
        </w:rPr>
      </w:pPr>
      <w:r w:rsidRPr="0046336A">
        <w:rPr>
          <w:sz w:val="6"/>
          <w:szCs w:val="6"/>
        </w:rPr>
        <w:tab/>
        <w:t xml:space="preserve">The first case dealt with the Alberta government’s complete prohibition of strikes by firefighters, police officers, and hospital workers. Justice Le Dain, writing for the majority, dismissed the union’s </w:t>
      </w:r>
      <w:r w:rsidRPr="0046336A">
        <w:rPr>
          <w:i/>
          <w:iCs/>
          <w:sz w:val="6"/>
          <w:szCs w:val="6"/>
        </w:rPr>
        <w:t>Charter</w:t>
      </w:r>
      <w:r w:rsidRPr="0046336A">
        <w:rPr>
          <w:sz w:val="6"/>
          <w:szCs w:val="6"/>
        </w:rPr>
        <w:t xml:space="preserve"> challenge and upheld the government’s legislation that prohibited essential service workers in Alberta from going on strike. The court noted that the </w:t>
      </w:r>
      <w:r w:rsidRPr="0046336A">
        <w:rPr>
          <w:i/>
          <w:iCs/>
          <w:sz w:val="6"/>
          <w:szCs w:val="6"/>
        </w:rPr>
        <w:t>Charter’s</w:t>
      </w:r>
      <w:r w:rsidRPr="0046336A">
        <w:rPr>
          <w:sz w:val="6"/>
          <w:szCs w:val="6"/>
        </w:rPr>
        <w:t xml:space="preserve"> protection of individual rights could not be extended to collective groups and, by extension, to collective action. According to the majority, “The rights for which constitutional protection is sought—the modern rights to bargain collectively and to strike, involving correlative duties or obligations resting on an employer—are not fundamental rights or freedoms” (</w:t>
      </w:r>
      <w:r w:rsidRPr="0046336A">
        <w:rPr>
          <w:i/>
          <w:iCs/>
          <w:sz w:val="6"/>
          <w:szCs w:val="6"/>
        </w:rPr>
        <w:t>Alberta Reference</w:t>
      </w:r>
      <w:r w:rsidRPr="0046336A">
        <w:rPr>
          <w:sz w:val="6"/>
          <w:szCs w:val="6"/>
        </w:rPr>
        <w:t xml:space="preserve"> 1987, 391 para. 142). Instead, the Court argued that “they are the creation of legislation, involving a balance of competing interests in a field which has been recognized by the courts as requiring special expertise” (</w:t>
      </w:r>
      <w:r w:rsidRPr="0046336A">
        <w:rPr>
          <w:i/>
          <w:iCs/>
          <w:sz w:val="6"/>
          <w:szCs w:val="6"/>
        </w:rPr>
        <w:t>Alberta Reference</w:t>
      </w:r>
      <w:r w:rsidRPr="0046336A">
        <w:rPr>
          <w:sz w:val="6"/>
          <w:szCs w:val="6"/>
        </w:rPr>
        <w:t xml:space="preserve"> 1987, 391 para. 142). The Court went on to explain that “labour law . . . is based upon a political and economic compromise between organized labour—a very powerful socio-economic force—on one hand, and employers of labour—an equally powerful socio-economic force—on the other. The balance between the two forces is delicate and the public-at-large depends for its security and welfare on the maintenance of that balance” (</w:t>
      </w:r>
      <w:r w:rsidRPr="0046336A">
        <w:rPr>
          <w:i/>
          <w:iCs/>
          <w:sz w:val="6"/>
          <w:szCs w:val="6"/>
        </w:rPr>
        <w:t>Alberta Reference</w:t>
      </w:r>
      <w:r w:rsidRPr="0046336A">
        <w:rPr>
          <w:sz w:val="6"/>
          <w:szCs w:val="6"/>
        </w:rPr>
        <w:t xml:space="preserve"> 1987, 414 para. 180).</w:t>
      </w:r>
    </w:p>
    <w:p w14:paraId="7410D9ED" w14:textId="77777777" w:rsidR="00F16872" w:rsidRPr="0046336A" w:rsidRDefault="00F16872" w:rsidP="00F16872">
      <w:pPr>
        <w:rPr>
          <w:sz w:val="6"/>
          <w:szCs w:val="6"/>
        </w:rPr>
      </w:pPr>
      <w:r w:rsidRPr="0046336A">
        <w:rPr>
          <w:sz w:val="6"/>
          <w:szCs w:val="6"/>
        </w:rPr>
        <w:tab/>
        <w:t xml:space="preserve">The same judicial rationale used in the </w:t>
      </w:r>
      <w:r w:rsidRPr="0046336A">
        <w:rPr>
          <w:i/>
          <w:iCs/>
          <w:sz w:val="6"/>
          <w:szCs w:val="6"/>
        </w:rPr>
        <w:t>Alberta Reference</w:t>
      </w:r>
      <w:r w:rsidRPr="0046336A">
        <w:rPr>
          <w:sz w:val="6"/>
          <w:szCs w:val="6"/>
        </w:rPr>
        <w:t xml:space="preserve"> case was used to deal with the </w:t>
      </w:r>
      <w:r w:rsidRPr="0046336A">
        <w:rPr>
          <w:i/>
          <w:iCs/>
          <w:sz w:val="6"/>
          <w:szCs w:val="6"/>
        </w:rPr>
        <w:t>Charter</w:t>
      </w:r>
      <w:r w:rsidRPr="0046336A">
        <w:rPr>
          <w:sz w:val="6"/>
          <w:szCs w:val="6"/>
        </w:rPr>
        <w:t xml:space="preserve"> claims of the Public Service Alliance of Canada (PSAC) and the Retail, Wholesale and Department Store Union (RWDSU). In the case of </w:t>
      </w:r>
      <w:r w:rsidRPr="0046336A">
        <w:rPr>
          <w:i/>
          <w:iCs/>
          <w:sz w:val="6"/>
          <w:szCs w:val="6"/>
        </w:rPr>
        <w:t>PSAC</w:t>
      </w:r>
      <w:r w:rsidRPr="0046336A">
        <w:rPr>
          <w:sz w:val="6"/>
          <w:szCs w:val="6"/>
        </w:rPr>
        <w:t xml:space="preserve">, the union’s challenge to the federal government’s prohibition of strikes in the public service was rejected; and in the case of the </w:t>
      </w:r>
      <w:r w:rsidRPr="0046336A">
        <w:rPr>
          <w:i/>
          <w:iCs/>
          <w:sz w:val="6"/>
          <w:szCs w:val="6"/>
        </w:rPr>
        <w:t>RWDSU</w:t>
      </w:r>
      <w:r w:rsidRPr="0046336A">
        <w:rPr>
          <w:sz w:val="6"/>
          <w:szCs w:val="6"/>
        </w:rPr>
        <w:t>, the court upheld the Saskatchewan government’s law prohibiting strikes in the province’s dairy industry.</w:t>
      </w:r>
    </w:p>
    <w:p w14:paraId="45855E05" w14:textId="77777777" w:rsidR="00F16872" w:rsidRPr="0046336A" w:rsidRDefault="00F16872" w:rsidP="00F16872">
      <w:pPr>
        <w:rPr>
          <w:sz w:val="6"/>
          <w:szCs w:val="6"/>
        </w:rPr>
      </w:pPr>
      <w:r w:rsidRPr="0046336A">
        <w:rPr>
          <w:sz w:val="6"/>
          <w:szCs w:val="6"/>
        </w:rPr>
        <w:tab/>
        <w:t xml:space="preserve">Despite the labor movement’s universal denunciation of the Supreme Court decisions, the Canadian Labour Congress (CLC), the country’s largest central labor body, had no intention of doing anything to influence future </w:t>
      </w:r>
      <w:r w:rsidRPr="0046336A">
        <w:rPr>
          <w:i/>
          <w:iCs/>
          <w:sz w:val="6"/>
          <w:szCs w:val="6"/>
        </w:rPr>
        <w:t>Charter</w:t>
      </w:r>
      <w:r w:rsidRPr="0046336A">
        <w:rPr>
          <w:sz w:val="6"/>
          <w:szCs w:val="6"/>
        </w:rPr>
        <w:t xml:space="preserve"> decisions concerning workers’ rights. Months after the Labour Trilogy rulings, in a presentation to the federal government’s Special Joint Committee of the 1987 Constitutional Accord, CLC staff member Ron Lang stated, “There is a fundamental point on the question of enshrining labour rights in the </w:t>
      </w:r>
      <w:r w:rsidRPr="0046336A">
        <w:rPr>
          <w:i/>
          <w:iCs/>
          <w:sz w:val="6"/>
          <w:szCs w:val="6"/>
        </w:rPr>
        <w:t>Charter of Rights</w:t>
      </w:r>
      <w:r w:rsidRPr="0046336A">
        <w:rPr>
          <w:sz w:val="6"/>
          <w:szCs w:val="6"/>
        </w:rPr>
        <w:t xml:space="preserve">. The question is whether they should be enshrined in a </w:t>
      </w:r>
      <w:r w:rsidRPr="0046336A">
        <w:rPr>
          <w:i/>
          <w:iCs/>
          <w:sz w:val="6"/>
          <w:szCs w:val="6"/>
        </w:rPr>
        <w:t>Charter of Rights</w:t>
      </w:r>
      <w:r w:rsidRPr="0046336A">
        <w:rPr>
          <w:sz w:val="6"/>
          <w:szCs w:val="6"/>
        </w:rPr>
        <w:t>, thereby handing the power to interpret our rights to a court, or whether those rights should remain silent in the Charter. We will fight it out with the politicians provincially and federally on election day” (Canada 1987, 10:12).</w:t>
      </w:r>
    </w:p>
    <w:p w14:paraId="2874C8A6" w14:textId="77777777" w:rsidR="00F16872" w:rsidRPr="0046336A" w:rsidRDefault="00F16872" w:rsidP="00F16872">
      <w:pPr>
        <w:rPr>
          <w:sz w:val="6"/>
          <w:szCs w:val="6"/>
        </w:rPr>
      </w:pPr>
      <w:r w:rsidRPr="0046336A">
        <w:rPr>
          <w:sz w:val="6"/>
          <w:szCs w:val="6"/>
        </w:rPr>
        <w:tab/>
        <w:t>The CLC’s executive vice president, Nancy Riche, confirmed the CLC’s judicial reservations by expressing the view that “as much as we are not crazy about a lot of the politicians who are in power across the country, we would still want to take our chances with the political leaders and the lobby effort and the pressure we could bring to bear on getting change as it affects the trade union movement, as opposed to leaving it to the courts” (Canada 1987, 10:17). The CLC’s preference for the political arena over the judicial arena was hardly surprising given the labor movement’s long-standing antipathy toward the courts. As Gregory Hein has pointed out, “For more than a century, few organizations entered the courtroom to affect public policy. It was possible to have a complete understanding of Canadian politics without ever thinking about interest group litigation. The labour movement concentrated on the party system because courts did little to help workers; relying on the assumptions of classical liberalism, judges allowed market forces to settle most issues” (Hein 2000).</w:t>
      </w:r>
    </w:p>
    <w:p w14:paraId="23425230" w14:textId="77777777" w:rsidR="00F16872" w:rsidRPr="0046336A" w:rsidRDefault="00F16872" w:rsidP="00F16872">
      <w:pPr>
        <w:rPr>
          <w:sz w:val="6"/>
          <w:szCs w:val="6"/>
        </w:rPr>
      </w:pPr>
      <w:r w:rsidRPr="0046336A">
        <w:rPr>
          <w:sz w:val="6"/>
          <w:szCs w:val="6"/>
        </w:rPr>
        <w:tab/>
        <w:t xml:space="preserve">The Labour Trilogy rulings confirmed organized labor’s worst suspicions about the </w:t>
      </w:r>
      <w:r w:rsidRPr="0046336A">
        <w:rPr>
          <w:i/>
          <w:iCs/>
          <w:sz w:val="6"/>
          <w:szCs w:val="6"/>
        </w:rPr>
        <w:t>Charter’s</w:t>
      </w:r>
      <w:r w:rsidRPr="0046336A">
        <w:rPr>
          <w:sz w:val="6"/>
          <w:szCs w:val="6"/>
        </w:rPr>
        <w:t xml:space="preserve"> bias against collective rights for workers. </w:t>
      </w:r>
      <w:r w:rsidRPr="0046336A">
        <w:rPr>
          <w:i/>
          <w:iCs/>
          <w:sz w:val="6"/>
          <w:szCs w:val="6"/>
        </w:rPr>
        <w:t>Subsequent Charter</w:t>
      </w:r>
      <w:r w:rsidRPr="0046336A">
        <w:rPr>
          <w:sz w:val="6"/>
          <w:szCs w:val="6"/>
        </w:rPr>
        <w:t xml:space="preserve"> decisions added insult to injury. In </w:t>
      </w:r>
      <w:r w:rsidRPr="0046336A">
        <w:rPr>
          <w:i/>
          <w:iCs/>
          <w:sz w:val="6"/>
          <w:szCs w:val="6"/>
        </w:rPr>
        <w:t>Professional Institute of Public Service of Canada v. Northwest Territories (Commissioner)</w:t>
      </w:r>
      <w:r w:rsidRPr="0046336A">
        <w:rPr>
          <w:sz w:val="6"/>
          <w:szCs w:val="6"/>
        </w:rPr>
        <w:t xml:space="preserve"> (1990), the Professional Institute of the Public Service of Canada (PIPS), which was seeking to represent nurses in the Northwest Territories, launched a Charter challenge against a government statute that restricted the number of incorporated collective bargaining groups that could operate in the territory. The law, which effectively prevented PIPS from representing the nurses, gave the government complete discretion over whether or not to admit new bargaining agents into the territory. The Supreme Court dismissed the union’s </w:t>
      </w:r>
      <w:r w:rsidRPr="0046336A">
        <w:rPr>
          <w:i/>
          <w:iCs/>
          <w:sz w:val="6"/>
          <w:szCs w:val="6"/>
        </w:rPr>
        <w:t>Charter</w:t>
      </w:r>
      <w:r w:rsidRPr="0046336A">
        <w:rPr>
          <w:sz w:val="6"/>
          <w:szCs w:val="6"/>
        </w:rPr>
        <w:t xml:space="preserve"> challenge on the basis that the constitutional validity of the right to collective bargaining had been put to rest in the Labour Trilogy decisions. The Court reasoned that since workers do not have the constitutional right to bargain collectively, it would follow that a law restricting the number of unions that were able to engage in collective bargaining could not be considered a constitutional violation. To make matters worse, in </w:t>
      </w:r>
      <w:r w:rsidRPr="0046336A">
        <w:rPr>
          <w:i/>
          <w:iCs/>
          <w:sz w:val="6"/>
          <w:szCs w:val="6"/>
        </w:rPr>
        <w:t>International Longshoremen’s and Warehousemen’s Union Canada Area Local 500 v. Canada</w:t>
      </w:r>
      <w:r w:rsidRPr="0046336A">
        <w:rPr>
          <w:sz w:val="6"/>
          <w:szCs w:val="6"/>
        </w:rPr>
        <w:t xml:space="preserve"> (1994), the Supreme Court ruled, in a one paragraph decision, that the federal government’s use of back-to-work legislation to end a labor dispute in the longshoring industry did not constitute a violation of the </w:t>
      </w:r>
      <w:r w:rsidRPr="0046336A">
        <w:rPr>
          <w:i/>
          <w:iCs/>
          <w:sz w:val="6"/>
          <w:szCs w:val="6"/>
        </w:rPr>
        <w:t>Charter’s</w:t>
      </w:r>
      <w:r w:rsidRPr="0046336A">
        <w:rPr>
          <w:sz w:val="6"/>
          <w:szCs w:val="6"/>
        </w:rPr>
        <w:t xml:space="preserve"> guarantee of freedom of association, reaffirming the Court’s earlier decisions.</w:t>
      </w:r>
    </w:p>
    <w:p w14:paraId="4257B2A9" w14:textId="77777777" w:rsidR="00F16872" w:rsidRPr="0046336A" w:rsidRDefault="00F16872" w:rsidP="00F16872">
      <w:pPr>
        <w:rPr>
          <w:sz w:val="6"/>
          <w:szCs w:val="6"/>
        </w:rPr>
      </w:pPr>
      <w:r w:rsidRPr="0046336A">
        <w:rPr>
          <w:sz w:val="6"/>
          <w:szCs w:val="6"/>
        </w:rPr>
        <w:tab/>
        <w:t>With such a poor track record at the Supreme Court, unions increasingly looked to the ILO as an alternate forum to help protect the rights of workers (Fudge 2004; Burkett 2003). The ILO is a tripartite branch of the United Nations that promotes internationally recognized labor standards through the development of conventions. The ILO’s Committee on Freedom of Association assesses alleged contraventions of international labor conventions by member states. However, the ILO has no credible mechanism to enforce its conventions and therefore relies on a system of diplomatic pressure and voluntary compliance. Although the federal government of Canada claims a high degree of compliance with fundamental labor rights as elaborated by the ILO, in reality, Canada’s record at the ILO has been quite dismal.</w:t>
      </w:r>
    </w:p>
    <w:p w14:paraId="396DD237" w14:textId="77777777" w:rsidR="00F16872" w:rsidRPr="0046336A" w:rsidRDefault="00F16872" w:rsidP="00F16872">
      <w:pPr>
        <w:rPr>
          <w:sz w:val="6"/>
          <w:szCs w:val="6"/>
        </w:rPr>
      </w:pPr>
      <w:r w:rsidRPr="0046336A">
        <w:rPr>
          <w:sz w:val="6"/>
          <w:szCs w:val="6"/>
        </w:rPr>
        <w:tab/>
        <w:t>One of the most interesting developments at the ILO in recent years has been the Canadian state’s growing reputation as one of the world’s greatest offenders in the realm of freedom of association. Complaints filed against Canadian federal and provincial governments represented over 5 percent of all complaints filed with the ILO between 1982 and 2005; violations of principles of freedom of association were found in approximately 63 percent of these complaints (Fudge 2005, 65).</w:t>
      </w:r>
    </w:p>
    <w:p w14:paraId="45265322" w14:textId="77777777" w:rsidR="00F16872" w:rsidRPr="0046336A" w:rsidRDefault="00F16872" w:rsidP="00F16872">
      <w:pPr>
        <w:rPr>
          <w:sz w:val="6"/>
          <w:szCs w:val="6"/>
        </w:rPr>
      </w:pPr>
      <w:r w:rsidRPr="0046336A">
        <w:rPr>
          <w:sz w:val="6"/>
          <w:szCs w:val="6"/>
        </w:rPr>
        <w:tab/>
        <w:t>Although it is clear from the empirical evidence that Canada has been the subject of a disproportionately large number of freedom of association complaints in recent years, it would be naïve to assert that the rights and freedoms of Canadian workers are being violated on a more regular basis than the rights and freedoms of workers in other advanced capitalist countries. Indeed, the assault on trade union freedoms has been global in scope; however, trade union responses to the assault have been varied. According to Panitch and Swartz, in the Canadian context, “Such complaints reflect a dialectic between state behaviour and the inclinations of trade unions in individual countries to make use of the ILO’s capacity for moral suasion against governments” (Panitch and Swartz 2003, 49). Panitch and Swartz go on to argue that a national labor movement’s relationship to the ILO is determined by a number of different factors including a labor movement’s attitude toward the ILO, a labor movement’s general approach to legalized politics, and the availability of other judicial outlets (Panitch and Swartz 2003, 50).</w:t>
      </w:r>
    </w:p>
    <w:p w14:paraId="6A50204E" w14:textId="77777777" w:rsidR="00F16872" w:rsidRPr="0046336A" w:rsidRDefault="00F16872" w:rsidP="00F16872">
      <w:pPr>
        <w:rPr>
          <w:sz w:val="6"/>
          <w:szCs w:val="6"/>
        </w:rPr>
      </w:pPr>
      <w:r w:rsidRPr="0046336A">
        <w:rPr>
          <w:sz w:val="6"/>
          <w:szCs w:val="6"/>
        </w:rPr>
        <w:tab/>
        <w:t>Apparently, many unions feel that federal and provincial governments in Canada can be embarrassed into complying with ILO conventions and recommendations on basic workers’ rights due to the country’s reputation as a leader in the area of international human rights. However, Canadian governments have historically shown little openness toward the ILO’s Committee on Freedom of Association, insisting instead that their violations of international labor standards were “temporary” and were only used in “emergency” situations. Panitch and Swartz (2003) have characterized this type of government response as “permanent exceptionalism,” arguing that temporary restrictive measures on labor rights have become a permanent fixture in Canadian labor relations.</w:t>
      </w:r>
    </w:p>
    <w:p w14:paraId="1EF45230" w14:textId="77777777" w:rsidR="00F16872" w:rsidRPr="00855CC8" w:rsidRDefault="00F16872" w:rsidP="00F16872">
      <w:pPr>
        <w:rPr>
          <w:rStyle w:val="Emphasis"/>
        </w:rPr>
      </w:pPr>
      <w:r w:rsidRPr="0046336A">
        <w:rPr>
          <w:sz w:val="14"/>
        </w:rPr>
        <w:tab/>
        <w:t xml:space="preserve">Despite what may appear to be greater disregard for ILO decisions among governments in Canada, one should not expect the number of complaints emanating from Canadian unions to decrease anytime soon. </w:t>
      </w:r>
      <w:r w:rsidRPr="00043DFA">
        <w:rPr>
          <w:b/>
          <w:bCs/>
          <w:highlight w:val="yellow"/>
          <w:u w:val="single"/>
        </w:rPr>
        <w:t xml:space="preserve">Filing a </w:t>
      </w:r>
      <w:r w:rsidRPr="00CB0CE3">
        <w:rPr>
          <w:b/>
          <w:bCs/>
          <w:u w:val="single"/>
        </w:rPr>
        <w:t>complaint</w:t>
      </w:r>
      <w:r w:rsidRPr="00CB0CE3">
        <w:rPr>
          <w:u w:val="single"/>
        </w:rPr>
        <w:t xml:space="preserve"> and</w:t>
      </w:r>
      <w:r w:rsidRPr="00855CC8">
        <w:rPr>
          <w:u w:val="single"/>
        </w:rPr>
        <w:t xml:space="preserve"> initiating a symbolic </w:t>
      </w:r>
      <w:r w:rsidRPr="00043DFA">
        <w:rPr>
          <w:rStyle w:val="Emphasis"/>
          <w:highlight w:val="yellow"/>
        </w:rPr>
        <w:t>legal challenge</w:t>
      </w:r>
      <w:r w:rsidRPr="0046336A">
        <w:rPr>
          <w:sz w:val="14"/>
        </w:rPr>
        <w:t xml:space="preserve"> to neoliberalism </w:t>
      </w:r>
      <w:r w:rsidRPr="00855CC8">
        <w:rPr>
          <w:u w:val="single"/>
        </w:rPr>
        <w:t xml:space="preserve">are an easy </w:t>
      </w:r>
      <w:r w:rsidRPr="00855CC8">
        <w:rPr>
          <w:b/>
          <w:bCs/>
          <w:u w:val="single"/>
        </w:rPr>
        <w:t>out</w:t>
      </w:r>
      <w:r w:rsidRPr="00855CC8">
        <w:rPr>
          <w:u w:val="single"/>
        </w:rPr>
        <w:t xml:space="preserve"> for </w:t>
      </w:r>
      <w:r w:rsidRPr="00855CC8">
        <w:rPr>
          <w:rStyle w:val="Emphasis"/>
        </w:rPr>
        <w:t>unions</w:t>
      </w:r>
      <w:r w:rsidRPr="00855CC8">
        <w:rPr>
          <w:u w:val="single"/>
        </w:rPr>
        <w:t xml:space="preserve"> that lack </w:t>
      </w:r>
      <w:r w:rsidRPr="0046336A">
        <w:rPr>
          <w:sz w:val="14"/>
        </w:rPr>
        <w:t xml:space="preserve">both </w:t>
      </w:r>
      <w:r w:rsidRPr="00855CC8">
        <w:rPr>
          <w:u w:val="single"/>
        </w:rPr>
        <w:t>the political will and the capacity to develop class-based, grassroots, fight-back strategies</w:t>
      </w:r>
      <w:r w:rsidRPr="0046336A">
        <w:rPr>
          <w:sz w:val="14"/>
        </w:rPr>
        <w:t xml:space="preserve"> (Panitch and Swartz 2003). When the ILO rules against a government and recommends ways that labor relations can be improved, organized labor cheers and declares victory. However, again, the results are more symbolic than substantive, particularly because the ILO has no real enforcement mechanism and because Canadian politicians have routinely dismissed the role of the ILO in domestic affairs (Norman 2004). In many ways, the lack of strategic capacity within the Canadian labor movement dictates the use of narrow legal channels rather than rank-and-file mobilization (Gindin and Panitch 2000; Panitch and Swartz 2003). A cynic may even suggest that from the perspective of the Canadian labor leadership, a complaint to the ILO’s Committee on Freedom of Association </w:t>
      </w:r>
      <w:r w:rsidRPr="00043DFA">
        <w:rPr>
          <w:highlight w:val="yellow"/>
          <w:u w:val="single"/>
        </w:rPr>
        <w:t xml:space="preserve">serves to </w:t>
      </w:r>
      <w:r w:rsidRPr="00043DFA">
        <w:rPr>
          <w:rStyle w:val="Emphasis"/>
          <w:highlight w:val="yellow"/>
        </w:rPr>
        <w:t>pacify</w:t>
      </w:r>
      <w:r w:rsidRPr="00043DFA">
        <w:rPr>
          <w:highlight w:val="yellow"/>
          <w:u w:val="single"/>
        </w:rPr>
        <w:t xml:space="preserve"> the</w:t>
      </w:r>
      <w:r w:rsidRPr="00855CC8">
        <w:rPr>
          <w:u w:val="single"/>
        </w:rPr>
        <w:t xml:space="preserve"> rank-and-file union </w:t>
      </w:r>
      <w:r w:rsidRPr="00043DFA">
        <w:rPr>
          <w:b/>
          <w:bCs/>
          <w:highlight w:val="yellow"/>
          <w:u w:val="single"/>
        </w:rPr>
        <w:t>membership</w:t>
      </w:r>
      <w:r w:rsidRPr="00855CC8">
        <w:rPr>
          <w:u w:val="single"/>
        </w:rPr>
        <w:t xml:space="preserve"> while </w:t>
      </w:r>
      <w:r w:rsidRPr="00043DFA">
        <w:rPr>
          <w:rStyle w:val="Emphasis"/>
          <w:highlight w:val="yellow"/>
        </w:rPr>
        <w:t>alleviating pressure</w:t>
      </w:r>
      <w:r w:rsidRPr="00043DFA">
        <w:rPr>
          <w:highlight w:val="yellow"/>
          <w:u w:val="single"/>
        </w:rPr>
        <w:t xml:space="preserve"> to mount </w:t>
      </w:r>
      <w:r w:rsidRPr="00043DFA">
        <w:rPr>
          <w:rStyle w:val="Emphasis"/>
          <w:highlight w:val="yellow"/>
        </w:rPr>
        <w:t>an aggressive grassroots counteroffensive.</w:t>
      </w:r>
    </w:p>
    <w:p w14:paraId="1E01CCF6" w14:textId="77777777" w:rsidR="00F16872" w:rsidRPr="0046336A" w:rsidRDefault="00F16872" w:rsidP="00F16872">
      <w:pPr>
        <w:rPr>
          <w:sz w:val="14"/>
        </w:rPr>
      </w:pPr>
      <w:r w:rsidRPr="0046336A">
        <w:rPr>
          <w:sz w:val="14"/>
        </w:rPr>
        <w:tab/>
        <w:t xml:space="preserve">Although early </w:t>
      </w:r>
      <w:r w:rsidRPr="0046336A">
        <w:rPr>
          <w:i/>
          <w:iCs/>
          <w:sz w:val="14"/>
        </w:rPr>
        <w:t>Charter</w:t>
      </w:r>
      <w:r w:rsidRPr="0046336A">
        <w:rPr>
          <w:sz w:val="14"/>
        </w:rPr>
        <w:t xml:space="preserve"> decisions prompted organized labor in Canada to seek out alternate legal venues—like the ILO—to air their grievances, the Canadian labor movement did not abandon domestic litigation altogether. After all, symbolic victories at the international level did little to effect change in Canada. However, in recent years, renewed efforts to litigate domestically have taken on an international dimension, with decidedly mixed results.</w:t>
      </w:r>
    </w:p>
    <w:p w14:paraId="4620C4D2" w14:textId="77777777" w:rsidR="00F16872" w:rsidRPr="0046336A" w:rsidRDefault="00F16872" w:rsidP="00F16872">
      <w:pPr>
        <w:rPr>
          <w:sz w:val="14"/>
        </w:rPr>
      </w:pPr>
      <w:r w:rsidRPr="0046336A">
        <w:rPr>
          <w:sz w:val="14"/>
        </w:rPr>
        <w:t xml:space="preserve">Recent </w:t>
      </w:r>
      <w:r w:rsidRPr="0046336A">
        <w:rPr>
          <w:i/>
          <w:iCs/>
          <w:sz w:val="14"/>
        </w:rPr>
        <w:t>Charter</w:t>
      </w:r>
      <w:r w:rsidRPr="0046336A">
        <w:rPr>
          <w:sz w:val="14"/>
        </w:rPr>
        <w:t xml:space="preserve"> Decisions</w:t>
      </w:r>
    </w:p>
    <w:p w14:paraId="722B82C1" w14:textId="77777777" w:rsidR="00F16872" w:rsidRPr="0046336A" w:rsidRDefault="00F16872" w:rsidP="00F16872">
      <w:pPr>
        <w:rPr>
          <w:i/>
          <w:iCs/>
          <w:sz w:val="14"/>
        </w:rPr>
      </w:pPr>
      <w:r w:rsidRPr="0046336A">
        <w:rPr>
          <w:sz w:val="14"/>
        </w:rPr>
        <w:t xml:space="preserve">A number of </w:t>
      </w:r>
      <w:r w:rsidRPr="00043DFA">
        <w:rPr>
          <w:rStyle w:val="Emphasis"/>
          <w:highlight w:val="yellow"/>
        </w:rPr>
        <w:t>recent favorable</w:t>
      </w:r>
      <w:r w:rsidRPr="0046336A">
        <w:rPr>
          <w:sz w:val="14"/>
        </w:rPr>
        <w:t xml:space="preserve"> Canadian Supreme Court </w:t>
      </w:r>
      <w:r w:rsidRPr="00043DFA">
        <w:rPr>
          <w:rStyle w:val="Emphasis"/>
          <w:highlight w:val="yellow"/>
        </w:rPr>
        <w:t>decisions regarding labor rights</w:t>
      </w:r>
      <w:r w:rsidRPr="0046336A">
        <w:rPr>
          <w:sz w:val="14"/>
        </w:rPr>
        <w:t xml:space="preserve"> have marked a turning point in the relationship between the courts and organized labor. </w:t>
      </w:r>
      <w:r w:rsidRPr="0046336A">
        <w:rPr>
          <w:i/>
          <w:iCs/>
          <w:sz w:val="14"/>
        </w:rPr>
        <w:t>In U.F.C.W. v. K-Mart</w:t>
      </w:r>
      <w:r w:rsidRPr="0046336A">
        <w:rPr>
          <w:sz w:val="14"/>
        </w:rPr>
        <w:t xml:space="preserve"> (1999), the Court ruled that a union’s right to leaflet outside a workplace was a protected form of Freedom of Expression. </w:t>
      </w:r>
      <w:r w:rsidRPr="00855CC8">
        <w:rPr>
          <w:i/>
          <w:iCs/>
          <w:u w:val="single"/>
        </w:rPr>
        <w:t>Dunmore v. Ontario</w:t>
      </w:r>
      <w:r w:rsidRPr="00855CC8">
        <w:rPr>
          <w:u w:val="single"/>
        </w:rPr>
        <w:t xml:space="preserve"> (2001) struck down a law prohibiting the unionization of agricultural workers in Ontario</w:t>
      </w:r>
      <w:r w:rsidRPr="0046336A">
        <w:rPr>
          <w:sz w:val="14"/>
        </w:rPr>
        <w:t xml:space="preserve">. </w:t>
      </w:r>
      <w:r w:rsidRPr="00855CC8">
        <w:rPr>
          <w:u w:val="single"/>
        </w:rPr>
        <w:t xml:space="preserve">In </w:t>
      </w:r>
      <w:r w:rsidRPr="00855CC8">
        <w:rPr>
          <w:i/>
          <w:iCs/>
          <w:u w:val="single"/>
        </w:rPr>
        <w:t>R v. Advance Cutting and Coring Ltd</w:t>
      </w:r>
      <w:r w:rsidRPr="00855CC8">
        <w:rPr>
          <w:u w:val="single"/>
        </w:rPr>
        <w:t>. (2001),</w:t>
      </w:r>
      <w:r w:rsidRPr="0046336A">
        <w:rPr>
          <w:sz w:val="14"/>
        </w:rPr>
        <w:t xml:space="preserve"> </w:t>
      </w:r>
      <w:r w:rsidRPr="00855CC8">
        <w:rPr>
          <w:u w:val="single"/>
        </w:rPr>
        <w:t>the Court ruled that</w:t>
      </w:r>
      <w:r w:rsidRPr="0046336A">
        <w:rPr>
          <w:sz w:val="14"/>
        </w:rPr>
        <w:t xml:space="preserve"> Quebec’s controversial </w:t>
      </w:r>
      <w:r w:rsidRPr="00043DFA">
        <w:rPr>
          <w:rStyle w:val="Emphasis"/>
          <w:highlight w:val="yellow"/>
        </w:rPr>
        <w:t>mandatory unionization</w:t>
      </w:r>
      <w:r w:rsidRPr="00855CC8">
        <w:rPr>
          <w:u w:val="single"/>
        </w:rPr>
        <w:t xml:space="preserve"> laws in the construction industry were in compliance</w:t>
      </w:r>
      <w:r w:rsidRPr="0046336A">
        <w:rPr>
          <w:sz w:val="14"/>
        </w:rPr>
        <w:t xml:space="preserve"> with the </w:t>
      </w:r>
      <w:r w:rsidRPr="0046336A">
        <w:rPr>
          <w:i/>
          <w:iCs/>
          <w:sz w:val="14"/>
        </w:rPr>
        <w:t>Charter</w:t>
      </w:r>
      <w:r w:rsidRPr="0046336A">
        <w:rPr>
          <w:sz w:val="14"/>
        </w:rPr>
        <w:t xml:space="preserve"> </w:t>
      </w:r>
      <w:r w:rsidRPr="0046336A">
        <w:rPr>
          <w:i/>
          <w:iCs/>
          <w:sz w:val="14"/>
        </w:rPr>
        <w:t>of Rights and Freedoms</w:t>
      </w:r>
      <w:r w:rsidRPr="0046336A">
        <w:rPr>
          <w:sz w:val="14"/>
        </w:rPr>
        <w:t xml:space="preserve">. In </w:t>
      </w:r>
      <w:r w:rsidRPr="0046336A">
        <w:rPr>
          <w:i/>
          <w:iCs/>
          <w:sz w:val="14"/>
        </w:rPr>
        <w:t>Ajax v. CAW–Canada</w:t>
      </w:r>
      <w:r w:rsidRPr="0046336A">
        <w:rPr>
          <w:sz w:val="14"/>
        </w:rPr>
        <w:t xml:space="preserve"> (2000), the Court upheld the constitutional validity of successor rights of union members. In </w:t>
      </w:r>
      <w:r w:rsidRPr="0046336A">
        <w:rPr>
          <w:i/>
          <w:iCs/>
          <w:sz w:val="14"/>
        </w:rPr>
        <w:t>RWDSU v. Pepsi-Cola</w:t>
      </w:r>
      <w:r w:rsidRPr="0046336A">
        <w:rPr>
          <w:sz w:val="14"/>
        </w:rPr>
        <w:t xml:space="preserve"> (2002), the Court reversed earlier jurisprudence and ruled that secondary picketing warrants protection under section 2(b) of the </w:t>
      </w:r>
      <w:r w:rsidRPr="0046336A">
        <w:rPr>
          <w:i/>
          <w:iCs/>
          <w:sz w:val="14"/>
        </w:rPr>
        <w:t>Charter.</w:t>
      </w:r>
    </w:p>
    <w:p w14:paraId="0A44177C" w14:textId="77777777" w:rsidR="00F16872" w:rsidRPr="0046336A" w:rsidRDefault="00F16872" w:rsidP="00F16872">
      <w:pPr>
        <w:rPr>
          <w:sz w:val="14"/>
        </w:rPr>
      </w:pPr>
      <w:r w:rsidRPr="0046336A">
        <w:rPr>
          <w:i/>
          <w:iCs/>
          <w:sz w:val="14"/>
        </w:rPr>
        <w:tab/>
      </w:r>
      <w:r w:rsidRPr="0046336A">
        <w:rPr>
          <w:sz w:val="14"/>
        </w:rPr>
        <w:t xml:space="preserve">The most celebrated of these cases was </w:t>
      </w:r>
      <w:r w:rsidRPr="0046336A">
        <w:rPr>
          <w:i/>
          <w:iCs/>
          <w:sz w:val="14"/>
        </w:rPr>
        <w:t>Dunmore v. Ontario</w:t>
      </w:r>
      <w:r w:rsidRPr="0046336A">
        <w:rPr>
          <w:sz w:val="14"/>
        </w:rPr>
        <w:t xml:space="preserve">, in which </w:t>
      </w:r>
      <w:r w:rsidRPr="00855CC8">
        <w:rPr>
          <w:u w:val="single"/>
        </w:rPr>
        <w:t xml:space="preserve">the Court ruled </w:t>
      </w:r>
      <w:r w:rsidRPr="00441578">
        <w:rPr>
          <w:u w:val="single"/>
        </w:rPr>
        <w:t xml:space="preserve">that </w:t>
      </w:r>
      <w:r w:rsidRPr="00043DFA">
        <w:rPr>
          <w:rStyle w:val="Emphasis"/>
          <w:highlight w:val="yellow"/>
        </w:rPr>
        <w:t>ag</w:t>
      </w:r>
      <w:r w:rsidRPr="00855CC8">
        <w:rPr>
          <w:u w:val="single"/>
        </w:rPr>
        <w:t xml:space="preserve">ricultural </w:t>
      </w:r>
      <w:r w:rsidRPr="00043DFA">
        <w:rPr>
          <w:b/>
          <w:bCs/>
          <w:highlight w:val="yellow"/>
          <w:u w:val="single"/>
        </w:rPr>
        <w:t>workers</w:t>
      </w:r>
      <w:r w:rsidRPr="00043DFA">
        <w:rPr>
          <w:highlight w:val="yellow"/>
          <w:u w:val="single"/>
        </w:rPr>
        <w:t xml:space="preserve"> </w:t>
      </w:r>
      <w:r w:rsidRPr="00441578">
        <w:rPr>
          <w:u w:val="single"/>
        </w:rPr>
        <w:t>had a</w:t>
      </w:r>
      <w:r w:rsidRPr="00855CC8">
        <w:rPr>
          <w:u w:val="single"/>
        </w:rPr>
        <w:t xml:space="preserve"> constitutionally protected </w:t>
      </w:r>
      <w:r w:rsidRPr="00043DFA">
        <w:rPr>
          <w:b/>
          <w:bCs/>
          <w:highlight w:val="yellow"/>
          <w:u w:val="single"/>
        </w:rPr>
        <w:t>right to organize</w:t>
      </w:r>
      <w:r w:rsidRPr="0046336A">
        <w:rPr>
          <w:sz w:val="14"/>
        </w:rPr>
        <w:t xml:space="preserve"> under section 2(d) of the </w:t>
      </w:r>
      <w:r w:rsidRPr="0046336A">
        <w:rPr>
          <w:i/>
          <w:iCs/>
          <w:sz w:val="14"/>
        </w:rPr>
        <w:t>Charter</w:t>
      </w:r>
      <w:r w:rsidRPr="0046336A">
        <w:rPr>
          <w:sz w:val="14"/>
        </w:rPr>
        <w:t xml:space="preserve">. In coming to this conclusion, the Court determined that a union’s collective activities may be central to freedom of association even though they are inconceivable on the individual level and that the vulnerability of agricultural workers must be taken into consideration in assessing the scope of freedom of association. The Court also placed a great deal of emphasis on Canada’s international obligations to the ILO in arriving at its decision (Burkett 2003, 265). Most importantly, for the labor movement, the Court acknowledged there was a collective dimension to freedom of association. According to some unions, the decision in </w:t>
      </w:r>
      <w:r w:rsidRPr="0046336A">
        <w:rPr>
          <w:i/>
          <w:iCs/>
          <w:sz w:val="14"/>
        </w:rPr>
        <w:t>Dunmore</w:t>
      </w:r>
      <w:r w:rsidRPr="0046336A">
        <w:rPr>
          <w:sz w:val="14"/>
        </w:rPr>
        <w:t xml:space="preserve"> effectively opened the door to the ILO as a body of reference for understanding how to interpret the constitutional guarantee of freedom of association in a labor context (NUPGE and British Columbia Nurses Union 2007).</w:t>
      </w:r>
    </w:p>
    <w:p w14:paraId="71459CC7" w14:textId="77777777" w:rsidR="00F16872" w:rsidRPr="0046336A" w:rsidRDefault="00F16872" w:rsidP="00F16872">
      <w:pPr>
        <w:rPr>
          <w:sz w:val="14"/>
        </w:rPr>
      </w:pPr>
      <w:r w:rsidRPr="0046336A">
        <w:rPr>
          <w:sz w:val="14"/>
        </w:rPr>
        <w:tab/>
        <w:t xml:space="preserve">In response to the Court’s decision in </w:t>
      </w:r>
      <w:r w:rsidRPr="0046336A">
        <w:rPr>
          <w:i/>
          <w:iCs/>
          <w:sz w:val="14"/>
        </w:rPr>
        <w:t>Dunmore</w:t>
      </w:r>
      <w:r w:rsidRPr="0046336A">
        <w:rPr>
          <w:sz w:val="14"/>
        </w:rPr>
        <w:t xml:space="preserve">, the Conservative provincial government enacted Bill 137— </w:t>
      </w:r>
      <w:r w:rsidRPr="0046336A">
        <w:rPr>
          <w:i/>
          <w:iCs/>
          <w:sz w:val="14"/>
        </w:rPr>
        <w:t>the Agricultural Employees Protection Act</w:t>
      </w:r>
      <w:r w:rsidRPr="0046336A">
        <w:rPr>
          <w:sz w:val="14"/>
        </w:rPr>
        <w:t xml:space="preserve">—which gave the province’s agricultural workers the right to form unions but not the right to bargain collectively or to strike. The UFCW challenged the constitutional validity of the new law, but the Superior Court ruled in January 2006 that Bill 137 did not violate the </w:t>
      </w:r>
      <w:r w:rsidRPr="0046336A">
        <w:rPr>
          <w:i/>
          <w:iCs/>
          <w:sz w:val="14"/>
        </w:rPr>
        <w:t>Charter</w:t>
      </w:r>
      <w:r w:rsidRPr="0046336A">
        <w:rPr>
          <w:sz w:val="14"/>
        </w:rPr>
        <w:t>, because it provided agricultural workers with adequate protection of their right to freedom of association. The union subsequently appealed the decision, and the case is currently making its way through the system.</w:t>
      </w:r>
    </w:p>
    <w:p w14:paraId="169C68FE" w14:textId="77777777" w:rsidR="00F16872" w:rsidRPr="0046336A" w:rsidRDefault="00F16872" w:rsidP="00F16872">
      <w:pPr>
        <w:rPr>
          <w:sz w:val="14"/>
        </w:rPr>
      </w:pPr>
      <w:r w:rsidRPr="0046336A">
        <w:rPr>
          <w:sz w:val="14"/>
        </w:rPr>
        <w:tab/>
      </w:r>
      <w:r w:rsidRPr="00855CC8">
        <w:rPr>
          <w:u w:val="single"/>
        </w:rPr>
        <w:t>The</w:t>
      </w:r>
      <w:r w:rsidRPr="0046336A">
        <w:rPr>
          <w:sz w:val="14"/>
        </w:rPr>
        <w:t xml:space="preserve"> Ontario </w:t>
      </w:r>
      <w:r w:rsidRPr="00855CC8">
        <w:rPr>
          <w:u w:val="single"/>
        </w:rPr>
        <w:t>government’s creative interpretation of the</w:t>
      </w:r>
      <w:r w:rsidRPr="0046336A">
        <w:rPr>
          <w:sz w:val="14"/>
        </w:rPr>
        <w:t xml:space="preserve"> </w:t>
      </w:r>
      <w:r w:rsidRPr="0046336A">
        <w:rPr>
          <w:i/>
          <w:iCs/>
          <w:sz w:val="14"/>
        </w:rPr>
        <w:t>Dunmore</w:t>
      </w:r>
      <w:r w:rsidRPr="0046336A">
        <w:rPr>
          <w:sz w:val="14"/>
        </w:rPr>
        <w:t xml:space="preserve"> </w:t>
      </w:r>
      <w:r w:rsidRPr="00855CC8">
        <w:rPr>
          <w:u w:val="single"/>
        </w:rPr>
        <w:t>case</w:t>
      </w:r>
      <w:r w:rsidRPr="0046336A">
        <w:rPr>
          <w:sz w:val="14"/>
        </w:rPr>
        <w:t xml:space="preserve"> </w:t>
      </w:r>
      <w:r w:rsidRPr="0046336A">
        <w:rPr>
          <w:rStyle w:val="Emphasis"/>
        </w:rPr>
        <w:t>points to the limits of judicial strategies in an era of neoliberalism</w:t>
      </w:r>
      <w:r w:rsidRPr="0046336A">
        <w:rPr>
          <w:sz w:val="14"/>
        </w:rPr>
        <w:t xml:space="preserve">. To be sure, symbolic victories give workers very few reasons to celebrate. For example, in </w:t>
      </w:r>
      <w:r w:rsidRPr="0046336A">
        <w:rPr>
          <w:i/>
          <w:iCs/>
          <w:sz w:val="14"/>
        </w:rPr>
        <w:t>Newfoundland (Treasury Board) v. N.A.P.E.</w:t>
      </w:r>
      <w:r w:rsidRPr="0046336A">
        <w:rPr>
          <w:sz w:val="14"/>
        </w:rPr>
        <w:t xml:space="preserve"> (2004), the Supreme Court ruled that the government of Newfoundland and Labrador discriminated against female health care workers, members of the Newfoundland and Labrador Association of Public and Private Employees (NAPE), by withholding retroactive pay equity payments. However, the Court also ruled that the provincial government’s decision to withhold the payments was justified due to economic constraints. The Court’s decision in N.A.P.E. did little to dissuade unions from pursuing legal strategies. In fact, organized labor’s most impressive judicial victory was yet to come.</w:t>
      </w:r>
    </w:p>
    <w:p w14:paraId="0974A4EE" w14:textId="77777777" w:rsidR="00F16872" w:rsidRPr="00441578" w:rsidRDefault="00F16872" w:rsidP="00F16872">
      <w:pPr>
        <w:rPr>
          <w:i/>
          <w:iCs/>
          <w:sz w:val="8"/>
          <w:szCs w:val="8"/>
        </w:rPr>
      </w:pPr>
      <w:r w:rsidRPr="00441578">
        <w:rPr>
          <w:i/>
          <w:iCs/>
          <w:sz w:val="8"/>
          <w:szCs w:val="8"/>
        </w:rPr>
        <w:t>Health Services and Support–Facilities Subsector Bargaining Assn. v. British Columbia</w:t>
      </w:r>
    </w:p>
    <w:p w14:paraId="5AE7EAF8" w14:textId="77777777" w:rsidR="00F16872" w:rsidRPr="00441578" w:rsidRDefault="00F16872" w:rsidP="00F16872">
      <w:pPr>
        <w:rPr>
          <w:sz w:val="8"/>
          <w:szCs w:val="8"/>
        </w:rPr>
      </w:pPr>
      <w:r w:rsidRPr="00441578">
        <w:rPr>
          <w:sz w:val="8"/>
          <w:szCs w:val="8"/>
        </w:rPr>
        <w:tab/>
        <w:t>In January 2002, the rightwing Liberal government of Premier Gordon Campbell enacted Bill 29, a law that allowed for hospital closures and extensive privatization of the province’s health care system. In terms of labor relations, the Health and Social Services Delivery Improvement Act radically altered labor relations in the province’s health care system by invalidating some provisions of existing collective agreements and by precluding bargaining on several aspects of the employment relationship (</w:t>
      </w:r>
      <w:r w:rsidRPr="00441578">
        <w:rPr>
          <w:i/>
          <w:iCs/>
          <w:sz w:val="8"/>
          <w:szCs w:val="8"/>
        </w:rPr>
        <w:t>Health Services and Support–Facilities Subsector Bargaining Assn. v. British Columbia</w:t>
      </w:r>
      <w:r w:rsidRPr="00441578">
        <w:rPr>
          <w:sz w:val="8"/>
          <w:szCs w:val="8"/>
        </w:rPr>
        <w:t xml:space="preserve"> 2007; hereinafter “</w:t>
      </w:r>
      <w:r w:rsidRPr="00441578">
        <w:rPr>
          <w:i/>
          <w:iCs/>
          <w:sz w:val="8"/>
          <w:szCs w:val="8"/>
        </w:rPr>
        <w:t>BC Health Services</w:t>
      </w:r>
      <w:r w:rsidRPr="00441578">
        <w:rPr>
          <w:sz w:val="8"/>
          <w:szCs w:val="8"/>
        </w:rPr>
        <w:t xml:space="preserve">”). The Hospital Employees Union (HEU) responded with an unsuccessful grassroots mobilization that included the threat of a general strike (which ultimately was never pursued). The union simultaneously pursued a legal strategy, filing a complaint with the ILO and launching a </w:t>
      </w:r>
      <w:r w:rsidRPr="00441578">
        <w:rPr>
          <w:i/>
          <w:iCs/>
          <w:sz w:val="8"/>
          <w:szCs w:val="8"/>
        </w:rPr>
        <w:t>Charter</w:t>
      </w:r>
      <w:r w:rsidRPr="00441578">
        <w:rPr>
          <w:sz w:val="8"/>
          <w:szCs w:val="8"/>
        </w:rPr>
        <w:t xml:space="preserve"> challenge to Bill 29 on the grounds that the law violated the </w:t>
      </w:r>
      <w:r w:rsidRPr="00441578">
        <w:rPr>
          <w:i/>
          <w:iCs/>
          <w:sz w:val="8"/>
          <w:szCs w:val="8"/>
        </w:rPr>
        <w:t>Charter’s</w:t>
      </w:r>
      <w:r w:rsidRPr="00441578">
        <w:rPr>
          <w:sz w:val="8"/>
          <w:szCs w:val="8"/>
        </w:rPr>
        <w:t xml:space="preserve"> equality provisions and guarantee of freedom of association.</w:t>
      </w:r>
    </w:p>
    <w:p w14:paraId="0E2E01E4" w14:textId="77777777" w:rsidR="00F16872" w:rsidRPr="00441578" w:rsidRDefault="00F16872" w:rsidP="00F16872">
      <w:pPr>
        <w:rPr>
          <w:sz w:val="8"/>
          <w:szCs w:val="8"/>
        </w:rPr>
      </w:pPr>
      <w:r w:rsidRPr="00441578">
        <w:rPr>
          <w:sz w:val="8"/>
          <w:szCs w:val="8"/>
        </w:rPr>
        <w:tab/>
        <w:t>In March 2003, the ILO’s Committee on Freedom of Association upheld the HEU’s complaint, but the British Columbia government essentially ignored this ruling. In typical Canadian fashion, British Columbia Premier Gordon Campbell simply stated that his government would not be swayed by the ILO’s findings, affirming further, “I feel no pressure whatsoever. I was not participating in any discussion with the UN” (Steffenhagen 2003). Despite the government’s decision to ignore the ILO’s findings, the HEU continued to pursue its legal strategy.</w:t>
      </w:r>
    </w:p>
    <w:p w14:paraId="160B3A7C" w14:textId="77777777" w:rsidR="00F16872" w:rsidRPr="00441578" w:rsidRDefault="00F16872" w:rsidP="00F16872">
      <w:pPr>
        <w:rPr>
          <w:sz w:val="8"/>
          <w:szCs w:val="8"/>
        </w:rPr>
      </w:pPr>
      <w:r w:rsidRPr="00441578">
        <w:rPr>
          <w:sz w:val="8"/>
          <w:szCs w:val="8"/>
        </w:rPr>
        <w:tab/>
        <w:t xml:space="preserve">Several months after the ILO’s Committee on Freedom of Association passed judgment on Bill 29, the union’s </w:t>
      </w:r>
      <w:r w:rsidRPr="00441578">
        <w:rPr>
          <w:i/>
          <w:iCs/>
          <w:sz w:val="8"/>
          <w:szCs w:val="8"/>
        </w:rPr>
        <w:t>Charter</w:t>
      </w:r>
      <w:r w:rsidRPr="00441578">
        <w:rPr>
          <w:sz w:val="8"/>
          <w:szCs w:val="8"/>
        </w:rPr>
        <w:t xml:space="preserve"> challenge was rejected by a lower court based on jurisprudence that held that freedom of association did not protect the right to bargain collectively. The lower court also rejected the union’s claim that Bill 29 violated the </w:t>
      </w:r>
      <w:r w:rsidRPr="00441578">
        <w:rPr>
          <w:i/>
          <w:iCs/>
          <w:sz w:val="8"/>
          <w:szCs w:val="8"/>
        </w:rPr>
        <w:t>Charter’s</w:t>
      </w:r>
      <w:r w:rsidRPr="00441578">
        <w:rPr>
          <w:sz w:val="8"/>
          <w:szCs w:val="8"/>
        </w:rPr>
        <w:t xml:space="preserve"> equality rights provision (</w:t>
      </w:r>
      <w:r w:rsidRPr="00441578">
        <w:rPr>
          <w:i/>
          <w:iCs/>
          <w:sz w:val="8"/>
          <w:szCs w:val="8"/>
        </w:rPr>
        <w:t>BC Health Services</w:t>
      </w:r>
      <w:r w:rsidRPr="00441578">
        <w:rPr>
          <w:sz w:val="8"/>
          <w:szCs w:val="8"/>
        </w:rPr>
        <w:t xml:space="preserve"> 2004). The HEU appealed the ruling, but the British Columbia Court of Appeals upheld the trial judge’s ruling. Undeterred, the union appealed its case to the Supreme Court of Canada, which finally rendered a decision in June 2007.</w:t>
      </w:r>
    </w:p>
    <w:p w14:paraId="47CF526E" w14:textId="77777777" w:rsidR="00F16872" w:rsidRPr="00441578" w:rsidRDefault="00F16872" w:rsidP="00F16872">
      <w:pPr>
        <w:rPr>
          <w:sz w:val="8"/>
          <w:szCs w:val="8"/>
        </w:rPr>
      </w:pPr>
      <w:r w:rsidRPr="00441578">
        <w:rPr>
          <w:sz w:val="8"/>
          <w:szCs w:val="8"/>
        </w:rPr>
        <w:tab/>
        <w:t xml:space="preserve">In a landmark decision, the Supreme Court struck down several sections of British Columbia’s Health and Social Services Delivery Improvement Act. The decision afforded constitutional protection to the activity of collective bargaining is as part of the Charter’s guarantee of freedom of association. In reversing previous jurisprudence, the Court relied partially on international law, arguing that “s. 2(d) of the </w:t>
      </w:r>
      <w:r w:rsidRPr="00441578">
        <w:rPr>
          <w:i/>
          <w:iCs/>
          <w:sz w:val="8"/>
          <w:szCs w:val="8"/>
        </w:rPr>
        <w:t>Charter</w:t>
      </w:r>
      <w:r w:rsidRPr="00441578">
        <w:rPr>
          <w:sz w:val="8"/>
          <w:szCs w:val="8"/>
        </w:rPr>
        <w:t xml:space="preserve"> [freedom of association] should be interpreted as recognizing at least the same level of protection” as is found in ILO Convention 87, dealing with the right to collective bargaining (BC Health Services 2007, 438 para. 79).</w:t>
      </w:r>
    </w:p>
    <w:p w14:paraId="779A2651" w14:textId="77777777" w:rsidR="00F16872" w:rsidRPr="0046336A" w:rsidRDefault="00F16872" w:rsidP="00F16872">
      <w:pPr>
        <w:rPr>
          <w:sz w:val="14"/>
        </w:rPr>
      </w:pPr>
      <w:r w:rsidRPr="0046336A">
        <w:rPr>
          <w:sz w:val="14"/>
        </w:rPr>
        <w:tab/>
        <w:t xml:space="preserve">However, the Court was careful not to embrace fully the ILO’s broader conception of freedom of association. It is here where the lines between Canada’s international commitments and its domestic labor laws have become severely blurred. The Court suggested that the </w:t>
      </w:r>
      <w:r w:rsidRPr="0046336A">
        <w:rPr>
          <w:i/>
          <w:iCs/>
          <w:sz w:val="14"/>
        </w:rPr>
        <w:t>Charter</w:t>
      </w:r>
      <w:r w:rsidRPr="0046336A">
        <w:rPr>
          <w:sz w:val="14"/>
        </w:rPr>
        <w:t xml:space="preserve"> only protects certain aspects of collective bargaining in certain contexts. In essence, </w:t>
      </w:r>
      <w:r w:rsidRPr="00043DFA">
        <w:rPr>
          <w:highlight w:val="yellow"/>
          <w:u w:val="single"/>
        </w:rPr>
        <w:t xml:space="preserve">the decision </w:t>
      </w:r>
      <w:r w:rsidRPr="00043DFA">
        <w:rPr>
          <w:rStyle w:val="Emphasis"/>
          <w:highlight w:val="yellow"/>
        </w:rPr>
        <w:t>protects</w:t>
      </w:r>
      <w:r w:rsidRPr="0046336A">
        <w:rPr>
          <w:rStyle w:val="Emphasis"/>
        </w:rPr>
        <w:t xml:space="preserve"> unions from</w:t>
      </w:r>
      <w:r w:rsidRPr="0046336A">
        <w:rPr>
          <w:sz w:val="14"/>
        </w:rPr>
        <w:t xml:space="preserve"> substantial government </w:t>
      </w:r>
      <w:r w:rsidRPr="0046336A">
        <w:rPr>
          <w:rStyle w:val="Emphasis"/>
        </w:rPr>
        <w:t>interference</w:t>
      </w:r>
      <w:r w:rsidRPr="00855CC8">
        <w:rPr>
          <w:u w:val="single"/>
        </w:rPr>
        <w:t xml:space="preserve"> with the process of </w:t>
      </w:r>
      <w:r w:rsidRPr="00043DFA">
        <w:rPr>
          <w:rStyle w:val="Emphasis"/>
          <w:highlight w:val="yellow"/>
        </w:rPr>
        <w:t>collective bargaining</w:t>
      </w:r>
      <w:r w:rsidRPr="00855CC8">
        <w:rPr>
          <w:u w:val="single"/>
        </w:rPr>
        <w:t xml:space="preserve"> without taking into consideration any of </w:t>
      </w:r>
      <w:r w:rsidRPr="0046336A">
        <w:rPr>
          <w:rStyle w:val="Emphasis"/>
        </w:rPr>
        <w:t>the objectives sought</w:t>
      </w:r>
      <w:r w:rsidRPr="00855CC8">
        <w:rPr>
          <w:u w:val="single"/>
        </w:rPr>
        <w:t xml:space="preserve"> by the parties involved in negotiations</w:t>
      </w:r>
      <w:r w:rsidRPr="0046336A">
        <w:rPr>
          <w:sz w:val="14"/>
        </w:rPr>
        <w:t xml:space="preserve">. As such, </w:t>
      </w:r>
      <w:r w:rsidRPr="00855CC8">
        <w:rPr>
          <w:u w:val="single"/>
        </w:rPr>
        <w:t>the decision does very little to challenge the dominant Wagner model of labor relations</w:t>
      </w:r>
      <w:r w:rsidRPr="0046336A">
        <w:rPr>
          <w:sz w:val="14"/>
        </w:rPr>
        <w:t xml:space="preserve"> in Canada. In addition, although the decision makes clear that </w:t>
      </w:r>
      <w:r w:rsidRPr="00855CC8">
        <w:rPr>
          <w:u w:val="single"/>
        </w:rPr>
        <w:t xml:space="preserve">governments have </w:t>
      </w:r>
      <w:r w:rsidRPr="00043DFA">
        <w:rPr>
          <w:rStyle w:val="Emphasis"/>
          <w:highlight w:val="yellow"/>
        </w:rPr>
        <w:t>a duty to bargain</w:t>
      </w:r>
      <w:r w:rsidRPr="00855CC8">
        <w:rPr>
          <w:u w:val="single"/>
        </w:rPr>
        <w:t xml:space="preserve"> in good faith, </w:t>
      </w:r>
      <w:r w:rsidRPr="00043DFA">
        <w:rPr>
          <w:rStyle w:val="Emphasis"/>
          <w:highlight w:val="yellow"/>
        </w:rPr>
        <w:t>there is little to stop a determined</w:t>
      </w:r>
      <w:r w:rsidRPr="0046336A">
        <w:rPr>
          <w:rStyle w:val="Emphasis"/>
        </w:rPr>
        <w:t xml:space="preserve"> antiunion </w:t>
      </w:r>
      <w:r w:rsidRPr="00043DFA">
        <w:rPr>
          <w:rStyle w:val="Emphasis"/>
          <w:highlight w:val="yellow"/>
        </w:rPr>
        <w:t>employer from rolling back</w:t>
      </w:r>
      <w:r w:rsidRPr="0046336A">
        <w:rPr>
          <w:rStyle w:val="Emphasis"/>
        </w:rPr>
        <w:t xml:space="preserve"> trade union rights and </w:t>
      </w:r>
      <w:r w:rsidRPr="00043DFA">
        <w:rPr>
          <w:rStyle w:val="Emphasis"/>
          <w:highlight w:val="yellow"/>
        </w:rPr>
        <w:t>freedoms in</w:t>
      </w:r>
      <w:r w:rsidRPr="0046336A">
        <w:rPr>
          <w:rStyle w:val="Emphasis"/>
        </w:rPr>
        <w:t xml:space="preserve"> existing collective </w:t>
      </w:r>
      <w:r w:rsidRPr="00043DFA">
        <w:rPr>
          <w:rStyle w:val="Emphasis"/>
          <w:highlight w:val="yellow"/>
        </w:rPr>
        <w:t>agreements</w:t>
      </w:r>
      <w:r w:rsidRPr="0046336A">
        <w:rPr>
          <w:rStyle w:val="Emphasis"/>
        </w:rPr>
        <w:t xml:space="preserve">, provided such rollbacks come </w:t>
      </w:r>
      <w:r w:rsidRPr="00043DFA">
        <w:rPr>
          <w:rStyle w:val="Emphasis"/>
          <w:highlight w:val="yellow"/>
        </w:rPr>
        <w:t>at the conclusion of</w:t>
      </w:r>
      <w:r w:rsidRPr="0046336A">
        <w:rPr>
          <w:rStyle w:val="Emphasis"/>
        </w:rPr>
        <w:t xml:space="preserve"> a process of </w:t>
      </w:r>
      <w:r w:rsidRPr="00043DFA">
        <w:rPr>
          <w:rStyle w:val="Emphasis"/>
          <w:highlight w:val="yellow"/>
        </w:rPr>
        <w:t>consultation with the union</w:t>
      </w:r>
      <w:r w:rsidRPr="00855CC8">
        <w:rPr>
          <w:u w:val="single"/>
        </w:rPr>
        <w:t>.</w:t>
      </w:r>
      <w:r w:rsidRPr="0046336A">
        <w:rPr>
          <w:sz w:val="14"/>
        </w:rPr>
        <w:t xml:space="preserve"> That is because </w:t>
      </w:r>
      <w:r w:rsidRPr="00043DFA">
        <w:rPr>
          <w:rStyle w:val="Emphasis"/>
          <w:highlight w:val="yellow"/>
        </w:rPr>
        <w:t>it is the process</w:t>
      </w:r>
      <w:r w:rsidRPr="00043DFA">
        <w:rPr>
          <w:highlight w:val="yellow"/>
          <w:u w:val="single"/>
        </w:rPr>
        <w:t xml:space="preserve">, </w:t>
      </w:r>
      <w:r w:rsidRPr="00043DFA">
        <w:rPr>
          <w:rStyle w:val="Emphasis"/>
          <w:highlight w:val="yellow"/>
        </w:rPr>
        <w:t xml:space="preserve">not the outcome </w:t>
      </w:r>
      <w:r w:rsidRPr="00441578">
        <w:rPr>
          <w:rStyle w:val="Emphasis"/>
        </w:rPr>
        <w:t xml:space="preserve">of bargaining, </w:t>
      </w:r>
      <w:r w:rsidRPr="00043DFA">
        <w:rPr>
          <w:rStyle w:val="Emphasis"/>
          <w:highlight w:val="yellow"/>
        </w:rPr>
        <w:t>that is protected</w:t>
      </w:r>
      <w:r w:rsidRPr="0046336A">
        <w:rPr>
          <w:sz w:val="14"/>
        </w:rPr>
        <w:t xml:space="preserve"> by the </w:t>
      </w:r>
      <w:r w:rsidRPr="0046336A">
        <w:rPr>
          <w:i/>
          <w:iCs/>
          <w:sz w:val="14"/>
        </w:rPr>
        <w:t>Charter</w:t>
      </w:r>
      <w:r w:rsidRPr="0046336A">
        <w:rPr>
          <w:sz w:val="14"/>
        </w:rPr>
        <w:t xml:space="preserve">. </w:t>
      </w:r>
      <w:r w:rsidRPr="00855CC8">
        <w:rPr>
          <w:u w:val="single"/>
        </w:rPr>
        <w:t>An employer who simply goes through the motions is afforded enough flexibility in this decision to ensure that bargaining outcomes are unlikely to be affected</w:t>
      </w:r>
      <w:r w:rsidRPr="0046336A">
        <w:rPr>
          <w:sz w:val="14"/>
        </w:rPr>
        <w:t xml:space="preserve">. As such, the </w:t>
      </w:r>
      <w:r w:rsidRPr="0046336A">
        <w:rPr>
          <w:i/>
          <w:iCs/>
          <w:sz w:val="14"/>
        </w:rPr>
        <w:t>BC Health Services</w:t>
      </w:r>
      <w:r w:rsidRPr="0046336A">
        <w:rPr>
          <w:sz w:val="14"/>
        </w:rPr>
        <w:t xml:space="preserve"> decision will likely force antiunion governments to rethink their overzealous approach to labor relations, but it does not prevent them from pursuing antiunion agendas by stealth.</w:t>
      </w:r>
    </w:p>
    <w:p w14:paraId="6FBCE1E4" w14:textId="77777777" w:rsidR="00F16872" w:rsidRPr="00855CC8" w:rsidRDefault="00F16872" w:rsidP="00F16872">
      <w:pPr>
        <w:rPr>
          <w:u w:val="single"/>
        </w:rPr>
      </w:pPr>
      <w:r w:rsidRPr="0046336A">
        <w:rPr>
          <w:sz w:val="14"/>
        </w:rPr>
        <w:tab/>
        <w:t xml:space="preserve">It should also be noted that the </w:t>
      </w:r>
      <w:r w:rsidRPr="0046336A">
        <w:rPr>
          <w:i/>
          <w:iCs/>
          <w:sz w:val="14"/>
        </w:rPr>
        <w:t>BC Health Services</w:t>
      </w:r>
      <w:r w:rsidRPr="0046336A">
        <w:rPr>
          <w:sz w:val="14"/>
        </w:rPr>
        <w:t xml:space="preserve"> decision does not guarantee the right to strike (</w:t>
      </w:r>
      <w:r w:rsidRPr="0046336A">
        <w:rPr>
          <w:i/>
          <w:iCs/>
          <w:sz w:val="14"/>
        </w:rPr>
        <w:t>BC Health Services</w:t>
      </w:r>
      <w:r w:rsidRPr="0046336A">
        <w:rPr>
          <w:sz w:val="14"/>
        </w:rPr>
        <w:t xml:space="preserve"> 2007, 411 para. 19). In fact, one of the only guarantees that flows from the BC Health Services decision is the guarantee that </w:t>
      </w:r>
      <w:r w:rsidRPr="00043DFA">
        <w:rPr>
          <w:rStyle w:val="Emphasis"/>
          <w:highlight w:val="yellow"/>
        </w:rPr>
        <w:t>unions</w:t>
      </w:r>
      <w:r w:rsidRPr="00043DFA">
        <w:rPr>
          <w:highlight w:val="yellow"/>
          <w:u w:val="single"/>
        </w:rPr>
        <w:t xml:space="preserve"> and</w:t>
      </w:r>
      <w:r w:rsidRPr="00855CC8">
        <w:rPr>
          <w:u w:val="single"/>
        </w:rPr>
        <w:t xml:space="preserve"> their </w:t>
      </w:r>
      <w:r w:rsidRPr="00043DFA">
        <w:rPr>
          <w:rStyle w:val="Emphasis"/>
          <w:highlight w:val="yellow"/>
        </w:rPr>
        <w:t>lawyers</w:t>
      </w:r>
      <w:r w:rsidRPr="00043DFA">
        <w:rPr>
          <w:highlight w:val="yellow"/>
          <w:u w:val="single"/>
        </w:rPr>
        <w:t xml:space="preserve"> will </w:t>
      </w:r>
      <w:r w:rsidRPr="00043DFA">
        <w:rPr>
          <w:b/>
          <w:bCs/>
          <w:highlight w:val="yellow"/>
          <w:u w:val="single"/>
        </w:rPr>
        <w:t>redouble</w:t>
      </w:r>
      <w:r w:rsidRPr="00855CC8">
        <w:rPr>
          <w:u w:val="single"/>
        </w:rPr>
        <w:t xml:space="preserve"> their </w:t>
      </w:r>
      <w:r w:rsidRPr="00043DFA">
        <w:rPr>
          <w:b/>
          <w:bCs/>
          <w:highlight w:val="yellow"/>
          <w:u w:val="single"/>
        </w:rPr>
        <w:t>efforts</w:t>
      </w:r>
      <w:r w:rsidRPr="00855CC8">
        <w:rPr>
          <w:u w:val="single"/>
        </w:rPr>
        <w:t xml:space="preserve"> to pursue judicial strategies aimed </w:t>
      </w:r>
      <w:r w:rsidRPr="00043DFA">
        <w:rPr>
          <w:highlight w:val="yellow"/>
          <w:u w:val="single"/>
        </w:rPr>
        <w:t xml:space="preserve">at </w:t>
      </w:r>
      <w:r w:rsidRPr="00043DFA">
        <w:rPr>
          <w:rStyle w:val="Emphasis"/>
          <w:highlight w:val="yellow"/>
        </w:rPr>
        <w:t>expanding</w:t>
      </w:r>
      <w:r w:rsidRPr="0046336A">
        <w:rPr>
          <w:rStyle w:val="Emphasis"/>
        </w:rPr>
        <w:t xml:space="preserve"> the rubric of </w:t>
      </w:r>
      <w:r w:rsidRPr="00043DFA">
        <w:rPr>
          <w:rStyle w:val="Emphasis"/>
          <w:highlight w:val="yellow"/>
        </w:rPr>
        <w:t>labor rights</w:t>
      </w:r>
      <w:r w:rsidRPr="00855CC8">
        <w:rPr>
          <w:u w:val="single"/>
        </w:rPr>
        <w:t xml:space="preserve"> </w:t>
      </w:r>
      <w:r w:rsidRPr="0046336A">
        <w:rPr>
          <w:sz w:val="14"/>
        </w:rPr>
        <w:t xml:space="preserve">protected by the </w:t>
      </w:r>
      <w:r w:rsidRPr="0046336A">
        <w:rPr>
          <w:i/>
          <w:iCs/>
          <w:sz w:val="14"/>
        </w:rPr>
        <w:t>Charter’s</w:t>
      </w:r>
      <w:r w:rsidRPr="0046336A">
        <w:rPr>
          <w:sz w:val="14"/>
        </w:rPr>
        <w:t xml:space="preserve"> guarantee of freedom of association. In particular, unions are likely to more regularly launch judicial </w:t>
      </w:r>
      <w:r w:rsidRPr="00855CC8">
        <w:rPr>
          <w:u w:val="single"/>
        </w:rPr>
        <w:t>challenges to back-to-work legislation</w:t>
      </w:r>
      <w:r w:rsidRPr="0046336A">
        <w:rPr>
          <w:sz w:val="14"/>
        </w:rPr>
        <w:t xml:space="preserve">, public-sector austerity programs, </w:t>
      </w:r>
      <w:r w:rsidRPr="00855CC8">
        <w:rPr>
          <w:u w:val="single"/>
        </w:rPr>
        <w:t>and laws restricting union membership.</w:t>
      </w:r>
    </w:p>
    <w:p w14:paraId="3C32DA65" w14:textId="77777777" w:rsidR="00F16872" w:rsidRPr="00855CC8" w:rsidRDefault="00F16872" w:rsidP="00F16872">
      <w:pPr>
        <w:rPr>
          <w:u w:val="single"/>
        </w:rPr>
      </w:pPr>
      <w:r w:rsidRPr="0046336A">
        <w:rPr>
          <w:sz w:val="14"/>
        </w:rPr>
        <w:tab/>
        <w:t xml:space="preserve">Overall, although the Supreme Court of Canada’s decision in </w:t>
      </w:r>
      <w:r w:rsidRPr="0046336A">
        <w:rPr>
          <w:i/>
          <w:iCs/>
          <w:sz w:val="14"/>
        </w:rPr>
        <w:t>BC Health Services</w:t>
      </w:r>
      <w:r w:rsidRPr="0046336A">
        <w:rPr>
          <w:sz w:val="14"/>
        </w:rPr>
        <w:t xml:space="preserve"> drew upon international labor rights and standards in order to justify extending constitutional protection to collective bargaining, neither it nor the recent round of prolabor Supreme Court decisions is the panacea that some have claimed (Adams 2003). Although </w:t>
      </w:r>
      <w:r w:rsidRPr="00043DFA">
        <w:rPr>
          <w:highlight w:val="yellow"/>
          <w:u w:val="single"/>
        </w:rPr>
        <w:t>the</w:t>
      </w:r>
      <w:r w:rsidRPr="0046336A">
        <w:rPr>
          <w:sz w:val="14"/>
        </w:rPr>
        <w:t xml:space="preserve"> Supreme Court </w:t>
      </w:r>
      <w:r w:rsidRPr="00043DFA">
        <w:rPr>
          <w:b/>
          <w:bCs/>
          <w:highlight w:val="yellow"/>
          <w:u w:val="single"/>
        </w:rPr>
        <w:t>decision</w:t>
      </w:r>
      <w:r w:rsidRPr="00043DFA">
        <w:rPr>
          <w:highlight w:val="yellow"/>
          <w:u w:val="single"/>
        </w:rPr>
        <w:t xml:space="preserve"> to extend</w:t>
      </w:r>
      <w:r w:rsidRPr="0046336A">
        <w:rPr>
          <w:sz w:val="14"/>
        </w:rPr>
        <w:t xml:space="preserve"> constitutional </w:t>
      </w:r>
      <w:r w:rsidRPr="00043DFA">
        <w:rPr>
          <w:rStyle w:val="Emphasis"/>
          <w:highlight w:val="yellow"/>
        </w:rPr>
        <w:t>protection to collective bargaining</w:t>
      </w:r>
      <w:r w:rsidRPr="0046336A">
        <w:rPr>
          <w:sz w:val="14"/>
        </w:rPr>
        <w:t xml:space="preserve"> did effectively reverse earlier antiunion jurisprudence and leave the door open to a constitutional reinterpretation of a wider ambit of union rights, </w:t>
      </w:r>
      <w:r w:rsidRPr="0046336A">
        <w:rPr>
          <w:rStyle w:val="Emphasis"/>
        </w:rPr>
        <w:t>one should not exaggerate the political impact</w:t>
      </w:r>
      <w:r w:rsidRPr="00855CC8">
        <w:rPr>
          <w:u w:val="single"/>
        </w:rPr>
        <w:t xml:space="preserve"> of the decision.</w:t>
      </w:r>
    </w:p>
    <w:p w14:paraId="05F12432" w14:textId="77777777" w:rsidR="00F16872" w:rsidRPr="0046336A" w:rsidRDefault="00F16872" w:rsidP="00F16872">
      <w:pPr>
        <w:rPr>
          <w:sz w:val="14"/>
        </w:rPr>
      </w:pPr>
      <w:r w:rsidRPr="0046336A">
        <w:rPr>
          <w:sz w:val="14"/>
        </w:rPr>
        <w:tab/>
      </w:r>
      <w:r w:rsidRPr="00043DFA">
        <w:rPr>
          <w:rStyle w:val="Emphasis"/>
          <w:highlight w:val="yellow"/>
        </w:rPr>
        <w:t>Far from revolutionary</w:t>
      </w:r>
      <w:r w:rsidRPr="00855CC8">
        <w:rPr>
          <w:u w:val="single"/>
        </w:rPr>
        <w:t>, the Court’s decision</w:t>
      </w:r>
      <w:r w:rsidRPr="0046336A">
        <w:rPr>
          <w:sz w:val="14"/>
        </w:rPr>
        <w:t xml:space="preserve"> in </w:t>
      </w:r>
      <w:r w:rsidRPr="0046336A">
        <w:rPr>
          <w:i/>
          <w:iCs/>
          <w:sz w:val="14"/>
        </w:rPr>
        <w:t>BC Health Services</w:t>
      </w:r>
      <w:r w:rsidRPr="0046336A">
        <w:rPr>
          <w:sz w:val="14"/>
        </w:rPr>
        <w:t xml:space="preserve"> </w:t>
      </w:r>
      <w:r w:rsidRPr="00043DFA">
        <w:rPr>
          <w:highlight w:val="yellow"/>
          <w:u w:val="single"/>
        </w:rPr>
        <w:t>simply shields</w:t>
      </w:r>
      <w:r w:rsidRPr="00855CC8">
        <w:rPr>
          <w:u w:val="single"/>
        </w:rPr>
        <w:t xml:space="preserve"> public-sector </w:t>
      </w:r>
      <w:r w:rsidRPr="00043DFA">
        <w:rPr>
          <w:rStyle w:val="Emphasis"/>
          <w:highlight w:val="yellow"/>
        </w:rPr>
        <w:t>unions from the worst excesses of neoliberalism</w:t>
      </w:r>
      <w:r w:rsidRPr="00855CC8">
        <w:rPr>
          <w:u w:val="single"/>
        </w:rPr>
        <w:t xml:space="preserve"> by confirming the public policy environment of the postwar compromise.</w:t>
      </w:r>
      <w:r w:rsidRPr="0046336A">
        <w:rPr>
          <w:sz w:val="14"/>
        </w:rPr>
        <w:t xml:space="preserve"> The fact that organized labor must rely on the courts, rather than the legislatures, to protect the last vestiges of the postwar compromise is, in fact, a sad commentary on the political clout of unions in an era of neoliberalism. As such, the decision in </w:t>
      </w:r>
      <w:r w:rsidRPr="0046336A">
        <w:rPr>
          <w:i/>
          <w:iCs/>
          <w:sz w:val="14"/>
        </w:rPr>
        <w:t>BC Health Services</w:t>
      </w:r>
      <w:r w:rsidRPr="0046336A">
        <w:rPr>
          <w:sz w:val="14"/>
        </w:rPr>
        <w:t xml:space="preserve"> showcases organized labor’s weakness, not its strength. More importantly, as Eric Tucker has argued, “</w:t>
      </w:r>
      <w:r w:rsidRPr="00855CC8">
        <w:rPr>
          <w:u w:val="single"/>
        </w:rPr>
        <w:t>if judicial protection of workers’ collective rights is premised on a view of unions as victims, it suggests that the moment that courts perceive unions to be powerful actors they will find ways to limit the rights they have recognized</w:t>
      </w:r>
      <w:r w:rsidRPr="0046336A">
        <w:rPr>
          <w:sz w:val="14"/>
        </w:rPr>
        <w:t>” (Tucker 2008, 173).</w:t>
      </w:r>
    </w:p>
    <w:p w14:paraId="0F063AEE" w14:textId="77777777" w:rsidR="00F16872" w:rsidRPr="0046336A" w:rsidRDefault="00F16872" w:rsidP="00F16872">
      <w:pPr>
        <w:rPr>
          <w:sz w:val="14"/>
        </w:rPr>
      </w:pPr>
      <w:r w:rsidRPr="0046336A">
        <w:rPr>
          <w:sz w:val="14"/>
        </w:rPr>
        <w:tab/>
        <w:t xml:space="preserve">In a carefully nuanced analysis of the </w:t>
      </w:r>
      <w:r w:rsidRPr="0046336A">
        <w:rPr>
          <w:i/>
          <w:iCs/>
          <w:sz w:val="14"/>
        </w:rPr>
        <w:t>BC Health Services</w:t>
      </w:r>
      <w:r w:rsidRPr="0046336A">
        <w:rPr>
          <w:sz w:val="14"/>
        </w:rPr>
        <w:t xml:space="preserve"> decision, labor lawyers Valerie Matthews Lemieux and Steven Barrett (who acted as co-counsel for the CLC in the </w:t>
      </w:r>
      <w:r w:rsidRPr="0046336A">
        <w:rPr>
          <w:i/>
          <w:iCs/>
          <w:sz w:val="14"/>
        </w:rPr>
        <w:t>BC Health Services</w:t>
      </w:r>
      <w:r w:rsidRPr="0046336A">
        <w:rPr>
          <w:sz w:val="14"/>
        </w:rPr>
        <w:t xml:space="preserve"> case) have argued that the future impact of the case “will depend on the extent to which future courts take an unduly narrow reading of the decision as simply imposing a mere consultation requirement on governments before overriding collective bargaining rights” rather than “view the decision as requiring governments to truly respect good faith bargaining by respecting negotiated collective agreements and avoiding legislation which limits the scope of bargaining” (Matthews Lemieux and Barrett 2007). To be sure, there are competing views concerning the Court’s future direction. However, more importantly, Matthews Lemieux and Barrett concede that “</w:t>
      </w:r>
      <w:r w:rsidRPr="00855CC8">
        <w:rPr>
          <w:u w:val="single"/>
        </w:rPr>
        <w:t xml:space="preserve">the labour movement should not lose sight of the ongoing need for </w:t>
      </w:r>
      <w:r w:rsidRPr="00043DFA">
        <w:rPr>
          <w:b/>
          <w:bCs/>
          <w:highlight w:val="yellow"/>
          <w:u w:val="single"/>
        </w:rPr>
        <w:t>organizing</w:t>
      </w:r>
      <w:r w:rsidRPr="00043DFA">
        <w:rPr>
          <w:highlight w:val="yellow"/>
          <w:u w:val="single"/>
        </w:rPr>
        <w:t xml:space="preserve"> and </w:t>
      </w:r>
      <w:r w:rsidRPr="00043DFA">
        <w:rPr>
          <w:b/>
          <w:bCs/>
          <w:highlight w:val="yellow"/>
          <w:u w:val="single"/>
        </w:rPr>
        <w:t>mobilizing</w:t>
      </w:r>
      <w:r w:rsidRPr="00855CC8">
        <w:rPr>
          <w:u w:val="single"/>
        </w:rPr>
        <w:t xml:space="preserve"> concerted political action and the development of political alliances, </w:t>
      </w:r>
      <w:r w:rsidRPr="00855CC8">
        <w:rPr>
          <w:rStyle w:val="Emphasis"/>
        </w:rPr>
        <w:t xml:space="preserve">which </w:t>
      </w:r>
      <w:r w:rsidRPr="00043DFA">
        <w:rPr>
          <w:rStyle w:val="Emphasis"/>
          <w:highlight w:val="yellow"/>
        </w:rPr>
        <w:t>have proven</w:t>
      </w:r>
      <w:r w:rsidRPr="00855CC8">
        <w:rPr>
          <w:u w:val="single"/>
        </w:rPr>
        <w:t xml:space="preserve"> over time </w:t>
      </w:r>
      <w:r w:rsidRPr="00855CC8">
        <w:rPr>
          <w:rStyle w:val="Emphasis"/>
        </w:rPr>
        <w:t xml:space="preserve">to be </w:t>
      </w:r>
      <w:r w:rsidRPr="00043DFA">
        <w:rPr>
          <w:rStyle w:val="Emphasis"/>
          <w:highlight w:val="yellow"/>
        </w:rPr>
        <w:t>more effective than reliance on</w:t>
      </w:r>
      <w:r w:rsidRPr="00855CC8">
        <w:rPr>
          <w:rStyle w:val="Emphasis"/>
        </w:rPr>
        <w:t xml:space="preserve"> the courts to advance </w:t>
      </w:r>
      <w:r w:rsidRPr="00043DFA">
        <w:rPr>
          <w:rStyle w:val="Emphasis"/>
          <w:highlight w:val="yellow"/>
        </w:rPr>
        <w:t>labour rights</w:t>
      </w:r>
      <w:r w:rsidRPr="00855CC8">
        <w:rPr>
          <w:u w:val="single"/>
        </w:rPr>
        <w:t xml:space="preserve"> and freedoms</w:t>
      </w:r>
      <w:r w:rsidRPr="0046336A">
        <w:rPr>
          <w:sz w:val="14"/>
        </w:rPr>
        <w:t xml:space="preserve">” (Matthews Lemieux and Barret 2007). In a broader political sense, </w:t>
      </w:r>
      <w:r w:rsidRPr="00043DFA">
        <w:rPr>
          <w:rStyle w:val="Emphasis"/>
          <w:highlight w:val="yellow"/>
        </w:rPr>
        <w:t>by shifting the focus</w:t>
      </w:r>
      <w:r w:rsidRPr="00855CC8">
        <w:rPr>
          <w:u w:val="single"/>
        </w:rPr>
        <w:t xml:space="preserve"> of the employment relationship </w:t>
      </w:r>
      <w:r w:rsidRPr="00043DFA">
        <w:rPr>
          <w:highlight w:val="yellow"/>
          <w:u w:val="single"/>
        </w:rPr>
        <w:t>toward</w:t>
      </w:r>
      <w:r w:rsidRPr="00855CC8">
        <w:rPr>
          <w:u w:val="single"/>
        </w:rPr>
        <w:t xml:space="preserve"> a </w:t>
      </w:r>
      <w:r w:rsidRPr="00855CC8">
        <w:rPr>
          <w:rStyle w:val="Emphasis"/>
        </w:rPr>
        <w:t>liberal</w:t>
      </w:r>
      <w:r w:rsidRPr="00855CC8">
        <w:rPr>
          <w:u w:val="single"/>
        </w:rPr>
        <w:t xml:space="preserve"> </w:t>
      </w:r>
      <w:r w:rsidRPr="0046336A">
        <w:rPr>
          <w:sz w:val="14"/>
        </w:rPr>
        <w:t xml:space="preserve">human </w:t>
      </w:r>
      <w:r w:rsidRPr="00043DFA">
        <w:rPr>
          <w:rStyle w:val="Emphasis"/>
          <w:highlight w:val="yellow"/>
        </w:rPr>
        <w:t>rights</w:t>
      </w:r>
      <w:r w:rsidRPr="00043DFA">
        <w:rPr>
          <w:highlight w:val="yellow"/>
          <w:u w:val="single"/>
        </w:rPr>
        <w:t xml:space="preserve"> </w:t>
      </w:r>
      <w:r w:rsidRPr="0046336A">
        <w:rPr>
          <w:b/>
          <w:bCs/>
          <w:u w:val="single"/>
        </w:rPr>
        <w:t>understanding</w:t>
      </w:r>
      <w:r w:rsidRPr="00855CC8">
        <w:rPr>
          <w:b/>
          <w:bCs/>
          <w:u w:val="single"/>
        </w:rPr>
        <w:t xml:space="preserve"> of labor</w:t>
      </w:r>
      <w:r w:rsidRPr="0046336A">
        <w:rPr>
          <w:sz w:val="14"/>
        </w:rPr>
        <w:t xml:space="preserve"> management relations, </w:t>
      </w:r>
      <w:r w:rsidRPr="00043DFA">
        <w:rPr>
          <w:rStyle w:val="Emphasis"/>
          <w:highlight w:val="yellow"/>
        </w:rPr>
        <w:t xml:space="preserve">unions undermine </w:t>
      </w:r>
      <w:r w:rsidRPr="0046336A">
        <w:rPr>
          <w:rStyle w:val="Emphasis"/>
        </w:rPr>
        <w:t xml:space="preserve">the </w:t>
      </w:r>
      <w:r w:rsidRPr="00043DFA">
        <w:rPr>
          <w:rStyle w:val="Emphasis"/>
          <w:highlight w:val="yellow"/>
        </w:rPr>
        <w:t>class-based approaches</w:t>
      </w:r>
      <w:r w:rsidRPr="00855CC8">
        <w:rPr>
          <w:u w:val="single"/>
        </w:rPr>
        <w:t xml:space="preserve"> to advancing workers’ rights</w:t>
      </w:r>
      <w:r w:rsidRPr="0046336A">
        <w:rPr>
          <w:sz w:val="14"/>
        </w:rPr>
        <w:t xml:space="preserve"> described by Matthews Lemieux and Barrett.</w:t>
      </w:r>
    </w:p>
    <w:p w14:paraId="7D0F68BD" w14:textId="77777777" w:rsidR="00F16872" w:rsidRPr="0046336A" w:rsidRDefault="00F16872" w:rsidP="00F16872">
      <w:pPr>
        <w:rPr>
          <w:sz w:val="14"/>
        </w:rPr>
      </w:pPr>
      <w:r w:rsidRPr="0046336A">
        <w:rPr>
          <w:sz w:val="14"/>
        </w:rPr>
        <w:t>Workers’ Rights as Human Rights as a Political Strategy</w:t>
      </w:r>
    </w:p>
    <w:p w14:paraId="53322846" w14:textId="77777777" w:rsidR="00F16872" w:rsidRPr="0046336A" w:rsidRDefault="00F16872" w:rsidP="00F16872">
      <w:pPr>
        <w:rPr>
          <w:sz w:val="14"/>
        </w:rPr>
      </w:pPr>
      <w:r w:rsidRPr="0046336A">
        <w:rPr>
          <w:sz w:val="14"/>
        </w:rPr>
        <w:tab/>
        <w:t xml:space="preserve">On paper, the Canadian labor movement looks healthy and vibrant, particularly when compared with its American counterpart. However, </w:t>
      </w:r>
      <w:r w:rsidRPr="00043DFA">
        <w:rPr>
          <w:highlight w:val="yellow"/>
          <w:u w:val="single"/>
        </w:rPr>
        <w:t>higher</w:t>
      </w:r>
      <w:r w:rsidRPr="0046336A">
        <w:rPr>
          <w:sz w:val="14"/>
        </w:rPr>
        <w:t xml:space="preserve"> levels of </w:t>
      </w:r>
      <w:r w:rsidRPr="00855CC8">
        <w:rPr>
          <w:u w:val="single"/>
        </w:rPr>
        <w:t xml:space="preserve">union </w:t>
      </w:r>
      <w:r w:rsidRPr="00043DFA">
        <w:rPr>
          <w:rStyle w:val="Emphasis"/>
          <w:highlight w:val="yellow"/>
        </w:rPr>
        <w:t>density</w:t>
      </w:r>
      <w:r w:rsidRPr="0046336A">
        <w:rPr>
          <w:sz w:val="14"/>
        </w:rPr>
        <w:t xml:space="preserve">, </w:t>
      </w:r>
      <w:r w:rsidRPr="00855CC8">
        <w:rPr>
          <w:u w:val="single"/>
        </w:rPr>
        <w:t xml:space="preserve">expedited certification votes, the </w:t>
      </w:r>
      <w:r w:rsidRPr="00043DFA">
        <w:rPr>
          <w:b/>
          <w:bCs/>
          <w:highlight w:val="yellow"/>
          <w:u w:val="single"/>
        </w:rPr>
        <w:t>absence</w:t>
      </w:r>
      <w:r w:rsidRPr="00043DFA">
        <w:rPr>
          <w:highlight w:val="yellow"/>
          <w:u w:val="single"/>
        </w:rPr>
        <w:t xml:space="preserve"> of </w:t>
      </w:r>
      <w:r w:rsidRPr="00043DFA">
        <w:rPr>
          <w:rStyle w:val="Emphasis"/>
          <w:highlight w:val="yellow"/>
        </w:rPr>
        <w:t>r</w:t>
      </w:r>
      <w:r w:rsidRPr="00855CC8">
        <w:rPr>
          <w:u w:val="single"/>
        </w:rPr>
        <w:t>ight-</w:t>
      </w:r>
      <w:r w:rsidRPr="00043DFA">
        <w:rPr>
          <w:rStyle w:val="Emphasis"/>
          <w:highlight w:val="yellow"/>
        </w:rPr>
        <w:t>t</w:t>
      </w:r>
      <w:r w:rsidRPr="00855CC8">
        <w:rPr>
          <w:u w:val="single"/>
        </w:rPr>
        <w:t>o-</w:t>
      </w:r>
      <w:r w:rsidRPr="00043DFA">
        <w:rPr>
          <w:rStyle w:val="Emphasis"/>
          <w:highlight w:val="yellow"/>
        </w:rPr>
        <w:t>w</w:t>
      </w:r>
      <w:r w:rsidRPr="00855CC8">
        <w:rPr>
          <w:u w:val="single"/>
        </w:rPr>
        <w:t>ork laws</w:t>
      </w:r>
      <w:r w:rsidRPr="0046336A">
        <w:rPr>
          <w:sz w:val="14"/>
        </w:rPr>
        <w:t xml:space="preserve">, and the existence of card-based union certification and antiscab laws in some provincial jurisdictions </w:t>
      </w:r>
      <w:r w:rsidRPr="00043DFA">
        <w:rPr>
          <w:rStyle w:val="Emphasis"/>
          <w:highlight w:val="yellow"/>
        </w:rPr>
        <w:t>mask</w:t>
      </w:r>
      <w:r w:rsidRPr="00855CC8">
        <w:rPr>
          <w:rStyle w:val="Emphasis"/>
        </w:rPr>
        <w:t xml:space="preserve"> some </w:t>
      </w:r>
      <w:r w:rsidRPr="00043DFA">
        <w:rPr>
          <w:rStyle w:val="Emphasis"/>
          <w:highlight w:val="yellow"/>
        </w:rPr>
        <w:t>significant challenges facing workers</w:t>
      </w:r>
      <w:r w:rsidRPr="00855CC8">
        <w:rPr>
          <w:rStyle w:val="Emphasis"/>
        </w:rPr>
        <w:t xml:space="preserve"> and their unions</w:t>
      </w:r>
      <w:r w:rsidRPr="0046336A">
        <w:rPr>
          <w:sz w:val="14"/>
        </w:rPr>
        <w:t xml:space="preserve"> in Canada. In particular, the pressures of deindustrialization and </w:t>
      </w:r>
      <w:r w:rsidRPr="00043DFA">
        <w:rPr>
          <w:highlight w:val="yellow"/>
          <w:u w:val="single"/>
        </w:rPr>
        <w:t xml:space="preserve">neoliberal </w:t>
      </w:r>
      <w:r w:rsidRPr="00BE7501">
        <w:rPr>
          <w:u w:val="single"/>
        </w:rPr>
        <w:t>globalization</w:t>
      </w:r>
      <w:r w:rsidRPr="0046336A">
        <w:rPr>
          <w:u w:val="single"/>
        </w:rPr>
        <w:t xml:space="preserve"> have inflicted severe damage to private-sector unions, while </w:t>
      </w:r>
      <w:r w:rsidRPr="0046336A">
        <w:rPr>
          <w:rStyle w:val="Emphasis"/>
        </w:rPr>
        <w:t xml:space="preserve">government </w:t>
      </w:r>
      <w:r w:rsidRPr="00043DFA">
        <w:rPr>
          <w:rStyle w:val="Emphasis"/>
          <w:highlight w:val="yellow"/>
        </w:rPr>
        <w:t>austerity</w:t>
      </w:r>
      <w:r w:rsidRPr="0046336A">
        <w:rPr>
          <w:u w:val="single"/>
        </w:rPr>
        <w:t xml:space="preserve"> programs </w:t>
      </w:r>
      <w:r w:rsidRPr="00043DFA">
        <w:rPr>
          <w:highlight w:val="yellow"/>
          <w:u w:val="single"/>
        </w:rPr>
        <w:t xml:space="preserve">and </w:t>
      </w:r>
      <w:r w:rsidRPr="00043DFA">
        <w:rPr>
          <w:rStyle w:val="Emphasis"/>
          <w:highlight w:val="yellow"/>
        </w:rPr>
        <w:t xml:space="preserve">privatization </w:t>
      </w:r>
      <w:r w:rsidRPr="007D7842">
        <w:rPr>
          <w:rStyle w:val="Emphasis"/>
        </w:rPr>
        <w:t>schemes</w:t>
      </w:r>
      <w:r w:rsidRPr="0046336A">
        <w:rPr>
          <w:u w:val="single"/>
        </w:rPr>
        <w:t xml:space="preserve"> continue to </w:t>
      </w:r>
      <w:r w:rsidRPr="00043DFA">
        <w:rPr>
          <w:highlight w:val="yellow"/>
          <w:u w:val="single"/>
        </w:rPr>
        <w:t>threaten</w:t>
      </w:r>
      <w:r w:rsidRPr="0046336A">
        <w:rPr>
          <w:u w:val="single"/>
        </w:rPr>
        <w:t xml:space="preserve"> high levels of public-sector union density</w:t>
      </w:r>
      <w:r w:rsidRPr="0046336A">
        <w:rPr>
          <w:sz w:val="14"/>
        </w:rPr>
        <w:t>. In short</w:t>
      </w:r>
      <w:r w:rsidRPr="0046336A">
        <w:t xml:space="preserve">, </w:t>
      </w:r>
      <w:r w:rsidRPr="00043DFA">
        <w:rPr>
          <w:rStyle w:val="Emphasis"/>
          <w:highlight w:val="yellow"/>
        </w:rPr>
        <w:t>organized labor</w:t>
      </w:r>
      <w:r w:rsidRPr="0046336A">
        <w:rPr>
          <w:u w:val="single"/>
        </w:rPr>
        <w:t>’s political clout has diminished considerably</w:t>
      </w:r>
      <w:r w:rsidRPr="0046336A">
        <w:rPr>
          <w:sz w:val="14"/>
        </w:rPr>
        <w:t xml:space="preserve"> over the course of the last few decades. </w:t>
      </w:r>
      <w:r w:rsidRPr="0046336A">
        <w:rPr>
          <w:u w:val="single"/>
        </w:rPr>
        <w:t>As such</w:t>
      </w:r>
      <w:r w:rsidRPr="0046336A">
        <w:rPr>
          <w:sz w:val="14"/>
        </w:rPr>
        <w:t xml:space="preserve">, Canadian </w:t>
      </w:r>
      <w:r w:rsidRPr="00043DFA">
        <w:rPr>
          <w:b/>
          <w:bCs/>
          <w:highlight w:val="yellow"/>
          <w:u w:val="single"/>
        </w:rPr>
        <w:t xml:space="preserve">unions </w:t>
      </w:r>
      <w:r w:rsidRPr="00043DFA">
        <w:rPr>
          <w:highlight w:val="yellow"/>
          <w:u w:val="single"/>
        </w:rPr>
        <w:t>have</w:t>
      </w:r>
      <w:r w:rsidRPr="0046336A">
        <w:rPr>
          <w:u w:val="single"/>
        </w:rPr>
        <w:t xml:space="preserve"> </w:t>
      </w:r>
      <w:r w:rsidRPr="0046336A">
        <w:rPr>
          <w:b/>
          <w:bCs/>
          <w:u w:val="single"/>
        </w:rPr>
        <w:t>increasingly</w:t>
      </w:r>
      <w:r w:rsidRPr="0046336A">
        <w:rPr>
          <w:u w:val="single"/>
        </w:rPr>
        <w:t xml:space="preserve"> </w:t>
      </w:r>
      <w:r w:rsidRPr="00043DFA">
        <w:rPr>
          <w:highlight w:val="yellow"/>
          <w:u w:val="single"/>
        </w:rPr>
        <w:t xml:space="preserve">come to </w:t>
      </w:r>
      <w:r w:rsidRPr="00043DFA">
        <w:rPr>
          <w:rStyle w:val="Emphasis"/>
          <w:highlight w:val="yellow"/>
        </w:rPr>
        <w:t>embrace</w:t>
      </w:r>
      <w:r w:rsidRPr="0046336A">
        <w:rPr>
          <w:sz w:val="14"/>
        </w:rPr>
        <w:t xml:space="preserve"> what Michael Mandel refers to as “</w:t>
      </w:r>
      <w:r w:rsidRPr="00043DFA">
        <w:rPr>
          <w:rStyle w:val="Emphasis"/>
          <w:highlight w:val="yellow"/>
        </w:rPr>
        <w:t>legalized politics</w:t>
      </w:r>
      <w:r w:rsidRPr="0046336A">
        <w:rPr>
          <w:sz w:val="14"/>
        </w:rPr>
        <w:t xml:space="preserve">” (Mandel 1994). </w:t>
      </w:r>
      <w:r w:rsidRPr="00043DFA">
        <w:rPr>
          <w:rStyle w:val="Emphasis"/>
          <w:highlight w:val="yellow"/>
        </w:rPr>
        <w:t>Rather than focus</w:t>
      </w:r>
      <w:r w:rsidRPr="0046336A">
        <w:rPr>
          <w:rStyle w:val="Emphasis"/>
        </w:rPr>
        <w:t xml:space="preserve"> their </w:t>
      </w:r>
      <w:r w:rsidRPr="00043DFA">
        <w:rPr>
          <w:rStyle w:val="Emphasis"/>
          <w:highlight w:val="yellow"/>
        </w:rPr>
        <w:t>resources on political struggles</w:t>
      </w:r>
      <w:r w:rsidRPr="00043DFA">
        <w:rPr>
          <w:highlight w:val="yellow"/>
          <w:u w:val="single"/>
        </w:rPr>
        <w:t xml:space="preserve"> against</w:t>
      </w:r>
      <w:r w:rsidRPr="0046336A">
        <w:rPr>
          <w:u w:val="single"/>
        </w:rPr>
        <w:t xml:space="preserve"> </w:t>
      </w:r>
      <w:r w:rsidRPr="0046336A">
        <w:rPr>
          <w:b/>
          <w:bCs/>
          <w:u w:val="single"/>
        </w:rPr>
        <w:t xml:space="preserve">hostile </w:t>
      </w:r>
      <w:r w:rsidRPr="00043DFA">
        <w:rPr>
          <w:b/>
          <w:bCs/>
          <w:highlight w:val="yellow"/>
          <w:u w:val="single"/>
        </w:rPr>
        <w:t>politicians</w:t>
      </w:r>
      <w:r w:rsidRPr="00043DFA">
        <w:rPr>
          <w:highlight w:val="yellow"/>
          <w:u w:val="single"/>
        </w:rPr>
        <w:t xml:space="preserve"> and</w:t>
      </w:r>
      <w:r w:rsidRPr="0046336A">
        <w:rPr>
          <w:u w:val="single"/>
        </w:rPr>
        <w:t xml:space="preserve"> antiunion </w:t>
      </w:r>
      <w:r w:rsidRPr="00043DFA">
        <w:rPr>
          <w:rStyle w:val="Emphasis"/>
          <w:highlight w:val="yellow"/>
        </w:rPr>
        <w:t>employers</w:t>
      </w:r>
      <w:r w:rsidRPr="0046336A">
        <w:rPr>
          <w:sz w:val="14"/>
        </w:rPr>
        <w:t xml:space="preserve">, Canadian </w:t>
      </w:r>
      <w:r w:rsidRPr="00043DFA">
        <w:rPr>
          <w:rStyle w:val="Emphasis"/>
          <w:highlight w:val="yellow"/>
        </w:rPr>
        <w:t>unions</w:t>
      </w:r>
      <w:r w:rsidRPr="0046336A">
        <w:rPr>
          <w:u w:val="single"/>
        </w:rPr>
        <w:t xml:space="preserve"> have</w:t>
      </w:r>
      <w:r w:rsidRPr="0046336A">
        <w:rPr>
          <w:sz w:val="14"/>
        </w:rPr>
        <w:t xml:space="preserve">, to some degree, </w:t>
      </w:r>
      <w:r w:rsidRPr="00043DFA">
        <w:rPr>
          <w:rStyle w:val="Emphasis"/>
          <w:highlight w:val="yellow"/>
        </w:rPr>
        <w:t>retreated to legal institutions</w:t>
      </w:r>
      <w:r w:rsidRPr="0046336A">
        <w:rPr>
          <w:rStyle w:val="Emphasis"/>
        </w:rPr>
        <w:t xml:space="preserve"> as an alternative strategy</w:t>
      </w:r>
      <w:r w:rsidRPr="0046336A">
        <w:rPr>
          <w:u w:val="single"/>
        </w:rPr>
        <w:t>.</w:t>
      </w:r>
      <w:r w:rsidRPr="0046336A">
        <w:rPr>
          <w:sz w:val="14"/>
        </w:rPr>
        <w:t xml:space="preserve"> </w:t>
      </w:r>
      <w:r w:rsidRPr="0046336A">
        <w:rPr>
          <w:u w:val="single"/>
        </w:rPr>
        <w:t xml:space="preserve">Labor’s strategic shift toward </w:t>
      </w:r>
      <w:r w:rsidRPr="0046336A">
        <w:rPr>
          <w:rStyle w:val="Emphasis"/>
        </w:rPr>
        <w:t>embracing rights discourse as a political strategy</w:t>
      </w:r>
      <w:r w:rsidRPr="0046336A">
        <w:rPr>
          <w:u w:val="single"/>
        </w:rPr>
        <w:t xml:space="preserve"> is </w:t>
      </w:r>
      <w:r w:rsidRPr="00043DFA">
        <w:rPr>
          <w:rStyle w:val="Emphasis"/>
          <w:highlight w:val="yellow"/>
        </w:rPr>
        <w:t>unquestionably linked</w:t>
      </w:r>
      <w:r w:rsidRPr="00043DFA">
        <w:rPr>
          <w:highlight w:val="yellow"/>
          <w:u w:val="single"/>
        </w:rPr>
        <w:t xml:space="preserve"> to</w:t>
      </w:r>
      <w:r w:rsidRPr="0046336A">
        <w:rPr>
          <w:u w:val="single"/>
        </w:rPr>
        <w:t xml:space="preserve"> its </w:t>
      </w:r>
      <w:r w:rsidRPr="00043DFA">
        <w:rPr>
          <w:b/>
          <w:bCs/>
          <w:highlight w:val="yellow"/>
          <w:u w:val="single"/>
        </w:rPr>
        <w:t>unprecedented</w:t>
      </w:r>
      <w:r w:rsidRPr="0046336A">
        <w:rPr>
          <w:u w:val="single"/>
        </w:rPr>
        <w:t xml:space="preserve"> </w:t>
      </w:r>
      <w:r w:rsidRPr="0046336A">
        <w:rPr>
          <w:sz w:val="14"/>
        </w:rPr>
        <w:t xml:space="preserve">postwar </w:t>
      </w:r>
      <w:r w:rsidRPr="0046336A">
        <w:rPr>
          <w:rStyle w:val="Emphasis"/>
        </w:rPr>
        <w:t>weakness</w:t>
      </w:r>
      <w:r w:rsidRPr="0046336A">
        <w:rPr>
          <w:sz w:val="14"/>
        </w:rPr>
        <w:t>.</w:t>
      </w:r>
    </w:p>
    <w:p w14:paraId="463FEAF5" w14:textId="77777777" w:rsidR="00F16872" w:rsidRPr="0046336A" w:rsidRDefault="00F16872" w:rsidP="00F16872">
      <w:pPr>
        <w:rPr>
          <w:sz w:val="14"/>
        </w:rPr>
      </w:pPr>
      <w:r w:rsidRPr="0046336A">
        <w:rPr>
          <w:sz w:val="14"/>
        </w:rPr>
        <w:tab/>
        <w:t>Labor’s strategic shift toward actively pursuing litigation has occurred primarily because of events outside of the courtroom. Declining union density, diminished political power, and changing party-union relationships have contributed to labor’s new reliance on the judiciary. As such, recent Charter victories do not showcase organized labor’s strength. In fact, in many ways, recent Supreme Court decisions have highlighted the labor movement’s weakness in an era of neoliberal economic restructuring (Savage 2007).</w:t>
      </w:r>
    </w:p>
    <w:p w14:paraId="1D259791" w14:textId="77777777" w:rsidR="00F16872" w:rsidRPr="0046336A" w:rsidRDefault="00F16872" w:rsidP="00F16872">
      <w:pPr>
        <w:rPr>
          <w:sz w:val="14"/>
        </w:rPr>
      </w:pPr>
      <w:r w:rsidRPr="0046336A">
        <w:rPr>
          <w:sz w:val="14"/>
        </w:rPr>
        <w:tab/>
        <w:t>It is also worth noting that several non-labor-related Charter decisions have had a positive effect on the way organized labor has viewed the courts in recent years. Judicial advances for women, sexual minorities, and aboriginals have helped to labor movement warm up to the courts. After all, workers do not simply identify with their own class interests. They also identify as citizens made up of different races, genders, sexual orientations, languages, religions, and regions. The labor movement’s relatively strong relationship with identity-based social movements and postmaterialist movements has undoubtedly helped many union activists overcome their longstanding suspicion or distrust of the judicial system (Savage 2007).</w:t>
      </w:r>
    </w:p>
    <w:p w14:paraId="463451FE" w14:textId="77777777" w:rsidR="00F16872" w:rsidRPr="0046336A" w:rsidRDefault="00F16872" w:rsidP="00F16872">
      <w:pPr>
        <w:rPr>
          <w:u w:val="single"/>
        </w:rPr>
      </w:pPr>
      <w:r w:rsidRPr="0046336A">
        <w:rPr>
          <w:sz w:val="14"/>
        </w:rPr>
        <w:tab/>
        <w:t xml:space="preserve">Historically, </w:t>
      </w:r>
      <w:r w:rsidRPr="00043DFA">
        <w:rPr>
          <w:rStyle w:val="Emphasis"/>
          <w:highlight w:val="yellow"/>
        </w:rPr>
        <w:t>collective</w:t>
      </w:r>
      <w:r w:rsidRPr="0046336A">
        <w:rPr>
          <w:rStyle w:val="Emphasis"/>
        </w:rPr>
        <w:t xml:space="preserve"> political </w:t>
      </w:r>
      <w:r w:rsidRPr="00043DFA">
        <w:rPr>
          <w:rStyle w:val="Emphasis"/>
          <w:highlight w:val="yellow"/>
        </w:rPr>
        <w:t>action</w:t>
      </w:r>
      <w:r w:rsidRPr="00043DFA">
        <w:rPr>
          <w:highlight w:val="yellow"/>
          <w:u w:val="single"/>
        </w:rPr>
        <w:t xml:space="preserve"> has been</w:t>
      </w:r>
      <w:r w:rsidRPr="0046336A">
        <w:rPr>
          <w:u w:val="single"/>
        </w:rPr>
        <w:t xml:space="preserve"> organized </w:t>
      </w:r>
      <w:r w:rsidRPr="00043DFA">
        <w:rPr>
          <w:highlight w:val="yellow"/>
          <w:u w:val="single"/>
        </w:rPr>
        <w:t>labor’s</w:t>
      </w:r>
      <w:r w:rsidRPr="0046336A">
        <w:rPr>
          <w:u w:val="single"/>
        </w:rPr>
        <w:t xml:space="preserve"> favored and </w:t>
      </w:r>
      <w:r w:rsidRPr="00043DFA">
        <w:rPr>
          <w:rStyle w:val="Emphasis"/>
          <w:highlight w:val="yellow"/>
        </w:rPr>
        <w:t>most successful vehicle for progressive change</w:t>
      </w:r>
      <w:r w:rsidRPr="0046336A">
        <w:rPr>
          <w:u w:val="single"/>
        </w:rPr>
        <w:t>.</w:t>
      </w:r>
      <w:r w:rsidRPr="0046336A">
        <w:rPr>
          <w:sz w:val="14"/>
        </w:rPr>
        <w:t xml:space="preserve"> Indeed, </w:t>
      </w:r>
      <w:r w:rsidRPr="0046336A">
        <w:rPr>
          <w:b/>
          <w:bCs/>
          <w:u w:val="single"/>
        </w:rPr>
        <w:t>workers</w:t>
      </w:r>
      <w:r w:rsidRPr="0046336A">
        <w:rPr>
          <w:u w:val="single"/>
        </w:rPr>
        <w:t xml:space="preserve"> </w:t>
      </w:r>
      <w:r w:rsidRPr="0046336A">
        <w:rPr>
          <w:b/>
          <w:bCs/>
          <w:u w:val="single"/>
        </w:rPr>
        <w:t>struggled</w:t>
      </w:r>
      <w:r w:rsidRPr="0046336A">
        <w:rPr>
          <w:u w:val="single"/>
        </w:rPr>
        <w:t xml:space="preserve"> and in some cases </w:t>
      </w:r>
      <w:r w:rsidRPr="0046336A">
        <w:rPr>
          <w:b/>
          <w:bCs/>
          <w:u w:val="single"/>
        </w:rPr>
        <w:t>died</w:t>
      </w:r>
      <w:r w:rsidRPr="0046336A">
        <w:rPr>
          <w:u w:val="single"/>
        </w:rPr>
        <w:t xml:space="preserve"> to secure recognition of trade union rights.</w:t>
      </w:r>
      <w:r w:rsidRPr="0046336A">
        <w:rPr>
          <w:sz w:val="14"/>
        </w:rPr>
        <w:t xml:space="preserve"> </w:t>
      </w:r>
      <w:r w:rsidRPr="00043DFA">
        <w:rPr>
          <w:rStyle w:val="Emphasis"/>
          <w:highlight w:val="yellow"/>
        </w:rPr>
        <w:t>A new focus on</w:t>
      </w:r>
      <w:r w:rsidRPr="0046336A">
        <w:rPr>
          <w:rStyle w:val="Emphasis"/>
        </w:rPr>
        <w:t xml:space="preserve"> a </w:t>
      </w:r>
      <w:r w:rsidRPr="00043DFA">
        <w:rPr>
          <w:rStyle w:val="Emphasis"/>
          <w:highlight w:val="yellow"/>
        </w:rPr>
        <w:t>legalistic</w:t>
      </w:r>
      <w:r w:rsidRPr="0046336A">
        <w:rPr>
          <w:rStyle w:val="Emphasis"/>
        </w:rPr>
        <w:t xml:space="preserve"> brand of </w:t>
      </w:r>
      <w:r w:rsidRPr="00043DFA">
        <w:rPr>
          <w:rStyle w:val="Emphasis"/>
          <w:highlight w:val="yellow"/>
        </w:rPr>
        <w:t>rights</w:t>
      </w:r>
      <w:r w:rsidRPr="0046336A">
        <w:rPr>
          <w:rStyle w:val="Emphasis"/>
        </w:rPr>
        <w:t xml:space="preserve"> discourse</w:t>
      </w:r>
      <w:r w:rsidRPr="0046336A">
        <w:rPr>
          <w:sz w:val="14"/>
        </w:rPr>
        <w:t xml:space="preserve">, </w:t>
      </w:r>
      <w:r w:rsidRPr="0046336A">
        <w:rPr>
          <w:u w:val="single"/>
        </w:rPr>
        <w:t xml:space="preserve">which </w:t>
      </w:r>
      <w:r w:rsidRPr="0046336A">
        <w:rPr>
          <w:rStyle w:val="Emphasis"/>
        </w:rPr>
        <w:t>privileges legal institutions</w:t>
      </w:r>
      <w:r w:rsidRPr="0046336A">
        <w:rPr>
          <w:sz w:val="14"/>
        </w:rPr>
        <w:t xml:space="preserve"> like the ILO’s Committee of Freedom of Association and the Supreme Court of Canada, </w:t>
      </w:r>
      <w:r w:rsidRPr="0046336A">
        <w:rPr>
          <w:u w:val="single"/>
        </w:rPr>
        <w:t xml:space="preserve">threatens to </w:t>
      </w:r>
      <w:r w:rsidRPr="00043DFA">
        <w:rPr>
          <w:rStyle w:val="Emphasis"/>
          <w:highlight w:val="yellow"/>
        </w:rPr>
        <w:t>undermine</w:t>
      </w:r>
      <w:r w:rsidRPr="00043DFA">
        <w:rPr>
          <w:highlight w:val="yellow"/>
          <w:u w:val="single"/>
        </w:rPr>
        <w:t xml:space="preserve"> </w:t>
      </w:r>
      <w:r w:rsidRPr="00043DFA">
        <w:rPr>
          <w:rStyle w:val="Emphasis"/>
          <w:highlight w:val="yellow"/>
        </w:rPr>
        <w:t>collective</w:t>
      </w:r>
      <w:r w:rsidRPr="0046336A">
        <w:rPr>
          <w:rStyle w:val="Emphasis"/>
        </w:rPr>
        <w:t xml:space="preserve"> political </w:t>
      </w:r>
      <w:r w:rsidRPr="00043DFA">
        <w:rPr>
          <w:rStyle w:val="Emphasis"/>
          <w:highlight w:val="yellow"/>
        </w:rPr>
        <w:t>responses to neoliberal assaults</w:t>
      </w:r>
      <w:r w:rsidRPr="0046336A">
        <w:rPr>
          <w:u w:val="single"/>
        </w:rPr>
        <w:t xml:space="preserve"> on trade union rights and </w:t>
      </w:r>
      <w:r w:rsidRPr="0046336A">
        <w:rPr>
          <w:b/>
          <w:bCs/>
          <w:u w:val="single"/>
        </w:rPr>
        <w:t>freedoms</w:t>
      </w:r>
      <w:r w:rsidRPr="0046336A">
        <w:rPr>
          <w:sz w:val="14"/>
        </w:rPr>
        <w:t xml:space="preserve">. This is not to suggest that </w:t>
      </w:r>
      <w:r w:rsidRPr="0046336A">
        <w:rPr>
          <w:i/>
          <w:iCs/>
          <w:sz w:val="14"/>
        </w:rPr>
        <w:t>Charter</w:t>
      </w:r>
      <w:r w:rsidRPr="0046336A">
        <w:rPr>
          <w:sz w:val="14"/>
        </w:rPr>
        <w:t xml:space="preserve"> litigation is always a dead-end strategy for organized labor or that unions cannot pursue legal strategies and working-class political mobilizations simultaneously. Indeed, health care unions in BC did just that. However, </w:t>
      </w:r>
      <w:r w:rsidRPr="0046336A">
        <w:rPr>
          <w:u w:val="single"/>
        </w:rPr>
        <w:t>a judicial strategy, which relies on “joint legal research, communications strategies and financial support on the key cases</w:t>
      </w:r>
      <w:r w:rsidRPr="0046336A">
        <w:rPr>
          <w:sz w:val="14"/>
        </w:rPr>
        <w:t xml:space="preserve">” (Fudge and Brewin 2005, 83) as proposed by the NUPGE, for example, </w:t>
      </w:r>
      <w:r w:rsidRPr="00043DFA">
        <w:rPr>
          <w:rStyle w:val="Emphasis"/>
          <w:highlight w:val="yellow"/>
        </w:rPr>
        <w:t>does very little to politicize</w:t>
      </w:r>
      <w:r w:rsidRPr="00043DFA">
        <w:rPr>
          <w:highlight w:val="yellow"/>
          <w:u w:val="single"/>
        </w:rPr>
        <w:t xml:space="preserve"> or </w:t>
      </w:r>
      <w:r w:rsidRPr="00043DFA">
        <w:rPr>
          <w:rStyle w:val="Emphasis"/>
          <w:highlight w:val="yellow"/>
        </w:rPr>
        <w:t>organize</w:t>
      </w:r>
      <w:r w:rsidRPr="00043DFA">
        <w:rPr>
          <w:highlight w:val="yellow"/>
          <w:u w:val="single"/>
        </w:rPr>
        <w:t xml:space="preserve"> the grassroots</w:t>
      </w:r>
      <w:r w:rsidRPr="0046336A">
        <w:rPr>
          <w:u w:val="single"/>
        </w:rPr>
        <w:t xml:space="preserve"> in any meaningful way</w:t>
      </w:r>
      <w:r w:rsidRPr="0046336A">
        <w:rPr>
          <w:sz w:val="14"/>
        </w:rPr>
        <w:t xml:space="preserve">. Instead, </w:t>
      </w:r>
      <w:r w:rsidRPr="0046336A">
        <w:rPr>
          <w:u w:val="single"/>
        </w:rPr>
        <w:t xml:space="preserve">such approaches </w:t>
      </w:r>
      <w:r w:rsidRPr="00043DFA">
        <w:rPr>
          <w:sz w:val="28"/>
          <w:szCs w:val="28"/>
          <w:highlight w:val="yellow"/>
          <w:u w:val="single"/>
        </w:rPr>
        <w:t xml:space="preserve">place </w:t>
      </w:r>
      <w:r w:rsidRPr="00043DFA">
        <w:rPr>
          <w:rStyle w:val="Emphasis"/>
          <w:sz w:val="28"/>
          <w:szCs w:val="28"/>
          <w:highlight w:val="yellow"/>
        </w:rPr>
        <w:t>greater emphasis</w:t>
      </w:r>
      <w:r w:rsidRPr="00043DFA">
        <w:rPr>
          <w:sz w:val="28"/>
          <w:szCs w:val="28"/>
          <w:highlight w:val="yellow"/>
          <w:u w:val="single"/>
        </w:rPr>
        <w:t xml:space="preserve"> on </w:t>
      </w:r>
      <w:r w:rsidRPr="00043DFA">
        <w:rPr>
          <w:rStyle w:val="Emphasis"/>
          <w:sz w:val="28"/>
          <w:szCs w:val="28"/>
          <w:highlight w:val="yellow"/>
        </w:rPr>
        <w:t>lawyers</w:t>
      </w:r>
      <w:r w:rsidRPr="00043DFA">
        <w:rPr>
          <w:sz w:val="28"/>
          <w:szCs w:val="28"/>
          <w:highlight w:val="yellow"/>
          <w:u w:val="single"/>
        </w:rPr>
        <w:t xml:space="preserve">, </w:t>
      </w:r>
      <w:r w:rsidRPr="00043DFA">
        <w:rPr>
          <w:rStyle w:val="Emphasis"/>
          <w:sz w:val="28"/>
          <w:szCs w:val="28"/>
          <w:highlight w:val="yellow"/>
        </w:rPr>
        <w:t>judges</w:t>
      </w:r>
      <w:r w:rsidRPr="00043DFA">
        <w:rPr>
          <w:sz w:val="28"/>
          <w:szCs w:val="28"/>
          <w:highlight w:val="yellow"/>
          <w:u w:val="single"/>
        </w:rPr>
        <w:t xml:space="preserve">, and </w:t>
      </w:r>
      <w:r w:rsidRPr="00043DFA">
        <w:rPr>
          <w:rStyle w:val="Emphasis"/>
          <w:sz w:val="28"/>
          <w:szCs w:val="28"/>
          <w:highlight w:val="yellow"/>
        </w:rPr>
        <w:t>elite-driven legal responses to neoliberalism</w:t>
      </w:r>
      <w:r w:rsidRPr="00043DFA">
        <w:rPr>
          <w:sz w:val="28"/>
          <w:szCs w:val="28"/>
          <w:highlight w:val="yellow"/>
          <w:u w:val="single"/>
        </w:rPr>
        <w:t>.</w:t>
      </w:r>
    </w:p>
    <w:p w14:paraId="603A5F94" w14:textId="77777777" w:rsidR="00F16872" w:rsidRPr="0046336A" w:rsidRDefault="00F16872" w:rsidP="00F16872">
      <w:pPr>
        <w:ind w:firstLine="720"/>
        <w:rPr>
          <w:u w:val="single"/>
        </w:rPr>
      </w:pPr>
      <w:r w:rsidRPr="0046336A">
        <w:rPr>
          <w:sz w:val="14"/>
        </w:rPr>
        <w:t xml:space="preserve">Although promoting workers’ rights as human rights has yielded symbolic victories along the way, it has done very little to change the balance of class forces in Canada. And although the recent BC Health Services decision proved that the Charter does have some progressive potential in the realm of labor law, at its core, the Charter remains firmly committed to the principles of liberal democracy. In the end, no constitutional document, however progressive, can replace the need for sustained political struggle to protect and enhance workers’ rights. To be sure, the workers’ rights as human rights approach may end up undermining labor’s capacity for class-based political mobilizations in the future. </w:t>
      </w:r>
      <w:r w:rsidRPr="0046336A">
        <w:rPr>
          <w:u w:val="single"/>
        </w:rPr>
        <w:t xml:space="preserve">Although a liberal </w:t>
      </w:r>
      <w:r w:rsidRPr="00043DFA">
        <w:rPr>
          <w:b/>
          <w:bCs/>
          <w:highlight w:val="yellow"/>
          <w:u w:val="single"/>
        </w:rPr>
        <w:t>rights</w:t>
      </w:r>
      <w:r w:rsidRPr="003D1CE8">
        <w:rPr>
          <w:b/>
          <w:bCs/>
          <w:u w:val="single"/>
        </w:rPr>
        <w:t xml:space="preserve">-based strategy </w:t>
      </w:r>
      <w:r w:rsidRPr="00043DFA">
        <w:rPr>
          <w:b/>
          <w:bCs/>
          <w:highlight w:val="yellow"/>
          <w:u w:val="single"/>
        </w:rPr>
        <w:t>may yield positive results in the short term</w:t>
      </w:r>
      <w:r w:rsidRPr="0046336A">
        <w:rPr>
          <w:u w:val="single"/>
        </w:rPr>
        <w:t xml:space="preserve">, </w:t>
      </w:r>
      <w:r w:rsidRPr="00043DFA">
        <w:rPr>
          <w:highlight w:val="yellow"/>
          <w:u w:val="single"/>
        </w:rPr>
        <w:t>over the long term</w:t>
      </w:r>
      <w:r w:rsidRPr="0046336A">
        <w:rPr>
          <w:u w:val="single"/>
        </w:rPr>
        <w:t xml:space="preserve">, </w:t>
      </w:r>
      <w:r w:rsidRPr="003D1CE8">
        <w:rPr>
          <w:rStyle w:val="Emphasis"/>
        </w:rPr>
        <w:t xml:space="preserve">it may turn out to be </w:t>
      </w:r>
      <w:r w:rsidRPr="00043DFA">
        <w:rPr>
          <w:rStyle w:val="Emphasis"/>
          <w:highlight w:val="yellow"/>
        </w:rPr>
        <w:t>the quickest path to irrelevancy for a labor movement</w:t>
      </w:r>
      <w:r w:rsidRPr="0046336A">
        <w:rPr>
          <w:u w:val="single"/>
        </w:rPr>
        <w:t xml:space="preserve"> that continues to </w:t>
      </w:r>
      <w:r w:rsidRPr="003D1CE8">
        <w:rPr>
          <w:rStyle w:val="Emphasis"/>
        </w:rPr>
        <w:t>tread water in an era of neoliberal globalization</w:t>
      </w:r>
      <w:r w:rsidRPr="0046336A">
        <w:rPr>
          <w:u w:val="single"/>
        </w:rPr>
        <w:t>.</w:t>
      </w:r>
    </w:p>
    <w:p w14:paraId="3A719698" w14:textId="77777777" w:rsidR="00F16872" w:rsidRDefault="00F16872" w:rsidP="00F16872"/>
    <w:p w14:paraId="32AB194A" w14:textId="77777777" w:rsidR="00F16872" w:rsidRDefault="00F16872" w:rsidP="00F16872">
      <w:pPr>
        <w:pStyle w:val="Heading3"/>
      </w:pPr>
      <w:r>
        <w:t>Price Stability</w:t>
      </w:r>
    </w:p>
    <w:p w14:paraId="68F5FE14" w14:textId="77777777" w:rsidR="00F16872" w:rsidRDefault="00F16872" w:rsidP="00F16872">
      <w:pPr>
        <w:pStyle w:val="Heading4"/>
      </w:pPr>
      <w:r>
        <w:t>Sorry T, Back to the Financial Capitalism advantage</w:t>
      </w:r>
    </w:p>
    <w:p w14:paraId="40212912" w14:textId="77777777" w:rsidR="00F16872" w:rsidRPr="0075319E" w:rsidRDefault="00F16872" w:rsidP="00F16872"/>
    <w:p w14:paraId="53316F47" w14:textId="77777777" w:rsidR="00F16872" w:rsidRPr="00F47149" w:rsidRDefault="00F16872" w:rsidP="00F16872">
      <w:pPr>
        <w:pStyle w:val="Heading4"/>
        <w:rPr>
          <w:rFonts w:cs="Calibri"/>
        </w:rPr>
      </w:pPr>
      <w:r w:rsidRPr="00F47149">
        <w:rPr>
          <w:rFonts w:cs="Calibri"/>
        </w:rPr>
        <w:t>Diversionary war theory is wrong, the inverse is more true</w:t>
      </w:r>
    </w:p>
    <w:p w14:paraId="2A86EB88" w14:textId="77777777" w:rsidR="00F16872" w:rsidRPr="00F47149" w:rsidRDefault="00F16872" w:rsidP="00F16872">
      <w:pPr>
        <w:rPr>
          <w:rStyle w:val="Style13ptBold"/>
        </w:rPr>
      </w:pPr>
      <w:r w:rsidRPr="00F47149">
        <w:rPr>
          <w:rStyle w:val="Style13ptBold"/>
        </w:rPr>
        <w:t>Zhong 18</w:t>
      </w:r>
    </w:p>
    <w:p w14:paraId="15069A19" w14:textId="77777777" w:rsidR="00F16872" w:rsidRPr="00F47149" w:rsidRDefault="00F16872" w:rsidP="00F16872">
      <w:r w:rsidRPr="00F47149">
        <w:t xml:space="preserve">[Sylvie Huahua Zhong, “Diversionary Theory of War: Levels of Domestic Conflict and External Use of Force”, 2018, Midwest Journal of Undergraduate Research, p. </w:t>
      </w:r>
      <w:hyperlink r:id="rId27" w:history="1">
        <w:r w:rsidRPr="00F47149">
          <w:rPr>
            <w:rStyle w:val="Hyperlink"/>
          </w:rPr>
          <w:t>https://www.monmouthcollege.edu/live/files/777-mjur-i09-2018-8-zhongpdf</w:t>
        </w:r>
      </w:hyperlink>
      <w:r w:rsidRPr="00F47149">
        <w:t>., DOA 4/2/2025 ]</w:t>
      </w:r>
    </w:p>
    <w:p w14:paraId="395274D1" w14:textId="77777777" w:rsidR="00F16872" w:rsidRPr="00F47149" w:rsidRDefault="00F16872" w:rsidP="00F16872"/>
    <w:p w14:paraId="2B58578F" w14:textId="77777777" w:rsidR="00F16872" w:rsidRPr="00F47149" w:rsidRDefault="00F16872" w:rsidP="00F16872">
      <w:pPr>
        <w:rPr>
          <w:sz w:val="12"/>
        </w:rPr>
      </w:pPr>
      <w:r w:rsidRPr="00F47149">
        <w:rPr>
          <w:sz w:val="12"/>
        </w:rPr>
        <w:t xml:space="preserve">Generally speaking, </w:t>
      </w:r>
      <w:r w:rsidRPr="00F47149">
        <w:rPr>
          <w:highlight w:val="yellow"/>
          <w:u w:val="single"/>
        </w:rPr>
        <w:t>quantitative diversionary studies</w:t>
      </w:r>
      <w:r w:rsidRPr="00F47149">
        <w:rPr>
          <w:sz w:val="12"/>
        </w:rPr>
        <w:t xml:space="preserve"> debate the significance of two levels of domestic conflict in explaining a state’s foreign policy choices: domestic mass violence and moderate societal unrest. Some scholars such as Davies (2002) and Sirin (2011) </w:t>
      </w:r>
      <w:r w:rsidRPr="00F47149">
        <w:rPr>
          <w:highlight w:val="yellow"/>
          <w:u w:val="single"/>
        </w:rPr>
        <w:t xml:space="preserve">suggest </w:t>
      </w:r>
      <w:r w:rsidRPr="00F47149">
        <w:rPr>
          <w:sz w:val="12"/>
        </w:rPr>
        <w:t xml:space="preserve">that </w:t>
      </w:r>
      <w:r w:rsidRPr="00F47149">
        <w:rPr>
          <w:highlight w:val="yellow"/>
          <w:u w:val="single"/>
        </w:rPr>
        <w:t>only a grave internal threat</w:t>
      </w:r>
      <w:r w:rsidRPr="00F47149">
        <w:rPr>
          <w:sz w:val="12"/>
        </w:rPr>
        <w:t xml:space="preserve">, against which the political leaders expect that their chances of survival will be small, </w:t>
      </w:r>
      <w:r w:rsidRPr="00F47149">
        <w:rPr>
          <w:highlight w:val="yellow"/>
          <w:u w:val="single"/>
        </w:rPr>
        <w:t xml:space="preserve">could influence </w:t>
      </w:r>
      <w:r w:rsidRPr="00F47149">
        <w:rPr>
          <w:sz w:val="12"/>
        </w:rPr>
        <w:t xml:space="preserve">the decision makers to resort to belligerent </w:t>
      </w:r>
      <w:r w:rsidRPr="00F47149">
        <w:rPr>
          <w:highlight w:val="yellow"/>
          <w:u w:val="single"/>
        </w:rPr>
        <w:t>foreign policies</w:t>
      </w:r>
      <w:r w:rsidRPr="00F47149">
        <w:rPr>
          <w:sz w:val="12"/>
        </w:rPr>
        <w:t xml:space="preserve">. This is because, usually </w:t>
      </w:r>
      <w:r w:rsidRPr="00F47149">
        <w:rPr>
          <w:highlight w:val="yellow"/>
          <w:u w:val="single"/>
        </w:rPr>
        <w:t xml:space="preserve">when facing </w:t>
      </w:r>
      <w:r w:rsidRPr="00F47149">
        <w:rPr>
          <w:sz w:val="12"/>
        </w:rPr>
        <w:t xml:space="preserve">serious internal conflicts like </w:t>
      </w:r>
      <w:r w:rsidRPr="00F47149">
        <w:rPr>
          <w:highlight w:val="yellow"/>
          <w:u w:val="single"/>
        </w:rPr>
        <w:t xml:space="preserve">revolutions or </w:t>
      </w:r>
      <w:r w:rsidRPr="00F47149">
        <w:rPr>
          <w:sz w:val="12"/>
        </w:rPr>
        <w:t xml:space="preserve">open </w:t>
      </w:r>
      <w:r w:rsidRPr="00F47149">
        <w:rPr>
          <w:highlight w:val="yellow"/>
          <w:u w:val="single"/>
        </w:rPr>
        <w:t>civil war</w:t>
      </w:r>
      <w:r w:rsidRPr="00F47149">
        <w:rPr>
          <w:sz w:val="12"/>
        </w:rPr>
        <w:t xml:space="preserve">, the </w:t>
      </w:r>
      <w:r w:rsidRPr="00F47149">
        <w:rPr>
          <w:highlight w:val="yellow"/>
          <w:u w:val="single"/>
        </w:rPr>
        <w:t xml:space="preserve">leaders </w:t>
      </w:r>
      <w:r w:rsidRPr="00F47149">
        <w:rPr>
          <w:sz w:val="12"/>
        </w:rPr>
        <w:t xml:space="preserve">believe that they </w:t>
      </w:r>
      <w:r w:rsidRPr="00F47149">
        <w:rPr>
          <w:highlight w:val="yellow"/>
          <w:u w:val="single"/>
        </w:rPr>
        <w:t>no longer have</w:t>
      </w:r>
      <w:r w:rsidRPr="00F47149">
        <w:rPr>
          <w:sz w:val="12"/>
        </w:rPr>
        <w:t xml:space="preserve"> the capabilities to turn to other </w:t>
      </w:r>
      <w:r w:rsidRPr="00F47149">
        <w:rPr>
          <w:highlight w:val="yellow"/>
          <w:u w:val="single"/>
        </w:rPr>
        <w:t>solutions in the domestic</w:t>
      </w:r>
      <w:r w:rsidRPr="00F47149">
        <w:rPr>
          <w:sz w:val="12"/>
        </w:rPr>
        <w:t xml:space="preserve"> realm—namely, suppressing the mass unrest or granting the demands of the rebels (Davies 2002, 675; Sirin 2011, 306). By threatening the survival of the government, domestic mass violence invokes a very urgent need on the part of decision makers, who will desperately turn to external conflicts in order to increase internal cohesion and retain power, to regain social order. In contrast, for other </w:t>
      </w:r>
      <w:r w:rsidRPr="00F47149">
        <w:rPr>
          <w:highlight w:val="yellow"/>
          <w:u w:val="single"/>
        </w:rPr>
        <w:t>moderate forms of internal conflict</w:t>
      </w:r>
      <w:r w:rsidRPr="00F47149">
        <w:rPr>
          <w:sz w:val="12"/>
        </w:rPr>
        <w:t xml:space="preserve">, the diversionary tactic is not the only strategy that would be used by state </w:t>
      </w:r>
      <w:r w:rsidRPr="00F47149">
        <w:rPr>
          <w:highlight w:val="yellow"/>
          <w:u w:val="single"/>
        </w:rPr>
        <w:t>leaders</w:t>
      </w:r>
      <w:r w:rsidRPr="00F47149">
        <w:rPr>
          <w:sz w:val="12"/>
        </w:rPr>
        <w:t xml:space="preserve">; they </w:t>
      </w:r>
      <w:r w:rsidRPr="00F47149">
        <w:rPr>
          <w:highlight w:val="yellow"/>
          <w:u w:val="single"/>
        </w:rPr>
        <w:t xml:space="preserve">may </w:t>
      </w:r>
      <w:r w:rsidRPr="00F47149">
        <w:rPr>
          <w:sz w:val="12"/>
        </w:rPr>
        <w:t xml:space="preserve">still </w:t>
      </w:r>
      <w:r w:rsidRPr="00F47149">
        <w:rPr>
          <w:highlight w:val="yellow"/>
          <w:u w:val="single"/>
        </w:rPr>
        <w:t xml:space="preserve">choose to target the domestic </w:t>
      </w:r>
      <w:r w:rsidRPr="00F47149">
        <w:rPr>
          <w:sz w:val="12"/>
        </w:rPr>
        <w:t xml:space="preserve">problems </w:t>
      </w:r>
      <w:r w:rsidRPr="00F47149">
        <w:rPr>
          <w:highlight w:val="yellow"/>
          <w:u w:val="single"/>
        </w:rPr>
        <w:t xml:space="preserve">instead </w:t>
      </w:r>
      <w:r w:rsidRPr="00F47149">
        <w:rPr>
          <w:sz w:val="12"/>
        </w:rPr>
        <w:t xml:space="preserve">(Davies 2002; Sirin 2011). That is to say, </w:t>
      </w:r>
      <w:r w:rsidRPr="00F47149">
        <w:rPr>
          <w:highlight w:val="yellow"/>
          <w:u w:val="single"/>
        </w:rPr>
        <w:t xml:space="preserve">domestic </w:t>
      </w:r>
      <w:r w:rsidRPr="00F47149">
        <w:rPr>
          <w:sz w:val="12"/>
        </w:rPr>
        <w:t xml:space="preserve">societal </w:t>
      </w:r>
      <w:r w:rsidRPr="00F47149">
        <w:rPr>
          <w:highlight w:val="yellow"/>
          <w:u w:val="single"/>
        </w:rPr>
        <w:t>unrest</w:t>
      </w:r>
      <w:r w:rsidRPr="00F47149">
        <w:rPr>
          <w:sz w:val="12"/>
        </w:rPr>
        <w:t xml:space="preserve">, which does not impose a direct challenge to the viability of the regime, </w:t>
      </w:r>
      <w:r w:rsidRPr="00F47149">
        <w:rPr>
          <w:highlight w:val="yellow"/>
          <w:u w:val="single"/>
        </w:rPr>
        <w:t xml:space="preserve">would not </w:t>
      </w:r>
      <w:r w:rsidRPr="00F47149">
        <w:rPr>
          <w:sz w:val="12"/>
        </w:rPr>
        <w:t xml:space="preserve">necessarily </w:t>
      </w:r>
      <w:r w:rsidRPr="00F47149">
        <w:rPr>
          <w:highlight w:val="yellow"/>
          <w:u w:val="single"/>
        </w:rPr>
        <w:t>compel diversionary incentives</w:t>
      </w:r>
      <w:r w:rsidRPr="00F47149">
        <w:rPr>
          <w:sz w:val="12"/>
        </w:rPr>
        <w:t xml:space="preserve">. In this case, there are no significant associations between domestic and external conflicts. There is also an opposing argument that the relationship between the seriousness of domestic problems and the probability of the decision makers to resort to external use of force is not linear but curvilinear; beyond the “threshold of unrest,” political elites will no longer opt for the diversionary use of force (Hazelwood 1975; Levy 1989; Gelpi 1997; Morgan and Anderson 1999). First, as suggested by Gelpi (1997, 262), </w:t>
      </w:r>
      <w:r w:rsidRPr="00F47149">
        <w:rPr>
          <w:highlight w:val="yellow"/>
          <w:u w:val="single"/>
        </w:rPr>
        <w:t xml:space="preserve">when </w:t>
      </w:r>
      <w:r w:rsidRPr="00F47149">
        <w:rPr>
          <w:sz w:val="12"/>
        </w:rPr>
        <w:t xml:space="preserve">the domestic </w:t>
      </w:r>
      <w:r w:rsidRPr="00F47149">
        <w:rPr>
          <w:highlight w:val="yellow"/>
          <w:u w:val="single"/>
        </w:rPr>
        <w:t>disturbances are great</w:t>
      </w:r>
      <w:r w:rsidRPr="00F47149">
        <w:rPr>
          <w:sz w:val="12"/>
        </w:rPr>
        <w:t xml:space="preserve">, the </w:t>
      </w:r>
      <w:r w:rsidRPr="00F47149">
        <w:rPr>
          <w:highlight w:val="yellow"/>
          <w:u w:val="single"/>
        </w:rPr>
        <w:t xml:space="preserve">dissenting groups </w:t>
      </w:r>
      <w:r w:rsidRPr="00F47149">
        <w:rPr>
          <w:sz w:val="12"/>
        </w:rPr>
        <w:t xml:space="preserve">may </w:t>
      </w:r>
      <w:r w:rsidRPr="00F47149">
        <w:rPr>
          <w:highlight w:val="yellow"/>
          <w:u w:val="single"/>
        </w:rPr>
        <w:t xml:space="preserve">no longer consider the state </w:t>
      </w:r>
      <w:r w:rsidRPr="00F47149">
        <w:rPr>
          <w:sz w:val="12"/>
        </w:rPr>
        <w:t xml:space="preserve">to be </w:t>
      </w:r>
      <w:r w:rsidRPr="00F47149">
        <w:rPr>
          <w:highlight w:val="yellow"/>
          <w:u w:val="single"/>
        </w:rPr>
        <w:t>an in-group</w:t>
      </w:r>
      <w:r w:rsidRPr="00F47149">
        <w:rPr>
          <w:sz w:val="12"/>
        </w:rPr>
        <w:t xml:space="preserve">. In this case, </w:t>
      </w:r>
      <w:r w:rsidRPr="00F47149">
        <w:rPr>
          <w:highlight w:val="yellow"/>
          <w:u w:val="single"/>
        </w:rPr>
        <w:t xml:space="preserve">diversion is not a viable strategy </w:t>
      </w:r>
      <w:r w:rsidRPr="00F47149">
        <w:rPr>
          <w:sz w:val="12"/>
        </w:rPr>
        <w:t xml:space="preserve">for the leaders to maintain their hold on power, and they have to turn to domestic repression instead. </w:t>
      </w:r>
      <w:r w:rsidRPr="00F47149">
        <w:rPr>
          <w:highlight w:val="yellow"/>
          <w:u w:val="single"/>
        </w:rPr>
        <w:t>In addition</w:t>
      </w:r>
      <w:r w:rsidRPr="00F47149">
        <w:rPr>
          <w:sz w:val="12"/>
        </w:rPr>
        <w:t xml:space="preserve">, when a government faces a high-level domestic conflict such as an open civil war, </w:t>
      </w:r>
      <w:r w:rsidRPr="00F47149">
        <w:rPr>
          <w:highlight w:val="yellow"/>
          <w:u w:val="single"/>
        </w:rPr>
        <w:t>diversionary conflict can be counterproductive</w:t>
      </w:r>
      <w:r w:rsidRPr="00F47149">
        <w:rPr>
          <w:sz w:val="12"/>
        </w:rPr>
        <w:t xml:space="preserve"> (Levy 1989; Morgan and Anderson 1999, 801). The </w:t>
      </w:r>
      <w:r w:rsidRPr="00F47149">
        <w:rPr>
          <w:highlight w:val="yellow"/>
          <w:u w:val="single"/>
        </w:rPr>
        <w:t>internal conflict</w:t>
      </w:r>
      <w:r w:rsidRPr="00F47149">
        <w:rPr>
          <w:sz w:val="12"/>
        </w:rPr>
        <w:t xml:space="preserve">, which significantly </w:t>
      </w:r>
      <w:r w:rsidRPr="00F47149">
        <w:rPr>
          <w:highlight w:val="yellow"/>
          <w:u w:val="single"/>
        </w:rPr>
        <w:t>increases</w:t>
      </w:r>
      <w:r w:rsidRPr="00F47149">
        <w:rPr>
          <w:sz w:val="12"/>
        </w:rPr>
        <w:t xml:space="preserve"> the state’s </w:t>
      </w:r>
      <w:r w:rsidRPr="00F47149">
        <w:rPr>
          <w:highlight w:val="yellow"/>
          <w:u w:val="single"/>
        </w:rPr>
        <w:t>vulnerability</w:t>
      </w:r>
      <w:r w:rsidRPr="00F47149">
        <w:rPr>
          <w:sz w:val="12"/>
        </w:rPr>
        <w:t xml:space="preserve">, will make it very likely </w:t>
      </w:r>
      <w:r w:rsidRPr="00F47149">
        <w:rPr>
          <w:highlight w:val="yellow"/>
          <w:u w:val="single"/>
        </w:rPr>
        <w:t xml:space="preserve">to be defeated in </w:t>
      </w:r>
      <w:r w:rsidRPr="00F47149">
        <w:rPr>
          <w:sz w:val="12"/>
        </w:rPr>
        <w:t xml:space="preserve">an </w:t>
      </w:r>
      <w:r w:rsidRPr="00F47149">
        <w:rPr>
          <w:highlight w:val="yellow"/>
          <w:u w:val="single"/>
        </w:rPr>
        <w:t>external conflict</w:t>
      </w:r>
      <w:r w:rsidRPr="00F47149">
        <w:rPr>
          <w:sz w:val="12"/>
        </w:rPr>
        <w:t xml:space="preserve">, and this could </w:t>
      </w:r>
      <w:r w:rsidRPr="00F47149">
        <w:rPr>
          <w:highlight w:val="yellow"/>
          <w:u w:val="single"/>
        </w:rPr>
        <w:t xml:space="preserve">make </w:t>
      </w:r>
      <w:r w:rsidRPr="00F47149">
        <w:rPr>
          <w:sz w:val="12"/>
        </w:rPr>
        <w:t xml:space="preserve">the </w:t>
      </w:r>
      <w:r w:rsidRPr="00F47149">
        <w:rPr>
          <w:highlight w:val="yellow"/>
          <w:u w:val="single"/>
        </w:rPr>
        <w:t xml:space="preserve">leaders lose office </w:t>
      </w:r>
      <w:r w:rsidRPr="00F47149">
        <w:rPr>
          <w:sz w:val="12"/>
        </w:rPr>
        <w:t xml:space="preserve">and even make the regime break down (Morgan and Anderson 1999; Chiozza and Goemans 2004). That is to say, after the “threshold” has been crossed, conflicts with an out-group have a high risk of accelerating the degeneration of the in-group. Therefore, </w:t>
      </w:r>
      <w:r w:rsidRPr="00F47149">
        <w:rPr>
          <w:highlight w:val="yellow"/>
          <w:u w:val="single"/>
        </w:rPr>
        <w:t>political leaders will be less inclined to resort to</w:t>
      </w:r>
      <w:r w:rsidRPr="00F47149">
        <w:rPr>
          <w:sz w:val="12"/>
        </w:rPr>
        <w:t xml:space="preserve"> the </w:t>
      </w:r>
      <w:r w:rsidRPr="00F47149">
        <w:rPr>
          <w:highlight w:val="yellow"/>
          <w:u w:val="single"/>
        </w:rPr>
        <w:t xml:space="preserve">diversionary </w:t>
      </w:r>
      <w:r w:rsidRPr="00F47149">
        <w:rPr>
          <w:sz w:val="12"/>
        </w:rPr>
        <w:t xml:space="preserve">use of </w:t>
      </w:r>
      <w:r w:rsidRPr="00F47149">
        <w:rPr>
          <w:highlight w:val="yellow"/>
          <w:u w:val="single"/>
        </w:rPr>
        <w:t xml:space="preserve">force when facing </w:t>
      </w:r>
      <w:r w:rsidRPr="00F47149">
        <w:rPr>
          <w:sz w:val="12"/>
        </w:rPr>
        <w:t xml:space="preserve">serious </w:t>
      </w:r>
      <w:r w:rsidRPr="00F47149">
        <w:rPr>
          <w:highlight w:val="yellow"/>
          <w:u w:val="single"/>
        </w:rPr>
        <w:t xml:space="preserve">domestic </w:t>
      </w:r>
      <w:r w:rsidRPr="00F47149">
        <w:rPr>
          <w:sz w:val="12"/>
        </w:rPr>
        <w:t xml:space="preserve">mass </w:t>
      </w:r>
      <w:r w:rsidRPr="00F47149">
        <w:rPr>
          <w:highlight w:val="yellow"/>
          <w:u w:val="single"/>
        </w:rPr>
        <w:t>violence</w:t>
      </w:r>
      <w:r w:rsidRPr="00F47149">
        <w:rPr>
          <w:sz w:val="12"/>
        </w:rPr>
        <w:t xml:space="preserve">. According to the “curvilinear model,” they are only willing to use the diversionary tactic for moderate domestic societal unrest, such as protest demonstrations or riots. </w:t>
      </w:r>
      <w:r w:rsidRPr="00F47149">
        <w:rPr>
          <w:highlight w:val="yellow"/>
          <w:u w:val="single"/>
        </w:rPr>
        <w:t>Despite</w:t>
      </w:r>
      <w:r w:rsidRPr="00F47149">
        <w:rPr>
          <w:sz w:val="12"/>
        </w:rPr>
        <w:t xml:space="preserve"> the </w:t>
      </w:r>
      <w:r w:rsidRPr="00F47149">
        <w:rPr>
          <w:highlight w:val="yellow"/>
          <w:u w:val="single"/>
        </w:rPr>
        <w:t xml:space="preserve">divergence </w:t>
      </w:r>
      <w:r w:rsidRPr="00F47149">
        <w:rPr>
          <w:sz w:val="12"/>
        </w:rPr>
        <w:t xml:space="preserve">in arguments, the above </w:t>
      </w:r>
      <w:r w:rsidRPr="00F47149">
        <w:rPr>
          <w:highlight w:val="yellow"/>
          <w:u w:val="single"/>
        </w:rPr>
        <w:t>literature has</w:t>
      </w:r>
      <w:r w:rsidRPr="00F47149">
        <w:rPr>
          <w:sz w:val="12"/>
        </w:rPr>
        <w:t xml:space="preserve"> generally </w:t>
      </w:r>
      <w:r w:rsidRPr="00F47149">
        <w:rPr>
          <w:highlight w:val="yellow"/>
          <w:u w:val="single"/>
        </w:rPr>
        <w:t>suggested</w:t>
      </w:r>
      <w:r w:rsidRPr="00F47149">
        <w:rPr>
          <w:sz w:val="12"/>
        </w:rPr>
        <w:t xml:space="preserve"> that different levels of domestic conflict may generate distinct foreign policy incentives for the leaders. Due to the </w:t>
      </w:r>
      <w:r w:rsidRPr="00F47149">
        <w:rPr>
          <w:highlight w:val="yellow"/>
          <w:u w:val="single"/>
        </w:rPr>
        <w:t>complexity of</w:t>
      </w:r>
      <w:r w:rsidRPr="00F47149">
        <w:rPr>
          <w:sz w:val="12"/>
        </w:rPr>
        <w:t xml:space="preserve"> the </w:t>
      </w:r>
      <w:r w:rsidRPr="00F47149">
        <w:rPr>
          <w:highlight w:val="yellow"/>
          <w:u w:val="single"/>
        </w:rPr>
        <w:t>linkages</w:t>
      </w:r>
      <w:r w:rsidRPr="00F47149">
        <w:rPr>
          <w:sz w:val="12"/>
        </w:rPr>
        <w:t xml:space="preserve"> between domestic </w:t>
      </w:r>
      <w:r w:rsidRPr="00F47149">
        <w:rPr>
          <w:highlight w:val="yellow"/>
          <w:u w:val="single"/>
        </w:rPr>
        <w:t>and</w:t>
      </w:r>
      <w:r w:rsidRPr="00F47149">
        <w:rPr>
          <w:sz w:val="12"/>
        </w:rPr>
        <w:t xml:space="preserve"> foreign politics, when studying the effects of different levels of domestic conflict, </w:t>
      </w:r>
      <w:r w:rsidRPr="00F47149">
        <w:rPr>
          <w:highlight w:val="yellow"/>
          <w:u w:val="single"/>
        </w:rPr>
        <w:t xml:space="preserve">other </w:t>
      </w:r>
      <w:r w:rsidRPr="00F47149">
        <w:rPr>
          <w:sz w:val="12"/>
        </w:rPr>
        <w:t xml:space="preserve">confounding </w:t>
      </w:r>
      <w:r w:rsidRPr="00F47149">
        <w:rPr>
          <w:highlight w:val="yellow"/>
          <w:u w:val="single"/>
        </w:rPr>
        <w:t xml:space="preserve">variables </w:t>
      </w:r>
      <w:r w:rsidRPr="00F47149">
        <w:rPr>
          <w:sz w:val="12"/>
        </w:rPr>
        <w:t xml:space="preserve">are worth taking into account. </w:t>
      </w:r>
      <w:r w:rsidRPr="00F47149">
        <w:rPr>
          <w:highlight w:val="yellow"/>
          <w:u w:val="single"/>
        </w:rPr>
        <w:t xml:space="preserve">There are many factors which could </w:t>
      </w:r>
      <w:r w:rsidRPr="00F47149">
        <w:rPr>
          <w:sz w:val="12"/>
        </w:rPr>
        <w:t xml:space="preserve">also potentially </w:t>
      </w:r>
      <w:r w:rsidRPr="00F47149">
        <w:rPr>
          <w:highlight w:val="yellow"/>
          <w:u w:val="single"/>
        </w:rPr>
        <w:t xml:space="preserve">influence </w:t>
      </w:r>
      <w:r w:rsidRPr="00F47149">
        <w:rPr>
          <w:sz w:val="12"/>
        </w:rPr>
        <w:t xml:space="preserve">the </w:t>
      </w:r>
      <w:r w:rsidRPr="00F47149">
        <w:rPr>
          <w:highlight w:val="yellow"/>
          <w:u w:val="single"/>
        </w:rPr>
        <w:t xml:space="preserve">state’s propensity for </w:t>
      </w:r>
      <w:r w:rsidRPr="00F47149">
        <w:rPr>
          <w:sz w:val="12"/>
        </w:rPr>
        <w:t xml:space="preserve">using external </w:t>
      </w:r>
      <w:r w:rsidRPr="00F47149">
        <w:rPr>
          <w:highlight w:val="yellow"/>
          <w:u w:val="single"/>
        </w:rPr>
        <w:t>violence</w:t>
      </w:r>
      <w:r w:rsidRPr="00F47149">
        <w:rPr>
          <w:sz w:val="12"/>
        </w:rPr>
        <w:t>. For example, as suggested by the Democratic Peace Theory, due to higher audience costs and more institutionalized constraints imposed by the political structure, democracies seldom go to war with each other (Bueno de Mesquita and Lalman 1992; Gelpi 2001). Although the theory is focused on democratic dyads, it also implies that democratic states are supposed to use external force less frequently in general.</w:t>
      </w:r>
    </w:p>
    <w:p w14:paraId="7723D66C" w14:textId="77777777" w:rsidR="00F16872" w:rsidRPr="00F47149" w:rsidRDefault="00F16872" w:rsidP="00F16872"/>
    <w:p w14:paraId="34E5E665" w14:textId="77777777" w:rsidR="00F16872" w:rsidRPr="00F47149" w:rsidRDefault="00F16872" w:rsidP="00F16872">
      <w:pPr>
        <w:pStyle w:val="Heading4"/>
        <w:rPr>
          <w:rFonts w:cs="Calibri"/>
        </w:rPr>
      </w:pPr>
      <w:r w:rsidRPr="00F47149">
        <w:rPr>
          <w:rFonts w:cs="Calibri"/>
        </w:rPr>
        <w:t>Optimism from economic growth and stability causes war</w:t>
      </w:r>
    </w:p>
    <w:p w14:paraId="72C47F97" w14:textId="77777777" w:rsidR="00F16872" w:rsidRPr="00F47149" w:rsidRDefault="00F16872" w:rsidP="00F16872">
      <w:pPr>
        <w:rPr>
          <w:rStyle w:val="Style13ptBold"/>
        </w:rPr>
      </w:pPr>
      <w:r w:rsidRPr="00F47149">
        <w:rPr>
          <w:rStyle w:val="Style13ptBold"/>
        </w:rPr>
        <w:t>Boehmer &amp; Sacko 22</w:t>
      </w:r>
    </w:p>
    <w:p w14:paraId="775FA7F5" w14:textId="77777777" w:rsidR="00F16872" w:rsidRPr="00F47149" w:rsidRDefault="00F16872" w:rsidP="00F16872">
      <w:r w:rsidRPr="00F47149">
        <w:t xml:space="preserve">[Boehmer, C., &amp; Sacko, D. (2022). “Economic Growth’s Catalyzing Effect on War”. Defence and Peace Economics, 34(7), 931–962. </w:t>
      </w:r>
      <w:hyperlink r:id="rId28" w:history="1">
        <w:r w:rsidRPr="00F47149">
          <w:rPr>
            <w:rStyle w:val="Hyperlink"/>
          </w:rPr>
          <w:t>https://doi.org/10.1080/10242694.2022.2073428</w:t>
        </w:r>
      </w:hyperlink>
      <w:r w:rsidRPr="00F47149">
        <w:t>. DOA 4/2/25]</w:t>
      </w:r>
    </w:p>
    <w:p w14:paraId="2BBB559F" w14:textId="77777777" w:rsidR="00F16872" w:rsidRPr="00F47149" w:rsidRDefault="00F16872" w:rsidP="00F16872"/>
    <w:p w14:paraId="4CD072BA" w14:textId="77777777" w:rsidR="00F16872" w:rsidRPr="00F47149" w:rsidRDefault="00F16872" w:rsidP="00F16872">
      <w:pPr>
        <w:rPr>
          <w:sz w:val="14"/>
        </w:rPr>
      </w:pPr>
      <w:r w:rsidRPr="00F47149">
        <w:rPr>
          <w:sz w:val="14"/>
        </w:rPr>
        <w:t xml:space="preserve">Table 1 reports logit estimates for the monadic hypotheses tests. The first column reports results from our monadic attributes–only model, while the second column includes regional democracy. </w:t>
      </w:r>
      <w:r w:rsidRPr="00F47149">
        <w:rPr>
          <w:highlight w:val="yellow"/>
          <w:u w:val="single"/>
        </w:rPr>
        <w:t>Across all models, economic growth positively</w:t>
      </w:r>
      <w:r w:rsidRPr="00F47149">
        <w:rPr>
          <w:sz w:val="14"/>
        </w:rPr>
        <w:t xml:space="preserve"> and statistically </w:t>
      </w:r>
      <w:r w:rsidRPr="00F47149">
        <w:rPr>
          <w:highlight w:val="yellow"/>
          <w:u w:val="single"/>
        </w:rPr>
        <w:t xml:space="preserve">affects the likelihood of </w:t>
      </w:r>
      <w:r w:rsidRPr="00F47149">
        <w:rPr>
          <w:sz w:val="14"/>
        </w:rPr>
        <w:t xml:space="preserve">a state becoming involved in a </w:t>
      </w:r>
      <w:r w:rsidRPr="00F47149">
        <w:rPr>
          <w:highlight w:val="yellow"/>
          <w:u w:val="single"/>
        </w:rPr>
        <w:t xml:space="preserve">war. The chance </w:t>
      </w:r>
      <w:r w:rsidRPr="00F47149">
        <w:rPr>
          <w:sz w:val="14"/>
        </w:rPr>
        <w:t xml:space="preserve">of a state fighting a war in this case, without paying mind to any other factor, </w:t>
      </w:r>
      <w:r w:rsidRPr="00F47149">
        <w:rPr>
          <w:highlight w:val="yellow"/>
          <w:u w:val="single"/>
        </w:rPr>
        <w:t>increases by 22% with a one standard deviation in GDP growth</w:t>
      </w:r>
      <w:r w:rsidRPr="00F47149">
        <w:rPr>
          <w:sz w:val="14"/>
        </w:rPr>
        <w:t xml:space="preserve"> over five years. Economic </w:t>
      </w:r>
      <w:r w:rsidRPr="00F47149">
        <w:rPr>
          <w:highlight w:val="yellow"/>
          <w:u w:val="single"/>
        </w:rPr>
        <w:t>growth leads states to be more war prone</w:t>
      </w:r>
      <w:r w:rsidRPr="00F47149">
        <w:rPr>
          <w:sz w:val="14"/>
        </w:rPr>
        <w:t xml:space="preserve">. Results from Model 1 support Hypothesis 1M. Footnote10 Trade openness is negative and statistically significant, meaning that states that are more open to international commerce are less likely to become involved in wars. A one standard deviation increase in a state’s trade openness reduces the odds it will become involved in a war by 44.2%. Importantly then, the more open a state is to trade, the more trade will additively reduce the risk of war. States that are dependent on trade and interdependent on the global economy for their income are less likely to fight wars. Hypothesis 2M is supported and that trade provides a relief valve to reduce the risk of war.Footnote11 </w:t>
      </w:r>
      <w:r w:rsidRPr="00F47149">
        <w:rPr>
          <w:highlight w:val="yellow"/>
          <w:u w:val="single"/>
        </w:rPr>
        <w:t>Democracy is not statistically significant</w:t>
      </w:r>
      <w:r w:rsidRPr="00F47149">
        <w:rPr>
          <w:sz w:val="14"/>
        </w:rPr>
        <w:t xml:space="preserve">, while development is significant yet positively related to war. In addition, this </w:t>
      </w:r>
      <w:r w:rsidRPr="00F47149">
        <w:rPr>
          <w:highlight w:val="yellow"/>
          <w:u w:val="single"/>
        </w:rPr>
        <w:t>analysis controls for militarization</w:t>
      </w:r>
      <w:r w:rsidRPr="00F47149">
        <w:rPr>
          <w:sz w:val="14"/>
        </w:rPr>
        <w:t xml:space="preserve">, capabilities, </w:t>
      </w:r>
      <w:r w:rsidRPr="00F47149">
        <w:rPr>
          <w:highlight w:val="yellow"/>
          <w:u w:val="single"/>
        </w:rPr>
        <w:t xml:space="preserve">and major power status </w:t>
      </w:r>
      <w:r w:rsidRPr="00F47149">
        <w:rPr>
          <w:sz w:val="14"/>
        </w:rPr>
        <w:t xml:space="preserve">to mitigate against the possibility that the economic growth variable proxies state power or the militarization of society. More militarized and major power states positively and statistically lead to an increased expectation for war, while the result for capabilities does not have the predicted effect. </w:t>
      </w:r>
      <w:r w:rsidRPr="00F47149">
        <w:rPr>
          <w:highlight w:val="yellow"/>
          <w:u w:val="single"/>
        </w:rPr>
        <w:t xml:space="preserve">Major power status </w:t>
      </w:r>
      <w:r w:rsidRPr="00F47149">
        <w:rPr>
          <w:sz w:val="14"/>
        </w:rPr>
        <w:t xml:space="preserve">particularly </w:t>
      </w:r>
      <w:r w:rsidRPr="00F47149">
        <w:rPr>
          <w:highlight w:val="yellow"/>
          <w:u w:val="single"/>
        </w:rPr>
        <w:t>increases the odds</w:t>
      </w:r>
      <w:r w:rsidRPr="00F47149">
        <w:rPr>
          <w:sz w:val="14"/>
        </w:rPr>
        <w:t xml:space="preserve"> that a state will become involved in war. Major powers are </w:t>
      </w:r>
      <w:r w:rsidRPr="00F47149">
        <w:rPr>
          <w:highlight w:val="yellow"/>
          <w:u w:val="single"/>
        </w:rPr>
        <w:t>40.8% more likely to become involved in a war</w:t>
      </w:r>
      <w:r w:rsidRPr="00F47149">
        <w:rPr>
          <w:sz w:val="14"/>
        </w:rPr>
        <w:t xml:space="preserve"> in any given year compared to minor powers, as has often been found within the literature. Most and Starr (Citation1989) outline reasons to suspect that certain monadic-level studies in the past arrived at null findings because they could not adequately account for strategic behaviors between states. There are ways to minimize this problem. By focusing on certain types of behavior with proper control variables, monadic-level analyses can produce results that correspond with or reinforce dyadic-level studies. If monadic-level studies show empirical results that are nonrandom and robust, then this is an indication that there is some utility in working at this level; otherwise, our coefficients would most often yield null results as the consequence of being washed out by strategic interaction. This problem may vary across studies, based on the types of behavior modeled and the research designs employed. Whereas dyadic studies gain their theoretical and empirical leverage by modeling bilateral relations, monadic studies gain theirs from modeling and explaining variables internal to states. An excellent example of this approach is by McDonald (Citation2007) on capitalism and state conflict propensity. We, however, seek to model monadic factors in reference to some external environment, which we believe is particularly important to dispel the idea that monadic-level factors are not generalizable across time and space. If this supposition is untrue, then we should expect null results at the monadic level of analysis. We show in our approach why some states appear more bellicose than other states, an outcome we show to be related to positive multiple year trends in economic growth. Still, it is important to understand how monadic-level factors operate in a regional context. Model 2 builds upon the intuitions from the basic model and introduces the factor we believe most suppresses conflict: regional democracy. This variable is particularly important to include because monadic-year research designs typically lack controls that place states in an interstate context, where contextual factors of environment may influence their foreign policy decisions. The results for the second model still support Hypothesis 1M</w:t>
      </w:r>
      <w:r w:rsidRPr="00F47149">
        <w:rPr>
          <w:highlight w:val="yellow"/>
          <w:u w:val="single"/>
        </w:rPr>
        <w:t>. Economic growth remains positive and statistically significant</w:t>
      </w:r>
      <w:r w:rsidRPr="00F47149">
        <w:rPr>
          <w:sz w:val="14"/>
        </w:rPr>
        <w:t xml:space="preserve">. By </w:t>
      </w:r>
      <w:r w:rsidRPr="00F47149">
        <w:rPr>
          <w:highlight w:val="yellow"/>
          <w:u w:val="single"/>
        </w:rPr>
        <w:t>controlling for</w:t>
      </w:r>
      <w:r w:rsidRPr="00F47149">
        <w:rPr>
          <w:sz w:val="14"/>
        </w:rPr>
        <w:t xml:space="preserve"> regional </w:t>
      </w:r>
      <w:r w:rsidRPr="00F47149">
        <w:rPr>
          <w:highlight w:val="yellow"/>
          <w:u w:val="single"/>
        </w:rPr>
        <w:t>democracy</w:t>
      </w:r>
      <w:r w:rsidRPr="00F47149">
        <w:rPr>
          <w:sz w:val="14"/>
        </w:rPr>
        <w:t xml:space="preserve">, however, a </w:t>
      </w:r>
      <w:r w:rsidRPr="00F47149">
        <w:rPr>
          <w:highlight w:val="yellow"/>
          <w:u w:val="single"/>
        </w:rPr>
        <w:t xml:space="preserve">one standard deviation in growth </w:t>
      </w:r>
      <w:r w:rsidRPr="00F47149">
        <w:rPr>
          <w:sz w:val="14"/>
        </w:rPr>
        <w:t xml:space="preserve">over five years </w:t>
      </w:r>
      <w:r w:rsidRPr="00F47149">
        <w:rPr>
          <w:highlight w:val="yellow"/>
          <w:u w:val="single"/>
        </w:rPr>
        <w:t xml:space="preserve">increases the odds </w:t>
      </w:r>
      <w:r w:rsidRPr="00F47149">
        <w:rPr>
          <w:sz w:val="14"/>
        </w:rPr>
        <w:t xml:space="preserve">a state will engage in an interstate war </w:t>
      </w:r>
      <w:r w:rsidRPr="00F47149">
        <w:rPr>
          <w:highlight w:val="yellow"/>
          <w:u w:val="single"/>
        </w:rPr>
        <w:t>by 18%</w:t>
      </w:r>
      <w:r w:rsidRPr="00F47149">
        <w:rPr>
          <w:sz w:val="14"/>
        </w:rPr>
        <w:t>. Regional effects contribute to explaining state behavior, demonstrating support for Hypothesis 3M. Regional democracy, found to be negative and statistically significant, provides a relief valve effect decreasing the odds of war. A one standard deviation in the average democracy score of a region decreases the odds of war by 28.5%, suggesting pacifying tendencies for states in democratic neighborhoods.</w:t>
      </w:r>
    </w:p>
    <w:p w14:paraId="73CE2BB9" w14:textId="77777777" w:rsidR="00F16872" w:rsidRPr="00CD0915" w:rsidRDefault="00F16872" w:rsidP="00F16872"/>
    <w:p w14:paraId="3B10FECF" w14:textId="7C3C22FA" w:rsidR="00F16872" w:rsidRDefault="00A800B7" w:rsidP="00A800B7">
      <w:pPr>
        <w:pStyle w:val="Heading1"/>
      </w:pPr>
      <w:r>
        <w:t>1NR</w:t>
      </w:r>
    </w:p>
    <w:p w14:paraId="3A30B9AB" w14:textId="77777777" w:rsidR="00A800B7" w:rsidRPr="004147DB" w:rsidRDefault="00A800B7" w:rsidP="00A800B7">
      <w:pPr>
        <w:pStyle w:val="Heading4"/>
      </w:pPr>
      <w:r>
        <w:t xml:space="preserve">They say long termism is good because of </w:t>
      </w:r>
      <w:r>
        <w:rPr>
          <w:u w:val="single"/>
        </w:rPr>
        <w:t>future generations</w:t>
      </w:r>
      <w:r>
        <w:t>.</w:t>
      </w:r>
    </w:p>
    <w:p w14:paraId="7A4FA345" w14:textId="77777777" w:rsidR="00A800B7" w:rsidRPr="004D017F" w:rsidRDefault="00A800B7" w:rsidP="00A800B7">
      <w:pPr>
        <w:rPr>
          <w:rFonts w:eastAsia="Calibri"/>
        </w:rPr>
      </w:pPr>
      <w:r w:rsidRPr="004D017F">
        <w:rPr>
          <w:rFonts w:eastAsia="Calibri"/>
        </w:rPr>
        <w:t xml:space="preserve">Bilan </w:t>
      </w:r>
      <w:r w:rsidRPr="00D14C5A">
        <w:rPr>
          <w:rStyle w:val="Style13ptBold"/>
        </w:rPr>
        <w:t>1AC</w:t>
      </w:r>
      <w:r>
        <w:rPr>
          <w:rFonts w:eastAsia="Calibri"/>
        </w:rPr>
        <w:t xml:space="preserve"> </w:t>
      </w:r>
      <w:r w:rsidRPr="004D017F">
        <w:rPr>
          <w:rFonts w:eastAsia="Calibri"/>
          <w:b/>
          <w:bCs/>
          <w:sz w:val="26"/>
        </w:rPr>
        <w:t>Sahidi &amp;</w:t>
      </w:r>
      <w:r w:rsidRPr="004D017F">
        <w:rPr>
          <w:rFonts w:eastAsia="Calibri"/>
        </w:rPr>
        <w:t xml:space="preserve"> Vipin </w:t>
      </w:r>
      <w:r w:rsidRPr="004D017F">
        <w:rPr>
          <w:rFonts w:eastAsia="Calibri"/>
          <w:b/>
          <w:bCs/>
          <w:sz w:val="26"/>
        </w:rPr>
        <w:t>Nadda 25</w:t>
      </w:r>
      <w:r w:rsidRPr="004D017F">
        <w:rPr>
          <w:rFonts w:eastAsia="Calibri"/>
        </w:rPr>
        <w:t>, Sahidi is Senior Lecturer and Programme Manager for Undergraduate Business, PhD in Philosophy Political Science and Sociology from RWTH Aachen University Germany, MBA from University of Sunderland, MBA from Anglia Ruskin University London, MA in Marketing and Innovation; Nadda is Senior Lecturer/Programme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10.4018/979-8-3693-3011-1.ch004</w:t>
      </w:r>
    </w:p>
    <w:p w14:paraId="5C377936" w14:textId="77777777" w:rsidR="00A800B7" w:rsidRDefault="00A800B7" w:rsidP="00A800B7">
      <w:r w:rsidRPr="004D017F">
        <w:rPr>
          <w:rFonts w:eastAsia="Calibri"/>
          <w:sz w:val="16"/>
        </w:rPr>
        <w:t xml:space="preserve">Corporate governance has become one of the burning topics of our times. </w:t>
      </w:r>
      <w:r w:rsidRPr="004D017F">
        <w:rPr>
          <w:rFonts w:eastAsia="Calibri"/>
          <w:u w:val="single"/>
        </w:rPr>
        <w:t xml:space="preserve">With the emergence of new markets, </w:t>
      </w:r>
      <w:r w:rsidRPr="004D017F">
        <w:rPr>
          <w:rFonts w:eastAsia="Calibri"/>
          <w:highlight w:val="cyan"/>
          <w:u w:val="single"/>
        </w:rPr>
        <w:t>corp</w:t>
      </w:r>
      <w:r w:rsidRPr="004D017F">
        <w:rPr>
          <w:rFonts w:eastAsia="Calibri"/>
          <w:u w:val="single"/>
        </w:rPr>
        <w:t>oration</w:t>
      </w:r>
      <w:r w:rsidRPr="004D017F">
        <w:rPr>
          <w:rFonts w:eastAsia="Calibri"/>
          <w:highlight w:val="cyan"/>
          <w:u w:val="single"/>
        </w:rPr>
        <w:t>s are</w:t>
      </w:r>
      <w:r w:rsidRPr="004D017F">
        <w:rPr>
          <w:rFonts w:eastAsia="Calibri"/>
          <w:u w:val="single"/>
        </w:rPr>
        <w:t xml:space="preserve"> engaged </w:t>
      </w:r>
      <w:r w:rsidRPr="004D017F">
        <w:rPr>
          <w:rFonts w:eastAsia="Calibri"/>
          <w:highlight w:val="cyan"/>
          <w:u w:val="single"/>
        </w:rPr>
        <w:t>in</w:t>
      </w:r>
      <w:r w:rsidRPr="004D017F">
        <w:rPr>
          <w:rFonts w:eastAsia="Calibri"/>
          <w:sz w:val="16"/>
          <w:highlight w:val="cyan"/>
        </w:rPr>
        <w:t xml:space="preserve"> </w:t>
      </w:r>
      <w:r w:rsidRPr="004D017F">
        <w:rPr>
          <w:rFonts w:eastAsia="Calibri"/>
          <w:iCs/>
          <w:highlight w:val="cyan"/>
          <w:u w:val="single"/>
          <w:bdr w:val="single" w:sz="8" w:space="0" w:color="auto"/>
        </w:rPr>
        <w:t>cutthroat competition</w:t>
      </w:r>
      <w:r w:rsidRPr="004D017F">
        <w:rPr>
          <w:rFonts w:eastAsia="Calibri"/>
          <w:sz w:val="16"/>
        </w:rPr>
        <w:t xml:space="preserve"> in their quest </w:t>
      </w:r>
      <w:r w:rsidRPr="004D017F">
        <w:rPr>
          <w:rFonts w:eastAsia="Calibri"/>
          <w:highlight w:val="cyan"/>
          <w:u w:val="single"/>
        </w:rPr>
        <w:t>for</w:t>
      </w:r>
      <w:r w:rsidRPr="004D017F">
        <w:rPr>
          <w:rFonts w:eastAsia="Calibri"/>
          <w:sz w:val="16"/>
        </w:rPr>
        <w:t xml:space="preserve"> </w:t>
      </w:r>
      <w:r w:rsidRPr="004D017F">
        <w:rPr>
          <w:rFonts w:eastAsia="Calibri"/>
          <w:iCs/>
          <w:u w:val="single"/>
          <w:bdr w:val="single" w:sz="8" w:space="0" w:color="auto"/>
        </w:rPr>
        <w:t>raw materials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 xml:space="preserve">natural </w:t>
      </w:r>
      <w:r w:rsidRPr="004D017F">
        <w:rPr>
          <w:rFonts w:eastAsia="Calibri"/>
          <w:iCs/>
          <w:highlight w:val="cyan"/>
          <w:u w:val="single"/>
          <w:bdr w:val="single" w:sz="8" w:space="0" w:color="auto"/>
        </w:rPr>
        <w:t>resources</w:t>
      </w:r>
      <w:r w:rsidRPr="004D017F">
        <w:rPr>
          <w:rFonts w:eastAsia="Calibri"/>
          <w:sz w:val="16"/>
        </w:rPr>
        <w:t xml:space="preserve"> for economic growth. </w:t>
      </w:r>
      <w:r w:rsidRPr="004D017F">
        <w:rPr>
          <w:rFonts w:eastAsia="Calibri"/>
          <w:u w:val="single"/>
        </w:rPr>
        <w:t>Many of these</w:t>
      </w:r>
      <w:r w:rsidRPr="004D017F">
        <w:rPr>
          <w:rFonts w:eastAsia="Calibri"/>
          <w:sz w:val="16"/>
        </w:rPr>
        <w:t xml:space="preserve"> natural resources </w:t>
      </w:r>
      <w:r w:rsidRPr="004D017F">
        <w:rPr>
          <w:rFonts w:eastAsia="Calibri"/>
          <w:u w:val="single"/>
        </w:rPr>
        <w:t>are</w:t>
      </w:r>
      <w:r w:rsidRPr="004D017F">
        <w:rPr>
          <w:rFonts w:eastAsia="Calibri"/>
          <w:sz w:val="16"/>
        </w:rPr>
        <w:t xml:space="preserve"> </w:t>
      </w:r>
      <w:r w:rsidRPr="004D017F">
        <w:rPr>
          <w:rFonts w:eastAsia="Calibri"/>
          <w:iCs/>
          <w:u w:val="single"/>
          <w:bdr w:val="single" w:sz="8" w:space="0" w:color="auto"/>
        </w:rPr>
        <w:t>scarce</w:t>
      </w:r>
      <w:r w:rsidRPr="004D017F">
        <w:rPr>
          <w:rFonts w:eastAsia="Calibri"/>
          <w:u w:val="single"/>
        </w:rPr>
        <w:t>, not</w:t>
      </w:r>
      <w:r w:rsidRPr="004D017F">
        <w:rPr>
          <w:rFonts w:eastAsia="Calibri"/>
          <w:sz w:val="16"/>
        </w:rPr>
        <w:t xml:space="preserve"> </w:t>
      </w:r>
      <w:r w:rsidRPr="004D017F">
        <w:rPr>
          <w:rFonts w:eastAsia="Calibri"/>
          <w:iCs/>
          <w:u w:val="single"/>
          <w:bdr w:val="single" w:sz="8" w:space="0" w:color="auto"/>
        </w:rPr>
        <w:t>renewable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depleted</w:t>
      </w:r>
      <w:r w:rsidRPr="004D017F">
        <w:rPr>
          <w:rFonts w:eastAsia="Calibri"/>
          <w:u w:val="single"/>
        </w:rPr>
        <w:t xml:space="preserve">. The </w:t>
      </w:r>
      <w:r w:rsidRPr="004D017F">
        <w:rPr>
          <w:rFonts w:eastAsia="Calibri"/>
          <w:highlight w:val="cyan"/>
          <w:u w:val="single"/>
        </w:rPr>
        <w:t>livelihood</w:t>
      </w:r>
      <w:r w:rsidRPr="004D017F">
        <w:rPr>
          <w:rFonts w:eastAsia="Calibri"/>
          <w:u w:val="single"/>
        </w:rPr>
        <w:t xml:space="preserve"> of</w:t>
      </w:r>
      <w:r w:rsidRPr="004D017F">
        <w:rPr>
          <w:rFonts w:eastAsia="Calibri"/>
          <w:sz w:val="16"/>
        </w:rPr>
        <w:t xml:space="preserve"> </w:t>
      </w:r>
      <w:r w:rsidRPr="004D017F">
        <w:rPr>
          <w:rFonts w:eastAsia="Calibri"/>
          <w:iCs/>
          <w:u w:val="single"/>
          <w:bdr w:val="single" w:sz="8" w:space="0" w:color="auto"/>
        </w:rPr>
        <w:t>humans</w:t>
      </w:r>
      <w:r w:rsidRPr="004D017F">
        <w:rPr>
          <w:rFonts w:eastAsia="Calibri"/>
          <w:sz w:val="16"/>
        </w:rPr>
        <w:t xml:space="preserve"> and animals </w:t>
      </w:r>
      <w:r w:rsidRPr="004D017F">
        <w:rPr>
          <w:rFonts w:eastAsia="Calibri"/>
          <w:highlight w:val="cyan"/>
          <w:u w:val="single"/>
        </w:rPr>
        <w:t>is in</w:t>
      </w:r>
      <w:r w:rsidRPr="004D017F">
        <w:rPr>
          <w:rFonts w:eastAsia="Calibri"/>
          <w:sz w:val="16"/>
          <w:highlight w:val="cyan"/>
        </w:rPr>
        <w:t xml:space="preserve"> </w:t>
      </w:r>
      <w:r w:rsidRPr="004D017F">
        <w:rPr>
          <w:rFonts w:eastAsia="Calibri"/>
          <w:iCs/>
          <w:highlight w:val="cyan"/>
          <w:u w:val="single"/>
          <w:bdr w:val="single" w:sz="8" w:space="0" w:color="auto"/>
        </w:rPr>
        <w:t>danger</w:t>
      </w:r>
      <w:r w:rsidRPr="004D017F">
        <w:rPr>
          <w:rFonts w:eastAsia="Calibri"/>
          <w:sz w:val="16"/>
        </w:rPr>
        <w:t xml:space="preserve">. Some </w:t>
      </w:r>
      <w:r w:rsidRPr="004D017F">
        <w:rPr>
          <w:rFonts w:eastAsia="Calibri"/>
          <w:iCs/>
          <w:highlight w:val="cyan"/>
          <w:u w:val="single"/>
          <w:bdr w:val="single" w:sz="8" w:space="0" w:color="auto"/>
        </w:rPr>
        <w:t>species</w:t>
      </w:r>
      <w:r w:rsidRPr="004D017F">
        <w:rPr>
          <w:rFonts w:eastAsia="Calibri"/>
          <w:sz w:val="16"/>
          <w:highlight w:val="cyan"/>
        </w:rPr>
        <w:t xml:space="preserve"> </w:t>
      </w:r>
      <w:r w:rsidRPr="004D017F">
        <w:rPr>
          <w:rFonts w:eastAsia="Calibri"/>
          <w:highlight w:val="cyan"/>
          <w:u w:val="single"/>
        </w:rPr>
        <w:t>are on the brink of</w:t>
      </w:r>
      <w:r w:rsidRPr="004D017F">
        <w:rPr>
          <w:rFonts w:eastAsia="Calibri"/>
          <w:sz w:val="16"/>
          <w:highlight w:val="cyan"/>
        </w:rPr>
        <w:t xml:space="preserve"> </w:t>
      </w:r>
      <w:r w:rsidRPr="004D017F">
        <w:rPr>
          <w:rFonts w:eastAsia="Calibri"/>
          <w:iCs/>
          <w:highlight w:val="cyan"/>
          <w:u w:val="single"/>
          <w:bdr w:val="single" w:sz="8" w:space="0" w:color="auto"/>
        </w:rPr>
        <w:t>extinction</w:t>
      </w:r>
      <w:r w:rsidRPr="004D017F">
        <w:rPr>
          <w:rFonts w:eastAsia="Calibri"/>
          <w:sz w:val="16"/>
        </w:rPr>
        <w:t xml:space="preserve">; the </w:t>
      </w:r>
      <w:r w:rsidRPr="004D017F">
        <w:rPr>
          <w:rFonts w:eastAsia="Calibri"/>
          <w:iCs/>
          <w:u w:val="single"/>
          <w:bdr w:val="single" w:sz="8" w:space="0" w:color="auto"/>
        </w:rPr>
        <w:t>ecological crisis</w:t>
      </w:r>
      <w:r w:rsidRPr="004D017F">
        <w:rPr>
          <w:rFonts w:eastAsia="Calibri"/>
          <w:sz w:val="16"/>
        </w:rPr>
        <w:t xml:space="preserve"> </w:t>
      </w:r>
      <w:r w:rsidRPr="004D017F">
        <w:rPr>
          <w:rFonts w:eastAsia="Calibri"/>
          <w:u w:val="single"/>
        </w:rPr>
        <w:t>is a</w:t>
      </w:r>
      <w:r w:rsidRPr="004D017F">
        <w:rPr>
          <w:rFonts w:eastAsia="Calibri"/>
          <w:sz w:val="16"/>
        </w:rPr>
        <w:t xml:space="preserve"> </w:t>
      </w:r>
      <w:r w:rsidRPr="004D017F">
        <w:rPr>
          <w:rFonts w:eastAsia="Calibri"/>
          <w:iCs/>
          <w:u w:val="single"/>
          <w:bdr w:val="single" w:sz="8" w:space="0" w:color="auto"/>
        </w:rPr>
        <w:t>reality</w:t>
      </w:r>
      <w:r w:rsidRPr="004D017F">
        <w:rPr>
          <w:rFonts w:eastAsia="Calibri"/>
          <w:u w:val="single"/>
        </w:rPr>
        <w:t xml:space="preserve">. One of </w:t>
      </w:r>
      <w:r w:rsidRPr="004D017F">
        <w:rPr>
          <w:rFonts w:eastAsia="Calibri"/>
          <w:highlight w:val="cyan"/>
          <w:u w:val="single"/>
        </w:rPr>
        <w:t>the</w:t>
      </w:r>
      <w:r w:rsidRPr="004D017F">
        <w:rPr>
          <w:rFonts w:eastAsia="Calibri"/>
          <w:sz w:val="16"/>
        </w:rPr>
        <w:t xml:space="preserve"> main </w:t>
      </w:r>
      <w:r w:rsidRPr="004D017F">
        <w:rPr>
          <w:rFonts w:eastAsia="Calibri"/>
          <w:iCs/>
          <w:highlight w:val="cyan"/>
          <w:u w:val="single"/>
          <w:bdr w:val="single" w:sz="8" w:space="0" w:color="auto"/>
        </w:rPr>
        <w:t>reason</w:t>
      </w:r>
      <w:r w:rsidRPr="004D017F">
        <w:rPr>
          <w:rFonts w:eastAsia="Calibri"/>
          <w:iCs/>
          <w:u w:val="single"/>
          <w:bdr w:val="single" w:sz="8" w:space="0" w:color="auto"/>
        </w:rPr>
        <w:t>s</w:t>
      </w:r>
      <w:r w:rsidRPr="004D017F">
        <w:rPr>
          <w:rFonts w:eastAsia="Calibri"/>
          <w:sz w:val="16"/>
        </w:rPr>
        <w:t xml:space="preserve"> </w:t>
      </w:r>
      <w:r w:rsidRPr="004D017F">
        <w:rPr>
          <w:rFonts w:eastAsia="Calibri"/>
          <w:highlight w:val="cyan"/>
          <w:u w:val="single"/>
        </w:rPr>
        <w:t>for</w:t>
      </w:r>
      <w:r w:rsidRPr="004D017F">
        <w:rPr>
          <w:rFonts w:eastAsia="Calibri"/>
          <w:u w:val="single"/>
        </w:rPr>
        <w:t xml:space="preserve"> this</w:t>
      </w:r>
      <w:r w:rsidRPr="004D017F">
        <w:rPr>
          <w:rFonts w:eastAsia="Calibri"/>
          <w:sz w:val="16"/>
        </w:rPr>
        <w:t xml:space="preserve"> scandal and </w:t>
      </w:r>
      <w:r w:rsidRPr="004D017F">
        <w:rPr>
          <w:rFonts w:eastAsia="Calibri"/>
          <w:iCs/>
          <w:highlight w:val="cyan"/>
          <w:u w:val="single"/>
          <w:bdr w:val="single" w:sz="8" w:space="0" w:color="auto"/>
        </w:rPr>
        <w:t>catastrophe</w:t>
      </w:r>
      <w:r w:rsidRPr="004D017F">
        <w:rPr>
          <w:rFonts w:eastAsia="Calibri"/>
          <w:sz w:val="16"/>
          <w:highlight w:val="cyan"/>
        </w:rPr>
        <w:t xml:space="preserve"> </w:t>
      </w:r>
      <w:r w:rsidRPr="004D017F">
        <w:rPr>
          <w:rFonts w:eastAsia="Calibri"/>
          <w:highlight w:val="cyan"/>
          <w:u w:val="single"/>
        </w:rPr>
        <w:t>is the</w:t>
      </w:r>
      <w:r w:rsidRPr="004D017F">
        <w:rPr>
          <w:rFonts w:eastAsia="Calibri"/>
          <w:sz w:val="16"/>
          <w:highlight w:val="cyan"/>
        </w:rPr>
        <w:t xml:space="preserve"> </w:t>
      </w:r>
      <w:r w:rsidRPr="004D017F">
        <w:rPr>
          <w:rFonts w:eastAsia="Calibri"/>
          <w:iCs/>
          <w:highlight w:val="cyan"/>
          <w:u w:val="single"/>
          <w:bdr w:val="single" w:sz="8" w:space="0" w:color="auto"/>
        </w:rPr>
        <w:t>frantic race</w:t>
      </w:r>
      <w:r w:rsidRPr="004D017F">
        <w:rPr>
          <w:rFonts w:eastAsia="Calibri"/>
          <w:sz w:val="16"/>
        </w:rPr>
        <w:t xml:space="preserve"> for profit. </w:t>
      </w:r>
      <w:r w:rsidRPr="004D017F">
        <w:rPr>
          <w:rFonts w:eastAsia="Calibri"/>
          <w:highlight w:val="cyan"/>
          <w:u w:val="single"/>
        </w:rPr>
        <w:t>Corporations</w:t>
      </w:r>
      <w:r w:rsidRPr="004D017F">
        <w:rPr>
          <w:rFonts w:eastAsia="Calibri"/>
          <w:u w:val="single"/>
        </w:rPr>
        <w:t xml:space="preserve"> are under</w:t>
      </w:r>
      <w:r w:rsidRPr="004D017F">
        <w:rPr>
          <w:rFonts w:eastAsia="Calibri"/>
          <w:sz w:val="16"/>
        </w:rPr>
        <w:t xml:space="preserve"> </w:t>
      </w:r>
      <w:r w:rsidRPr="004D017F">
        <w:rPr>
          <w:rFonts w:eastAsia="Calibri"/>
          <w:iCs/>
          <w:u w:val="single"/>
          <w:bdr w:val="single" w:sz="8" w:space="0" w:color="auto"/>
        </w:rPr>
        <w:t>tremendous pressure</w:t>
      </w:r>
      <w:r w:rsidRPr="004D017F">
        <w:rPr>
          <w:rFonts w:eastAsia="Calibri"/>
          <w:sz w:val="16"/>
        </w:rPr>
        <w:t xml:space="preserve"> </w:t>
      </w:r>
      <w:r w:rsidRPr="004D017F">
        <w:rPr>
          <w:rFonts w:eastAsia="Calibri"/>
          <w:u w:val="single"/>
        </w:rPr>
        <w:t xml:space="preserve">to </w:t>
      </w:r>
      <w:r w:rsidRPr="004D017F">
        <w:rPr>
          <w:rFonts w:eastAsia="Calibri"/>
          <w:highlight w:val="cyan"/>
          <w:u w:val="single"/>
        </w:rPr>
        <w:t>prioritise</w:t>
      </w:r>
      <w:r w:rsidRPr="004D017F">
        <w:rPr>
          <w:rFonts w:eastAsia="Calibri"/>
          <w:sz w:val="16"/>
          <w:highlight w:val="cyan"/>
        </w:rPr>
        <w:t xml:space="preserve"> </w:t>
      </w:r>
      <w:r w:rsidRPr="004D017F">
        <w:rPr>
          <w:rFonts w:eastAsia="Calibri"/>
          <w:iCs/>
          <w:highlight w:val="cyan"/>
          <w:u w:val="single"/>
          <w:bdr w:val="single" w:sz="8" w:space="0" w:color="auto"/>
        </w:rPr>
        <w:t>shareholders'</w:t>
      </w:r>
      <w:r w:rsidRPr="004D017F">
        <w:rPr>
          <w:rFonts w:eastAsia="Calibri"/>
          <w:iCs/>
          <w:u w:val="single"/>
          <w:bdr w:val="single" w:sz="8" w:space="0" w:color="auto"/>
        </w:rPr>
        <w:t xml:space="preserve"> values</w:t>
      </w:r>
      <w:r w:rsidRPr="004D017F">
        <w:rPr>
          <w:rFonts w:eastAsia="Calibri"/>
          <w:sz w:val="16"/>
        </w:rPr>
        <w:t xml:space="preserve"> </w:t>
      </w:r>
      <w:r w:rsidRPr="004D017F">
        <w:rPr>
          <w:rFonts w:eastAsia="Calibri"/>
          <w:u w:val="single"/>
        </w:rPr>
        <w:t>at the</w:t>
      </w:r>
      <w:r w:rsidRPr="004D017F">
        <w:rPr>
          <w:rFonts w:eastAsia="Calibri"/>
          <w:sz w:val="16"/>
        </w:rPr>
        <w:t xml:space="preserve"> </w:t>
      </w:r>
      <w:r w:rsidRPr="004D017F">
        <w:rPr>
          <w:rFonts w:eastAsia="Calibri"/>
          <w:iCs/>
          <w:u w:val="single"/>
          <w:bdr w:val="single" w:sz="8" w:space="0" w:color="auto"/>
        </w:rPr>
        <w:t>expense</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other stakeholders</w:t>
      </w:r>
      <w:r w:rsidRPr="004D017F">
        <w:rPr>
          <w:rFonts w:eastAsia="Calibri"/>
          <w:sz w:val="16"/>
        </w:rPr>
        <w:t xml:space="preserve">’ interests. </w:t>
      </w:r>
      <w:r w:rsidRPr="004D017F">
        <w:rPr>
          <w:rFonts w:eastAsia="Calibri"/>
          <w:iCs/>
          <w:u w:val="single"/>
          <w:bdr w:val="single" w:sz="8" w:space="0" w:color="auto"/>
        </w:rPr>
        <w:t>Greed</w:t>
      </w:r>
      <w:r w:rsidRPr="004D017F">
        <w:rPr>
          <w:rFonts w:eastAsia="Calibri"/>
          <w:sz w:val="16"/>
        </w:rPr>
        <w:t xml:space="preserve">ness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unethical behaviour</w:t>
      </w:r>
      <w:r w:rsidRPr="004D017F">
        <w:rPr>
          <w:rFonts w:eastAsia="Calibri"/>
          <w:sz w:val="16"/>
        </w:rPr>
        <w:t xml:space="preserve"> </w:t>
      </w:r>
      <w:r w:rsidRPr="004D017F">
        <w:rPr>
          <w:rFonts w:eastAsia="Calibri"/>
          <w:u w:val="single"/>
        </w:rPr>
        <w:t>are parts of</w:t>
      </w:r>
      <w:r w:rsidRPr="004D017F">
        <w:rPr>
          <w:rFonts w:eastAsia="Calibri"/>
          <w:sz w:val="16"/>
        </w:rPr>
        <w:t xml:space="preserve"> </w:t>
      </w:r>
      <w:r w:rsidRPr="004D017F">
        <w:rPr>
          <w:rFonts w:eastAsia="Calibri"/>
          <w:iCs/>
          <w:u w:val="single"/>
          <w:bdr w:val="single" w:sz="8" w:space="0" w:color="auto"/>
        </w:rPr>
        <w:t>corporate</w:t>
      </w:r>
      <w:r w:rsidRPr="004D017F">
        <w:rPr>
          <w:rFonts w:eastAsia="Calibri"/>
          <w:sz w:val="16"/>
        </w:rPr>
        <w:t xml:space="preserve"> governance </w:t>
      </w:r>
      <w:r w:rsidRPr="004D017F">
        <w:rPr>
          <w:rFonts w:eastAsia="Calibri"/>
          <w:iCs/>
          <w:u w:val="single"/>
          <w:bdr w:val="single" w:sz="8" w:space="0" w:color="auto"/>
        </w:rPr>
        <w:t>scandals</w:t>
      </w:r>
      <w:r w:rsidRPr="004D017F">
        <w:rPr>
          <w:rFonts w:eastAsia="Calibri"/>
          <w:sz w:val="16"/>
        </w:rPr>
        <w:t xml:space="preserve"> </w:t>
      </w:r>
      <w:r w:rsidRPr="004D017F">
        <w:rPr>
          <w:rFonts w:eastAsia="Calibri"/>
          <w:u w:val="single"/>
        </w:rPr>
        <w:t xml:space="preserve">that </w:t>
      </w:r>
      <w:r w:rsidRPr="004D017F">
        <w:rPr>
          <w:rFonts w:eastAsia="Calibri"/>
          <w:highlight w:val="cyan"/>
          <w:u w:val="single"/>
        </w:rPr>
        <w:t>led to</w:t>
      </w:r>
      <w:r w:rsidRPr="004D017F">
        <w:rPr>
          <w:rFonts w:eastAsia="Calibri"/>
          <w:u w:val="single"/>
        </w:rPr>
        <w:t xml:space="preserve"> the</w:t>
      </w:r>
      <w:r w:rsidRPr="004D017F">
        <w:rPr>
          <w:rFonts w:eastAsia="Calibri"/>
          <w:sz w:val="16"/>
        </w:rPr>
        <w:t xml:space="preserve"> </w:t>
      </w:r>
      <w:r w:rsidRPr="004D017F">
        <w:rPr>
          <w:rFonts w:eastAsia="Calibri"/>
          <w:iCs/>
          <w:highlight w:val="cyan"/>
          <w:u w:val="single"/>
          <w:bdr w:val="single" w:sz="8" w:space="0" w:color="auto"/>
        </w:rPr>
        <w:t>financial crisis</w:t>
      </w:r>
      <w:r w:rsidRPr="004D017F">
        <w:rPr>
          <w:rFonts w:eastAsia="Calibri"/>
          <w:sz w:val="16"/>
        </w:rPr>
        <w:t xml:space="preserve"> of 2008, </w:t>
      </w:r>
      <w:r w:rsidRPr="004D017F">
        <w:rPr>
          <w:rFonts w:eastAsia="Calibri"/>
          <w:iCs/>
          <w:u w:val="single"/>
          <w:bdr w:val="single" w:sz="8" w:space="0" w:color="auto"/>
        </w:rPr>
        <w:t xml:space="preserve">global </w:t>
      </w:r>
      <w:r w:rsidRPr="004D017F">
        <w:rPr>
          <w:rFonts w:eastAsia="Calibri"/>
          <w:iCs/>
          <w:highlight w:val="cyan"/>
          <w:u w:val="single"/>
          <w:bdr w:val="single" w:sz="8" w:space="0" w:color="auto"/>
        </w:rPr>
        <w:t>poverty</w:t>
      </w:r>
      <w:r w:rsidRPr="004D017F">
        <w:rPr>
          <w:rFonts w:eastAsia="Calibri"/>
          <w:highlight w:val="cyan"/>
          <w:u w:val="single"/>
        </w:rPr>
        <w:t xml:space="preserve">, </w:t>
      </w:r>
      <w:r w:rsidRPr="004D017F">
        <w:rPr>
          <w:rFonts w:eastAsia="Calibri"/>
          <w:iCs/>
          <w:highlight w:val="cyan"/>
          <w:u w:val="single"/>
          <w:bdr w:val="single" w:sz="8" w:space="0" w:color="auto"/>
        </w:rPr>
        <w:t>terrorism</w:t>
      </w:r>
      <w:r w:rsidRPr="004D017F">
        <w:rPr>
          <w:rFonts w:eastAsia="Calibri"/>
          <w:sz w:val="16"/>
        </w:rPr>
        <w:t xml:space="preserve">, etc. </w:t>
      </w:r>
      <w:r w:rsidRPr="004147DB">
        <w:rPr>
          <w:rFonts w:eastAsia="Calibri"/>
          <w:highlight w:val="yellow"/>
          <w:u w:val="single"/>
        </w:rPr>
        <w:t>All these</w:t>
      </w:r>
      <w:r w:rsidRPr="004D017F">
        <w:rPr>
          <w:rFonts w:eastAsia="Calibri"/>
          <w:u w:val="single"/>
        </w:rPr>
        <w:t xml:space="preserve"> issues </w:t>
      </w:r>
      <w:r w:rsidRPr="004147DB">
        <w:rPr>
          <w:rFonts w:eastAsia="Calibri"/>
          <w:highlight w:val="yellow"/>
          <w:u w:val="single"/>
        </w:rPr>
        <w:t>are</w:t>
      </w:r>
      <w:r w:rsidRPr="004D017F">
        <w:rPr>
          <w:rFonts w:eastAsia="Calibri"/>
          <w:sz w:val="16"/>
        </w:rPr>
        <w:t xml:space="preserve"> real </w:t>
      </w:r>
      <w:r w:rsidRPr="004147DB">
        <w:rPr>
          <w:rFonts w:eastAsia="Calibri"/>
          <w:iCs/>
          <w:highlight w:val="yellow"/>
          <w:u w:val="single"/>
          <w:bdr w:val="single" w:sz="8" w:space="0" w:color="auto"/>
        </w:rPr>
        <w:t>existential threats</w:t>
      </w:r>
      <w:r w:rsidRPr="004147DB">
        <w:rPr>
          <w:rFonts w:eastAsia="Calibri"/>
          <w:sz w:val="16"/>
          <w:highlight w:val="yellow"/>
        </w:rPr>
        <w:t xml:space="preserve"> </w:t>
      </w:r>
      <w:r w:rsidRPr="004147DB">
        <w:rPr>
          <w:rFonts w:eastAsia="Calibri"/>
          <w:highlight w:val="yellow"/>
          <w:u w:val="single"/>
        </w:rPr>
        <w:t>to</w:t>
      </w:r>
      <w:r w:rsidRPr="004D017F">
        <w:rPr>
          <w:rFonts w:eastAsia="Calibri"/>
          <w:sz w:val="16"/>
        </w:rPr>
        <w:t xml:space="preserve"> </w:t>
      </w:r>
      <w:r w:rsidRPr="004D017F">
        <w:rPr>
          <w:rFonts w:eastAsia="Calibri"/>
          <w:iCs/>
          <w:u w:val="single"/>
          <w:bdr w:val="single" w:sz="8" w:space="0" w:color="auto"/>
        </w:rPr>
        <w:t>present</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147DB">
        <w:rPr>
          <w:rFonts w:eastAsia="Calibri"/>
          <w:iCs/>
          <w:highlight w:val="yellow"/>
          <w:u w:val="single"/>
          <w:bdr w:val="single" w:sz="8" w:space="0" w:color="auto"/>
        </w:rPr>
        <w:t>future generations</w:t>
      </w:r>
      <w:r w:rsidRPr="004D017F">
        <w:rPr>
          <w:rFonts w:eastAsia="Calibri"/>
          <w:sz w:val="16"/>
        </w:rPr>
        <w:t xml:space="preserve">. Thus, strict regulation of corporate governance is essential for ethical reasons. </w:t>
      </w:r>
      <w:r w:rsidRPr="004D017F">
        <w:rPr>
          <w:rFonts w:eastAsia="Calibri"/>
          <w:highlight w:val="cyan"/>
          <w:u w:val="single"/>
        </w:rPr>
        <w:t>Sustainable</w:t>
      </w:r>
      <w:r w:rsidRPr="004D017F">
        <w:rPr>
          <w:rFonts w:eastAsia="Calibri"/>
          <w:sz w:val="16"/>
          <w:highlight w:val="cyan"/>
        </w:rPr>
        <w:t xml:space="preserve"> </w:t>
      </w:r>
      <w:r w:rsidRPr="004D017F">
        <w:rPr>
          <w:rFonts w:eastAsia="Calibri"/>
          <w:iCs/>
          <w:highlight w:val="cyan"/>
          <w:u w:val="single"/>
          <w:bdr w:val="single" w:sz="8" w:space="0" w:color="auto"/>
        </w:rPr>
        <w:t>business</w:t>
      </w:r>
      <w:r w:rsidRPr="004D017F">
        <w:rPr>
          <w:rFonts w:eastAsia="Calibri"/>
          <w:sz w:val="16"/>
        </w:rPr>
        <w:t xml:space="preserve"> </w:t>
      </w:r>
      <w:r w:rsidRPr="004D017F">
        <w:rPr>
          <w:rFonts w:eastAsia="Calibri"/>
          <w:u w:val="single"/>
        </w:rPr>
        <w:t>and</w:t>
      </w:r>
      <w:r w:rsidRPr="004D017F">
        <w:rPr>
          <w:rFonts w:eastAsia="Calibri"/>
          <w:sz w:val="16"/>
        </w:rPr>
        <w:t xml:space="preserve"> sustainable </w:t>
      </w:r>
      <w:r w:rsidRPr="004D017F">
        <w:rPr>
          <w:rFonts w:eastAsia="Calibri"/>
          <w:iCs/>
          <w:u w:val="single"/>
          <w:bdr w:val="single" w:sz="8" w:space="0" w:color="auto"/>
        </w:rPr>
        <w:t>development</w:t>
      </w:r>
      <w:r w:rsidRPr="004D017F">
        <w:rPr>
          <w:rFonts w:eastAsia="Calibri"/>
          <w:sz w:val="16"/>
        </w:rPr>
        <w:t xml:space="preserve"> </w:t>
      </w:r>
      <w:r w:rsidRPr="004D017F">
        <w:rPr>
          <w:rFonts w:eastAsia="Calibri"/>
          <w:u w:val="single"/>
        </w:rPr>
        <w:t>are crucial to</w:t>
      </w:r>
      <w:r w:rsidRPr="004D017F">
        <w:rPr>
          <w:rFonts w:eastAsia="Calibri"/>
          <w:sz w:val="16"/>
        </w:rPr>
        <w:t xml:space="preserve"> </w:t>
      </w:r>
      <w:r w:rsidRPr="004D017F">
        <w:rPr>
          <w:rFonts w:eastAsia="Calibri"/>
          <w:iCs/>
          <w:highlight w:val="cyan"/>
          <w:u w:val="single"/>
          <w:bdr w:val="single" w:sz="8" w:space="0" w:color="auto"/>
        </w:rPr>
        <w:t>preserve humankind</w:t>
      </w:r>
      <w:r w:rsidRPr="004D017F">
        <w:rPr>
          <w:rFonts w:eastAsia="Calibri"/>
          <w:sz w:val="16"/>
          <w:highlight w:val="cyan"/>
        </w:rPr>
        <w:t xml:space="preserve"> </w:t>
      </w:r>
      <w:r w:rsidRPr="004D017F">
        <w:rPr>
          <w:rFonts w:eastAsia="Calibri"/>
          <w:highlight w:val="cyan"/>
          <w:u w:val="single"/>
        </w:rPr>
        <w:t>from</w:t>
      </w:r>
      <w:r w:rsidRPr="004D017F">
        <w:rPr>
          <w:rFonts w:eastAsia="Calibri"/>
          <w:sz w:val="16"/>
          <w:highlight w:val="cyan"/>
        </w:rPr>
        <w:t xml:space="preserve"> </w:t>
      </w:r>
      <w:r w:rsidRPr="004D017F">
        <w:rPr>
          <w:rFonts w:eastAsia="Calibri"/>
          <w:iCs/>
          <w:highlight w:val="cyan"/>
          <w:u w:val="single"/>
          <w:bdr w:val="single" w:sz="8" w:space="0" w:color="auto"/>
        </w:rPr>
        <w:t>extinction</w:t>
      </w:r>
      <w:r w:rsidRPr="004D017F">
        <w:rPr>
          <w:rFonts w:eastAsia="Calibri"/>
          <w:sz w:val="16"/>
        </w:rPr>
        <w:t>.</w:t>
      </w:r>
    </w:p>
    <w:p w14:paraId="5732033A" w14:textId="77777777" w:rsidR="00A800B7" w:rsidRPr="00404054" w:rsidRDefault="00A800B7" w:rsidP="00A800B7">
      <w:pPr>
        <w:rPr>
          <w:rFonts w:eastAsia="Calibri"/>
          <w:sz w:val="2"/>
          <w:szCs w:val="2"/>
        </w:rPr>
      </w:pPr>
      <w:r w:rsidRPr="00404054">
        <w:rPr>
          <w:rFonts w:eastAsia="Calibri"/>
          <w:sz w:val="2"/>
          <w:szCs w:val="2"/>
        </w:rPr>
        <w:t>INTRODUCTION</w:t>
      </w:r>
    </w:p>
    <w:p w14:paraId="34B2B684" w14:textId="77777777" w:rsidR="00A800B7" w:rsidRPr="00404054" w:rsidRDefault="00A800B7" w:rsidP="00A800B7">
      <w:pPr>
        <w:rPr>
          <w:rFonts w:eastAsia="Calibri"/>
          <w:sz w:val="2"/>
          <w:szCs w:val="2"/>
        </w:rPr>
      </w:pPr>
      <w:r w:rsidRPr="00404054">
        <w:rPr>
          <w:rFonts w:eastAsia="Calibri"/>
          <w:sz w:val="2"/>
          <w:szCs w:val="2"/>
        </w:rPr>
        <w:t>Overview of Corporate Governance</w:t>
      </w:r>
    </w:p>
    <w:p w14:paraId="4710B5C0" w14:textId="77777777" w:rsidR="00A800B7" w:rsidRPr="00404054" w:rsidRDefault="00A800B7" w:rsidP="00A800B7">
      <w:pPr>
        <w:rPr>
          <w:rFonts w:eastAsia="Calibri"/>
          <w:sz w:val="2"/>
          <w:szCs w:val="2"/>
        </w:rPr>
      </w:pPr>
      <w:r w:rsidRPr="00404054">
        <w:rPr>
          <w:rFonts w:eastAsia="Calibri"/>
          <w:sz w:val="2"/>
          <w:szCs w:val="2"/>
        </w:rPr>
        <w:t xml:space="preserve">The prospect of </w:t>
      </w:r>
      <w:r w:rsidRPr="00404054">
        <w:rPr>
          <w:rFonts w:eastAsia="Calibri"/>
          <w:sz w:val="2"/>
          <w:szCs w:val="2"/>
          <w:u w:val="single"/>
        </w:rPr>
        <w:t xml:space="preserve">corporate </w:t>
      </w:r>
      <w:r w:rsidRPr="00404054">
        <w:rPr>
          <w:rFonts w:eastAsia="Calibri"/>
          <w:sz w:val="2"/>
          <w:szCs w:val="2"/>
          <w:highlight w:val="cyan"/>
          <w:u w:val="single"/>
        </w:rPr>
        <w:t>governance</w:t>
      </w:r>
      <w:r w:rsidRPr="00404054">
        <w:rPr>
          <w:rFonts w:eastAsia="Calibri"/>
          <w:sz w:val="2"/>
          <w:szCs w:val="2"/>
        </w:rPr>
        <w:t xml:space="preserve"> incorporates the ways, </w:t>
      </w:r>
      <w:r w:rsidRPr="00404054">
        <w:rPr>
          <w:rFonts w:eastAsia="Calibri"/>
          <w:sz w:val="2"/>
          <w:szCs w:val="2"/>
          <w:highlight w:val="cyan"/>
          <w:u w:val="single"/>
        </w:rPr>
        <w:t>processes</w:t>
      </w:r>
      <w:r w:rsidRPr="00404054">
        <w:rPr>
          <w:rFonts w:eastAsia="Calibri"/>
          <w:sz w:val="2"/>
          <w:szCs w:val="2"/>
        </w:rPr>
        <w:t xml:space="preserve"> and connections of the corporation’s control and </w:t>
      </w:r>
      <w:r w:rsidRPr="00404054">
        <w:rPr>
          <w:rFonts w:eastAsia="Calibri"/>
          <w:iCs/>
          <w:sz w:val="2"/>
          <w:szCs w:val="2"/>
          <w:highlight w:val="cyan"/>
          <w:u w:val="single"/>
          <w:bdr w:val="single" w:sz="8" w:space="0" w:color="auto"/>
        </w:rPr>
        <w:t>steer</w:t>
      </w:r>
      <w:r w:rsidRPr="00404054">
        <w:rPr>
          <w:rFonts w:eastAsia="Calibri"/>
          <w:sz w:val="2"/>
          <w:szCs w:val="2"/>
        </w:rPr>
        <w:t xml:space="preserve">. It offers an approach for reaching a fair </w:t>
      </w:r>
      <w:r w:rsidRPr="00404054">
        <w:rPr>
          <w:rFonts w:eastAsia="Calibri"/>
          <w:iCs/>
          <w:sz w:val="2"/>
          <w:szCs w:val="2"/>
          <w:highlight w:val="cyan"/>
          <w:u w:val="single"/>
          <w:bdr w:val="single" w:sz="8" w:space="0" w:color="auto"/>
        </w:rPr>
        <w:t>settlement</w:t>
      </w:r>
      <w:r w:rsidRPr="00404054">
        <w:rPr>
          <w:rFonts w:eastAsia="Calibri"/>
          <w:sz w:val="2"/>
          <w:szCs w:val="2"/>
          <w:highlight w:val="cyan"/>
        </w:rPr>
        <w:t xml:space="preserve"> </w:t>
      </w:r>
      <w:r w:rsidRPr="00404054">
        <w:rPr>
          <w:rFonts w:eastAsia="Calibri"/>
          <w:sz w:val="2"/>
          <w:szCs w:val="2"/>
          <w:highlight w:val="cyan"/>
          <w:u w:val="single"/>
        </w:rPr>
        <w:t>amongst</w:t>
      </w:r>
      <w:r w:rsidRPr="00404054">
        <w:rPr>
          <w:rFonts w:eastAsia="Calibri"/>
          <w:sz w:val="2"/>
          <w:szCs w:val="2"/>
        </w:rPr>
        <w:t xml:space="preserve"> different parties who may be the </w:t>
      </w:r>
      <w:r w:rsidRPr="00404054">
        <w:rPr>
          <w:rFonts w:eastAsia="Calibri"/>
          <w:iCs/>
          <w:sz w:val="2"/>
          <w:szCs w:val="2"/>
          <w:highlight w:val="cyan"/>
          <w:u w:val="single"/>
          <w:bdr w:val="single" w:sz="8" w:space="0" w:color="auto"/>
        </w:rPr>
        <w:t>owners</w:t>
      </w:r>
      <w:r w:rsidRPr="00404054">
        <w:rPr>
          <w:rFonts w:eastAsia="Calibri"/>
          <w:sz w:val="2"/>
          <w:szCs w:val="2"/>
          <w:highlight w:val="cyan"/>
        </w:rPr>
        <w:t xml:space="preserve"> </w:t>
      </w:r>
      <w:r w:rsidRPr="00404054">
        <w:rPr>
          <w:rFonts w:eastAsia="Calibri"/>
          <w:sz w:val="2"/>
          <w:szCs w:val="2"/>
          <w:highlight w:val="cyan"/>
          <w:u w:val="single"/>
        </w:rPr>
        <w:t>or</w:t>
      </w:r>
      <w:r w:rsidRPr="00404054">
        <w:rPr>
          <w:rFonts w:eastAsia="Calibri"/>
          <w:sz w:val="2"/>
          <w:szCs w:val="2"/>
        </w:rPr>
        <w:t xml:space="preserve"> managers, the </w:t>
      </w:r>
      <w:r w:rsidRPr="00404054">
        <w:rPr>
          <w:rFonts w:eastAsia="Calibri"/>
          <w:iCs/>
          <w:sz w:val="2"/>
          <w:szCs w:val="2"/>
          <w:highlight w:val="cyan"/>
          <w:u w:val="single"/>
          <w:bdr w:val="single" w:sz="8" w:space="0" w:color="auto"/>
        </w:rPr>
        <w:t>employees</w:t>
      </w:r>
      <w:r w:rsidRPr="00404054">
        <w:rPr>
          <w:rFonts w:eastAsia="Calibri"/>
          <w:sz w:val="2"/>
          <w:szCs w:val="2"/>
        </w:rPr>
        <w:t xml:space="preserve">, the customers, the suppliers and the main community as well. Good corporate governance makes open management, questionability, justice and trust in decision making problems in organizations (Mallin, 2013). One of the most crucial tenets of corporate governance is the makeup and utilization of the board of direc- tors, the executive compensations, risk management systems, the internal controls, as well as the disclosure policies. Corporate governance main purpose is to realize a long-term profit goal for shareholders and at the same time controls the needs of the stakeholders and investigate sustainable business practices. </w:t>
      </w:r>
    </w:p>
    <w:p w14:paraId="671971BF" w14:textId="77777777" w:rsidR="00A800B7" w:rsidRPr="00404054" w:rsidRDefault="00A800B7" w:rsidP="00A800B7">
      <w:pPr>
        <w:rPr>
          <w:rFonts w:eastAsia="Calibri"/>
          <w:sz w:val="2"/>
          <w:szCs w:val="2"/>
        </w:rPr>
      </w:pPr>
      <w:r w:rsidRPr="00404054">
        <w:rPr>
          <w:rFonts w:eastAsia="Calibri"/>
          <w:sz w:val="2"/>
          <w:szCs w:val="2"/>
        </w:rPr>
        <w:t>Integrative role of Sustainable Development Goals (SDGs).</w:t>
      </w:r>
    </w:p>
    <w:p w14:paraId="562D94E9" w14:textId="77777777" w:rsidR="00A800B7" w:rsidRPr="00404054" w:rsidRDefault="00A800B7" w:rsidP="00A800B7">
      <w:pPr>
        <w:rPr>
          <w:rFonts w:eastAsia="Calibri"/>
          <w:sz w:val="2"/>
          <w:szCs w:val="2"/>
        </w:rPr>
      </w:pPr>
      <w:r w:rsidRPr="00404054">
        <w:rPr>
          <w:rFonts w:eastAsia="Calibri"/>
          <w:sz w:val="2"/>
          <w:szCs w:val="2"/>
        </w:rPr>
        <w:t>United Nations Sustainable Development Goals (</w:t>
      </w:r>
      <w:r w:rsidRPr="00404054">
        <w:rPr>
          <w:rFonts w:eastAsia="Calibri"/>
          <w:sz w:val="2"/>
          <w:szCs w:val="2"/>
          <w:u w:val="single"/>
        </w:rPr>
        <w:t>SDGs</w:t>
      </w:r>
      <w:r w:rsidRPr="00404054">
        <w:rPr>
          <w:rFonts w:eastAsia="Calibri"/>
          <w:sz w:val="2"/>
          <w:szCs w:val="2"/>
        </w:rPr>
        <w:t xml:space="preserve">) is a universal </w:t>
      </w:r>
      <w:r w:rsidRPr="00404054">
        <w:rPr>
          <w:rFonts w:eastAsia="Calibri"/>
          <w:sz w:val="2"/>
          <w:szCs w:val="2"/>
          <w:u w:val="single"/>
        </w:rPr>
        <w:t>call on</w:t>
      </w:r>
      <w:r w:rsidRPr="00404054">
        <w:rPr>
          <w:rFonts w:eastAsia="Calibri"/>
          <w:sz w:val="2"/>
          <w:szCs w:val="2"/>
        </w:rPr>
        <w:t xml:space="preserve"> all the </w:t>
      </w:r>
      <w:r w:rsidRPr="00404054">
        <w:rPr>
          <w:rFonts w:eastAsia="Calibri"/>
          <w:sz w:val="2"/>
          <w:szCs w:val="2"/>
          <w:u w:val="single"/>
        </w:rPr>
        <w:t>humanity stakeholders and state/non-state actors</w:t>
      </w:r>
      <w:r w:rsidRPr="00404054">
        <w:rPr>
          <w:rFonts w:eastAsia="Calibri"/>
          <w:sz w:val="2"/>
          <w:szCs w:val="2"/>
        </w:rPr>
        <w:t xml:space="preserve"> globally </w:t>
      </w:r>
      <w:r w:rsidRPr="00404054">
        <w:rPr>
          <w:rFonts w:eastAsia="Calibri"/>
          <w:sz w:val="2"/>
          <w:szCs w:val="2"/>
          <w:u w:val="single"/>
        </w:rPr>
        <w:t>to</w:t>
      </w:r>
      <w:r w:rsidRPr="00404054">
        <w:rPr>
          <w:rFonts w:eastAsia="Calibri"/>
          <w:sz w:val="2"/>
          <w:szCs w:val="2"/>
        </w:rPr>
        <w:t xml:space="preserve"> </w:t>
      </w:r>
      <w:r w:rsidRPr="00404054">
        <w:rPr>
          <w:rFonts w:eastAsia="Calibri"/>
          <w:iCs/>
          <w:sz w:val="2"/>
          <w:szCs w:val="2"/>
          <w:u w:val="single"/>
          <w:bdr w:val="single" w:sz="8" w:space="0" w:color="auto"/>
        </w:rPr>
        <w:t>end poverty</w:t>
      </w:r>
      <w:r w:rsidRPr="00404054">
        <w:rPr>
          <w:rFonts w:eastAsia="Calibri"/>
          <w:sz w:val="2"/>
          <w:szCs w:val="2"/>
        </w:rPr>
        <w:t xml:space="preserve"> by 2030, </w:t>
      </w:r>
      <w:r w:rsidRPr="00404054">
        <w:rPr>
          <w:rFonts w:eastAsia="Calibri"/>
          <w:sz w:val="2"/>
          <w:szCs w:val="2"/>
          <w:u w:val="single"/>
        </w:rPr>
        <w:t>protect the</w:t>
      </w:r>
      <w:r w:rsidRPr="00404054">
        <w:rPr>
          <w:rFonts w:eastAsia="Calibri"/>
          <w:sz w:val="2"/>
          <w:szCs w:val="2"/>
        </w:rPr>
        <w:t xml:space="preserve"> </w:t>
      </w:r>
      <w:r w:rsidRPr="00404054">
        <w:rPr>
          <w:rFonts w:eastAsia="Calibri"/>
          <w:iCs/>
          <w:sz w:val="2"/>
          <w:szCs w:val="2"/>
          <w:u w:val="single"/>
          <w:bdr w:val="single" w:sz="8" w:space="0" w:color="auto"/>
        </w:rPr>
        <w:t>planet</w:t>
      </w:r>
      <w:r w:rsidRPr="00404054">
        <w:rPr>
          <w:rFonts w:eastAsia="Calibri"/>
          <w:sz w:val="2"/>
          <w:szCs w:val="2"/>
        </w:rPr>
        <w:t xml:space="preserve"> </w:t>
      </w:r>
      <w:r w:rsidRPr="00404054">
        <w:rPr>
          <w:rFonts w:eastAsia="Calibri"/>
          <w:sz w:val="2"/>
          <w:szCs w:val="2"/>
          <w:u w:val="single"/>
        </w:rPr>
        <w:t>and ensure that</w:t>
      </w:r>
      <w:r w:rsidRPr="00404054">
        <w:rPr>
          <w:rFonts w:eastAsia="Calibri"/>
          <w:sz w:val="2"/>
          <w:szCs w:val="2"/>
        </w:rPr>
        <w:t xml:space="preserve"> </w:t>
      </w:r>
      <w:r w:rsidRPr="00404054">
        <w:rPr>
          <w:rFonts w:eastAsia="Calibri"/>
          <w:iCs/>
          <w:sz w:val="2"/>
          <w:szCs w:val="2"/>
          <w:u w:val="single"/>
          <w:bdr w:val="single" w:sz="8" w:space="0" w:color="auto"/>
        </w:rPr>
        <w:t>all people</w:t>
      </w:r>
      <w:r w:rsidRPr="00404054">
        <w:rPr>
          <w:rFonts w:eastAsia="Calibri"/>
          <w:sz w:val="2"/>
          <w:szCs w:val="2"/>
        </w:rPr>
        <w:t xml:space="preserve"> </w:t>
      </w:r>
      <w:r w:rsidRPr="00404054">
        <w:rPr>
          <w:rFonts w:eastAsia="Calibri"/>
          <w:sz w:val="2"/>
          <w:szCs w:val="2"/>
          <w:u w:val="single"/>
        </w:rPr>
        <w:t>enjoy</w:t>
      </w:r>
      <w:r w:rsidRPr="00404054">
        <w:rPr>
          <w:rFonts w:eastAsia="Calibri"/>
          <w:sz w:val="2"/>
          <w:szCs w:val="2"/>
        </w:rPr>
        <w:t xml:space="preserve"> </w:t>
      </w:r>
      <w:r w:rsidRPr="00404054">
        <w:rPr>
          <w:rFonts w:eastAsia="Calibri"/>
          <w:iCs/>
          <w:sz w:val="2"/>
          <w:szCs w:val="2"/>
          <w:u w:val="single"/>
          <w:bdr w:val="single" w:sz="8" w:space="0" w:color="auto"/>
        </w:rPr>
        <w:t>peace</w:t>
      </w:r>
      <w:r w:rsidRPr="00404054">
        <w:rPr>
          <w:rFonts w:eastAsia="Calibri"/>
          <w:sz w:val="2"/>
          <w:szCs w:val="2"/>
        </w:rPr>
        <w:t xml:space="preserve"> </w:t>
      </w:r>
      <w:r w:rsidRPr="00404054">
        <w:rPr>
          <w:rFonts w:eastAsia="Calibri"/>
          <w:sz w:val="2"/>
          <w:szCs w:val="2"/>
          <w:u w:val="single"/>
        </w:rPr>
        <w:t>and</w:t>
      </w:r>
      <w:r w:rsidRPr="00404054">
        <w:rPr>
          <w:rFonts w:eastAsia="Calibri"/>
          <w:sz w:val="2"/>
          <w:szCs w:val="2"/>
        </w:rPr>
        <w:t xml:space="preserve"> </w:t>
      </w:r>
      <w:r w:rsidRPr="00404054">
        <w:rPr>
          <w:rFonts w:eastAsia="Calibri"/>
          <w:iCs/>
          <w:sz w:val="2"/>
          <w:szCs w:val="2"/>
          <w:u w:val="single"/>
          <w:bdr w:val="single" w:sz="8" w:space="0" w:color="auto"/>
        </w:rPr>
        <w:t>prosperity</w:t>
      </w:r>
      <w:r w:rsidRPr="00404054">
        <w:rPr>
          <w:rFonts w:eastAsia="Calibri"/>
          <w:sz w:val="2"/>
          <w:szCs w:val="2"/>
        </w:rPr>
        <w:t xml:space="preserve">. The 17 SDGs comprise of the Sustainable Development Goals that were taken by all the member states of the United Nations in the year 2015 and they target the issues of poverty,of hunger, health and education of women, provision of clean drinking water and sanitation, affordable and clean energy, decent work and economic growth, industry, innovation and infrastructure, inequality amongst people, sustainable cit- ies and communities, responsible Fulfilling the agenda of SDGs (the Sustainable Development Goals) becomes possible only as result of a comprehensive joint work of governments, businesses, civil society organizations and people in all parts of the world (Mallin, 2013). However, </w:t>
      </w:r>
      <w:r w:rsidRPr="00404054">
        <w:rPr>
          <w:rFonts w:eastAsia="Calibri"/>
          <w:sz w:val="2"/>
          <w:szCs w:val="2"/>
          <w:highlight w:val="cyan"/>
          <w:u w:val="single"/>
        </w:rPr>
        <w:t>businesses are</w:t>
      </w:r>
      <w:r w:rsidRPr="00404054">
        <w:rPr>
          <w:rFonts w:eastAsia="Calibri"/>
          <w:sz w:val="2"/>
          <w:szCs w:val="2"/>
          <w:highlight w:val="cyan"/>
        </w:rPr>
        <w:t xml:space="preserve"> </w:t>
      </w:r>
      <w:r w:rsidRPr="00404054">
        <w:rPr>
          <w:rFonts w:eastAsia="Calibri"/>
          <w:iCs/>
          <w:sz w:val="2"/>
          <w:szCs w:val="2"/>
          <w:highlight w:val="cyan"/>
          <w:u w:val="single"/>
          <w:bdr w:val="single" w:sz="8" w:space="0" w:color="auto"/>
        </w:rPr>
        <w:t>heavily involved</w:t>
      </w:r>
      <w:r w:rsidRPr="00404054">
        <w:rPr>
          <w:rFonts w:eastAsia="Calibri"/>
          <w:sz w:val="2"/>
          <w:szCs w:val="2"/>
          <w:highlight w:val="cyan"/>
        </w:rPr>
        <w:t xml:space="preserve"> </w:t>
      </w:r>
      <w:r w:rsidRPr="00404054">
        <w:rPr>
          <w:rFonts w:eastAsia="Calibri"/>
          <w:sz w:val="2"/>
          <w:szCs w:val="2"/>
          <w:highlight w:val="cyan"/>
          <w:u w:val="single"/>
        </w:rPr>
        <w:t>in a</w:t>
      </w:r>
      <w:r w:rsidRPr="00404054">
        <w:rPr>
          <w:rFonts w:eastAsia="Calibri"/>
          <w:sz w:val="2"/>
          <w:szCs w:val="2"/>
          <w:u w:val="single"/>
        </w:rPr>
        <w:t xml:space="preserve">chieving the </w:t>
      </w:r>
      <w:r w:rsidRPr="00404054">
        <w:rPr>
          <w:rFonts w:eastAsia="Calibri"/>
          <w:sz w:val="2"/>
          <w:szCs w:val="2"/>
          <w:highlight w:val="cyan"/>
          <w:u w:val="single"/>
        </w:rPr>
        <w:t>SDGs</w:t>
      </w:r>
      <w:r w:rsidRPr="00404054">
        <w:rPr>
          <w:rFonts w:eastAsia="Calibri"/>
          <w:sz w:val="2"/>
          <w:szCs w:val="2"/>
        </w:rPr>
        <w:t xml:space="preserve"> by doing it </w:t>
      </w:r>
      <w:r w:rsidRPr="00404054">
        <w:rPr>
          <w:rFonts w:eastAsia="Calibri"/>
          <w:sz w:val="2"/>
          <w:szCs w:val="2"/>
          <w:u w:val="single"/>
        </w:rPr>
        <w:t>through their</w:t>
      </w:r>
      <w:r w:rsidRPr="00404054">
        <w:rPr>
          <w:rFonts w:eastAsia="Calibri"/>
          <w:sz w:val="2"/>
          <w:szCs w:val="2"/>
        </w:rPr>
        <w:t xml:space="preserve"> usual </w:t>
      </w:r>
      <w:r w:rsidRPr="00404054">
        <w:rPr>
          <w:rFonts w:eastAsia="Calibri"/>
          <w:sz w:val="2"/>
          <w:szCs w:val="2"/>
          <w:u w:val="single"/>
        </w:rPr>
        <w:t>business practices</w:t>
      </w:r>
      <w:r w:rsidRPr="00404054">
        <w:rPr>
          <w:rFonts w:eastAsia="Calibri"/>
          <w:sz w:val="2"/>
          <w:szCs w:val="2"/>
        </w:rPr>
        <w:t xml:space="preserve">, production of products, services, and via their linkages </w:t>
      </w:r>
      <w:r w:rsidRPr="00404054">
        <w:rPr>
          <w:rFonts w:eastAsia="Calibri"/>
          <w:sz w:val="2"/>
          <w:szCs w:val="2"/>
          <w:u w:val="single"/>
        </w:rPr>
        <w:t>and</w:t>
      </w:r>
      <w:r w:rsidRPr="00404054">
        <w:rPr>
          <w:rFonts w:eastAsia="Calibri"/>
          <w:sz w:val="2"/>
          <w:szCs w:val="2"/>
        </w:rPr>
        <w:t xml:space="preserve"> as well as the ethics, </w:t>
      </w:r>
      <w:r w:rsidRPr="00404054">
        <w:rPr>
          <w:rFonts w:eastAsia="Calibri"/>
          <w:sz w:val="2"/>
          <w:szCs w:val="2"/>
          <w:u w:val="single"/>
        </w:rPr>
        <w:t>social and environmental standards</w:t>
      </w:r>
      <w:r w:rsidRPr="00404054">
        <w:rPr>
          <w:rFonts w:eastAsia="Calibri"/>
          <w:sz w:val="2"/>
          <w:szCs w:val="2"/>
        </w:rPr>
        <w:t xml:space="preserve"> they adhere to.</w:t>
      </w:r>
    </w:p>
    <w:p w14:paraId="2DB69765" w14:textId="77777777" w:rsidR="00A800B7" w:rsidRPr="00404054" w:rsidRDefault="00A800B7" w:rsidP="00A800B7">
      <w:pPr>
        <w:rPr>
          <w:rFonts w:eastAsia="Calibri"/>
          <w:sz w:val="2"/>
          <w:szCs w:val="2"/>
        </w:rPr>
      </w:pPr>
      <w:r w:rsidRPr="00404054">
        <w:rPr>
          <w:rFonts w:eastAsia="Calibri"/>
          <w:sz w:val="2"/>
          <w:szCs w:val="2"/>
        </w:rPr>
        <w:t>Research Aim, Objective, and Scope</w:t>
      </w:r>
    </w:p>
    <w:p w14:paraId="50DAD4FB" w14:textId="77777777" w:rsidR="00A800B7" w:rsidRPr="00404054" w:rsidRDefault="00A800B7" w:rsidP="00A800B7">
      <w:pPr>
        <w:rPr>
          <w:rFonts w:eastAsia="Calibri"/>
          <w:sz w:val="2"/>
          <w:szCs w:val="2"/>
        </w:rPr>
      </w:pPr>
      <w:r w:rsidRPr="00404054">
        <w:rPr>
          <w:rFonts w:eastAsia="Calibri"/>
          <w:sz w:val="2"/>
          <w:szCs w:val="2"/>
        </w:rPr>
        <w:t xml:space="preserve">The purpose of this chapter is to investigate how </w:t>
      </w:r>
      <w:r w:rsidRPr="00404054">
        <w:rPr>
          <w:rFonts w:eastAsia="Calibri"/>
          <w:sz w:val="2"/>
          <w:szCs w:val="2"/>
          <w:u w:val="single"/>
        </w:rPr>
        <w:t>corporations can gain from deploying corporate governance techniques in the process of fulfilling</w:t>
      </w:r>
      <w:r w:rsidRPr="00404054">
        <w:rPr>
          <w:rFonts w:eastAsia="Calibri"/>
          <w:sz w:val="2"/>
          <w:szCs w:val="2"/>
        </w:rPr>
        <w:t xml:space="preserve"> Sustain- able Development Goals (</w:t>
      </w:r>
      <w:r w:rsidRPr="00404054">
        <w:rPr>
          <w:rFonts w:eastAsia="Calibri"/>
          <w:iCs/>
          <w:sz w:val="2"/>
          <w:szCs w:val="2"/>
          <w:u w:val="single"/>
          <w:bdr w:val="single" w:sz="8" w:space="0" w:color="auto"/>
        </w:rPr>
        <w:t>SDGs</w:t>
      </w:r>
      <w:r w:rsidRPr="00404054">
        <w:rPr>
          <w:rFonts w:eastAsia="Calibri"/>
          <w:sz w:val="2"/>
          <w:szCs w:val="2"/>
        </w:rPr>
        <w:t>) as illustrated by the case of Sainsbury, a leading supermarket consumer goods retailer in the United Kingdom. This study involves conceptual assessment of the corporate governance supply chain and SDGs link in case study of Sainsbury’s governance system and how well they align to SDGs. This research is concerned with the corporate governance discussion as a basis promoting sustainable development and the context of a given company and its stakeholders.</w:t>
      </w:r>
    </w:p>
    <w:p w14:paraId="76299279" w14:textId="77777777" w:rsidR="00A800B7" w:rsidRPr="00404054" w:rsidRDefault="00A800B7" w:rsidP="00A800B7">
      <w:pPr>
        <w:rPr>
          <w:rFonts w:eastAsia="Calibri"/>
          <w:sz w:val="2"/>
          <w:szCs w:val="2"/>
        </w:rPr>
      </w:pPr>
      <w:r w:rsidRPr="00404054">
        <w:rPr>
          <w:rFonts w:eastAsia="Calibri"/>
          <w:sz w:val="2"/>
          <w:szCs w:val="2"/>
        </w:rPr>
        <w:t>Defining Corporate Governance</w:t>
      </w:r>
    </w:p>
    <w:p w14:paraId="33E51E60" w14:textId="77777777" w:rsidR="00A800B7" w:rsidRPr="00404054" w:rsidRDefault="00A800B7" w:rsidP="00A800B7">
      <w:pPr>
        <w:rPr>
          <w:rFonts w:eastAsia="Calibri"/>
          <w:sz w:val="2"/>
          <w:szCs w:val="2"/>
        </w:rPr>
      </w:pPr>
      <w:r w:rsidRPr="00404054">
        <w:rPr>
          <w:rFonts w:eastAsia="Calibri"/>
          <w:sz w:val="2"/>
          <w:szCs w:val="2"/>
        </w:rPr>
        <w:t xml:space="preserve">Corporate governance is defined as an established set of rules, customs, code of conduct or procedures which guide the governing and directing of the affairs of corporations. It can be defined as the communication and relations network between the stakeholders, for example shareholders, management, employees, customers, suppliers, and society in general. OECD (Organization for Economic Cooperation and Development)) describers corporate governance as being a system that takes control in making entities accountable, fairness, transparent, and responsible in decision making and performance of the organization (OECD, 2015). </w:t>
      </w:r>
    </w:p>
    <w:p w14:paraId="77CB0A6F" w14:textId="77777777" w:rsidR="00A800B7" w:rsidRPr="00404054" w:rsidRDefault="00A800B7" w:rsidP="00A800B7">
      <w:pPr>
        <w:rPr>
          <w:rFonts w:eastAsia="Calibri"/>
          <w:sz w:val="2"/>
          <w:szCs w:val="2"/>
        </w:rPr>
      </w:pPr>
      <w:r w:rsidRPr="00404054">
        <w:rPr>
          <w:rFonts w:eastAsia="Calibri"/>
          <w:sz w:val="2"/>
          <w:szCs w:val="2"/>
        </w:rPr>
        <w:t>Enforcement of business governance as a key driver for sustainable Development</w:t>
      </w:r>
    </w:p>
    <w:p w14:paraId="435C420E" w14:textId="77777777" w:rsidR="00A800B7" w:rsidRDefault="00A800B7" w:rsidP="00A800B7">
      <w:r w:rsidRPr="004D017F">
        <w:rPr>
          <w:rFonts w:eastAsia="Calibri"/>
          <w:sz w:val="16"/>
        </w:rPr>
        <w:t xml:space="preserve">The essence of cooperation between corporate governance and sustainable development on the way to long-term economic, social, and environmental targets gain popularity. Human development asserts that the </w:t>
      </w:r>
      <w:r w:rsidRPr="00CF1B15">
        <w:rPr>
          <w:highlight w:val="yellow"/>
          <w:u w:val="single"/>
        </w:rPr>
        <w:t>present demands should be met without jeopardizing future generations</w:t>
      </w:r>
      <w:r w:rsidRPr="004D017F">
        <w:rPr>
          <w:rFonts w:eastAsia="Calibri"/>
          <w:sz w:val="16"/>
        </w:rPr>
        <w:t xml:space="preserve"> to fulfill their needs (United States Nations 2017). The studies have found that better dealing with the inner workings of corporate governance can result in improved environmental, social and governance (ESG) performance through which one could increase the long-term value creation and reduce the risks (loannou &amp; Serafeim, 2012).</w:t>
      </w:r>
    </w:p>
    <w:p w14:paraId="462FFE04" w14:textId="77777777" w:rsidR="00A800B7" w:rsidRPr="00A800B7" w:rsidRDefault="00A800B7" w:rsidP="00A800B7"/>
    <w:sectPr w:rsidR="00A800B7" w:rsidRPr="00A80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BB680A"/>
    <w:multiLevelType w:val="multilevel"/>
    <w:tmpl w:val="3930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7D128F9"/>
    <w:multiLevelType w:val="multilevel"/>
    <w:tmpl w:val="061A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9"/>
  </w:num>
  <w:num w:numId="14" w16cid:durableId="720713117">
    <w:abstractNumId w:val="15"/>
  </w:num>
  <w:num w:numId="15" w16cid:durableId="138770454">
    <w:abstractNumId w:val="11"/>
  </w:num>
  <w:num w:numId="16" w16cid:durableId="860581684">
    <w:abstractNumId w:val="22"/>
  </w:num>
  <w:num w:numId="17" w16cid:durableId="1241060537">
    <w:abstractNumId w:val="13"/>
  </w:num>
  <w:num w:numId="18" w16cid:durableId="356976957">
    <w:abstractNumId w:val="23"/>
  </w:num>
  <w:num w:numId="19" w16cid:durableId="897785336">
    <w:abstractNumId w:val="34"/>
  </w:num>
  <w:num w:numId="20" w16cid:durableId="457184557">
    <w:abstractNumId w:val="27"/>
  </w:num>
  <w:num w:numId="21" w16cid:durableId="1565678384">
    <w:abstractNumId w:val="24"/>
  </w:num>
  <w:num w:numId="22" w16cid:durableId="2094164054">
    <w:abstractNumId w:val="32"/>
  </w:num>
  <w:num w:numId="23" w16cid:durableId="1970014659">
    <w:abstractNumId w:val="36"/>
  </w:num>
  <w:num w:numId="24" w16cid:durableId="440226698">
    <w:abstractNumId w:val="21"/>
  </w:num>
  <w:num w:numId="25" w16cid:durableId="1997371306">
    <w:abstractNumId w:val="12"/>
  </w:num>
  <w:num w:numId="26" w16cid:durableId="1235432778">
    <w:abstractNumId w:val="31"/>
  </w:num>
  <w:num w:numId="27" w16cid:durableId="532961640">
    <w:abstractNumId w:val="33"/>
  </w:num>
  <w:num w:numId="28" w16cid:durableId="2127116819">
    <w:abstractNumId w:val="30"/>
  </w:num>
  <w:num w:numId="29" w16cid:durableId="1205676363">
    <w:abstractNumId w:val="18"/>
  </w:num>
  <w:num w:numId="30" w16cid:durableId="456097180">
    <w:abstractNumId w:val="14"/>
  </w:num>
  <w:num w:numId="31" w16cid:durableId="501895824">
    <w:abstractNumId w:val="35"/>
  </w:num>
  <w:num w:numId="32" w16cid:durableId="411700196">
    <w:abstractNumId w:val="17"/>
  </w:num>
  <w:num w:numId="33" w16cid:durableId="1831209067">
    <w:abstractNumId w:val="10"/>
  </w:num>
  <w:num w:numId="34" w16cid:durableId="190119988">
    <w:abstractNumId w:val="25"/>
  </w:num>
  <w:num w:numId="35" w16cid:durableId="1223491686">
    <w:abstractNumId w:val="16"/>
  </w:num>
  <w:num w:numId="36" w16cid:durableId="506482817">
    <w:abstractNumId w:val="29"/>
  </w:num>
  <w:num w:numId="37" w16cid:durableId="20329929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77583085808"/>
  </w:docVars>
  <w:rsids>
    <w:rsidRoot w:val="00DE4C1E"/>
    <w:rsid w:val="00484F48"/>
    <w:rsid w:val="00A800B7"/>
    <w:rsid w:val="00B92879"/>
    <w:rsid w:val="00DE4C1E"/>
    <w:rsid w:val="00E12AE9"/>
    <w:rsid w:val="00F16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B5D4F"/>
  <w15:chartTrackingRefBased/>
  <w15:docId w15:val="{FDCF936D-C034-4A02-A500-3CE9DA63A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00B7"/>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A800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A800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A800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small spac"/>
    <w:basedOn w:val="Normal"/>
    <w:next w:val="Normal"/>
    <w:link w:val="Heading4Char"/>
    <w:uiPriority w:val="3"/>
    <w:qFormat/>
    <w:rsid w:val="00A800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00B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E4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800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00B7"/>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A800B7"/>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A800B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A800B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A800B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800B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E4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C1E"/>
    <w:rPr>
      <w:rFonts w:eastAsiaTheme="majorEastAsia" w:cstheme="majorBidi"/>
      <w:color w:val="272727" w:themeColor="text1" w:themeTint="D8"/>
    </w:rPr>
  </w:style>
  <w:style w:type="paragraph" w:styleId="Title">
    <w:name w:val="Title"/>
    <w:basedOn w:val="Normal"/>
    <w:next w:val="Normal"/>
    <w:link w:val="TitleChar"/>
    <w:uiPriority w:val="10"/>
    <w:qFormat/>
    <w:rsid w:val="00DE4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C1E"/>
    <w:pPr>
      <w:spacing w:before="160"/>
      <w:jc w:val="center"/>
    </w:pPr>
    <w:rPr>
      <w:i/>
      <w:iCs/>
      <w:color w:val="404040" w:themeColor="text1" w:themeTint="BF"/>
    </w:rPr>
  </w:style>
  <w:style w:type="character" w:customStyle="1" w:styleId="QuoteChar">
    <w:name w:val="Quote Char"/>
    <w:basedOn w:val="DefaultParagraphFont"/>
    <w:link w:val="Quote"/>
    <w:uiPriority w:val="29"/>
    <w:rsid w:val="00DE4C1E"/>
    <w:rPr>
      <w:i/>
      <w:iCs/>
      <w:color w:val="404040" w:themeColor="text1" w:themeTint="BF"/>
    </w:rPr>
  </w:style>
  <w:style w:type="paragraph" w:styleId="ListParagraph">
    <w:name w:val="List Paragraph"/>
    <w:aliases w:val="6 font"/>
    <w:basedOn w:val="Normal"/>
    <w:uiPriority w:val="34"/>
    <w:qFormat/>
    <w:rsid w:val="00DE4C1E"/>
    <w:pPr>
      <w:ind w:left="720"/>
      <w:contextualSpacing/>
    </w:pPr>
  </w:style>
  <w:style w:type="character" w:styleId="IntenseEmphasis">
    <w:name w:val="Intense Emphasis"/>
    <w:basedOn w:val="DefaultParagraphFont"/>
    <w:uiPriority w:val="21"/>
    <w:qFormat/>
    <w:rsid w:val="00DE4C1E"/>
    <w:rPr>
      <w:i/>
      <w:iCs/>
      <w:color w:val="0F4761" w:themeColor="accent1" w:themeShade="BF"/>
    </w:rPr>
  </w:style>
  <w:style w:type="paragraph" w:styleId="IntenseQuote">
    <w:name w:val="Intense Quote"/>
    <w:basedOn w:val="Normal"/>
    <w:next w:val="Normal"/>
    <w:link w:val="IntenseQuoteChar"/>
    <w:uiPriority w:val="30"/>
    <w:qFormat/>
    <w:rsid w:val="00DE4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C1E"/>
    <w:rPr>
      <w:i/>
      <w:iCs/>
      <w:color w:val="0F4761" w:themeColor="accent1" w:themeShade="BF"/>
    </w:rPr>
  </w:style>
  <w:style w:type="character" w:styleId="IntenseReference">
    <w:name w:val="Intense Reference"/>
    <w:basedOn w:val="DefaultParagraphFont"/>
    <w:uiPriority w:val="32"/>
    <w:qFormat/>
    <w:rsid w:val="00DE4C1E"/>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A800B7"/>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A800B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A800B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A800B7"/>
    <w:rPr>
      <w:b w:val="0"/>
      <w:sz w:val="22"/>
      <w:u w:val="single"/>
    </w:rPr>
  </w:style>
  <w:style w:type="character" w:styleId="Strong">
    <w:name w:val="Strong"/>
    <w:basedOn w:val="DefaultParagraphFont"/>
    <w:uiPriority w:val="22"/>
    <w:qFormat/>
    <w:rsid w:val="00A800B7"/>
    <w:rPr>
      <w:b/>
      <w:bCs/>
    </w:rPr>
  </w:style>
  <w:style w:type="character" w:styleId="BookTitle">
    <w:name w:val="Book Title"/>
    <w:basedOn w:val="DefaultParagraphFont"/>
    <w:uiPriority w:val="33"/>
    <w:qFormat/>
    <w:rsid w:val="00A800B7"/>
    <w:rPr>
      <w:b/>
      <w:bCs/>
      <w:i/>
      <w:iCs/>
      <w:spacing w:val="5"/>
    </w:rPr>
  </w:style>
  <w:style w:type="numbering" w:styleId="111111">
    <w:name w:val="Outline List 2"/>
    <w:basedOn w:val="NoList"/>
    <w:uiPriority w:val="99"/>
    <w:semiHidden/>
    <w:unhideWhenUsed/>
    <w:rsid w:val="00A800B7"/>
  </w:style>
  <w:style w:type="paragraph" w:styleId="Header">
    <w:name w:val="header"/>
    <w:basedOn w:val="Normal"/>
    <w:link w:val="HeaderChar"/>
    <w:uiPriority w:val="99"/>
    <w:semiHidden/>
    <w:rsid w:val="00A800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00B7"/>
    <w:rPr>
      <w:rFonts w:ascii="Calibri" w:hAnsi="Calibri" w:cs="Calibri"/>
      <w:kern w:val="0"/>
      <w:sz w:val="22"/>
      <w:szCs w:val="22"/>
      <w14:ligatures w14:val="none"/>
    </w:rPr>
  </w:style>
  <w:style w:type="paragraph" w:styleId="Footer">
    <w:name w:val="footer"/>
    <w:basedOn w:val="Normal"/>
    <w:link w:val="FooterChar"/>
    <w:uiPriority w:val="99"/>
    <w:semiHidden/>
    <w:rsid w:val="00A800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00B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800B7"/>
    <w:pPr>
      <w:spacing w:after="120"/>
    </w:pPr>
  </w:style>
  <w:style w:type="character" w:customStyle="1" w:styleId="BodyTextChar">
    <w:name w:val="Body Text Char"/>
    <w:basedOn w:val="DefaultParagraphFont"/>
    <w:link w:val="BodyText"/>
    <w:uiPriority w:val="99"/>
    <w:semiHidden/>
    <w:rsid w:val="00A800B7"/>
    <w:rPr>
      <w:rFonts w:ascii="Calibri" w:hAnsi="Calibri" w:cs="Calibri"/>
      <w:kern w:val="0"/>
      <w:sz w:val="22"/>
      <w:szCs w:val="22"/>
      <w14:ligatures w14:val="none"/>
    </w:rPr>
  </w:style>
  <w:style w:type="paragraph" w:styleId="NoSpacing">
    <w:name w:val="No Spacing"/>
    <w:link w:val="NoSpacingChar"/>
    <w:uiPriority w:val="99"/>
    <w:unhideWhenUsed/>
    <w:qFormat/>
    <w:rsid w:val="00A800B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800B7"/>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A800B7"/>
    <w:rPr>
      <w:color w:val="467886" w:themeColor="hyperlink"/>
      <w:u w:val="single"/>
    </w:rPr>
  </w:style>
  <w:style w:type="character" w:styleId="UnresolvedMention">
    <w:name w:val="Unresolved Mention"/>
    <w:basedOn w:val="DefaultParagraphFont"/>
    <w:uiPriority w:val="99"/>
    <w:semiHidden/>
    <w:unhideWhenUsed/>
    <w:rsid w:val="00A800B7"/>
    <w:rPr>
      <w:color w:val="605E5C"/>
      <w:shd w:val="clear" w:color="auto" w:fill="E1DFDD"/>
    </w:rPr>
  </w:style>
  <w:style w:type="paragraph" w:styleId="NormalWeb">
    <w:name w:val="Normal (Web)"/>
    <w:basedOn w:val="Normal"/>
    <w:uiPriority w:val="99"/>
    <w:semiHidden/>
    <w:unhideWhenUsed/>
    <w:rsid w:val="00F16872"/>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F16872"/>
  </w:style>
  <w:style w:type="character" w:customStyle="1" w:styleId="off-screen">
    <w:name w:val="off-screen"/>
    <w:basedOn w:val="DefaultParagraphFont"/>
    <w:rsid w:val="00F16872"/>
  </w:style>
  <w:style w:type="paragraph" w:customStyle="1" w:styleId="last">
    <w:name w:val="last"/>
    <w:basedOn w:val="Normal"/>
    <w:rsid w:val="00F16872"/>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F16872"/>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F16872"/>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F16872"/>
  </w:style>
  <w:style w:type="paragraph" w:styleId="BalloonText">
    <w:name w:val="Balloon Text"/>
    <w:basedOn w:val="Normal"/>
    <w:link w:val="BalloonTextChar"/>
    <w:uiPriority w:val="99"/>
    <w:semiHidden/>
    <w:unhideWhenUsed/>
    <w:rsid w:val="00F168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6872"/>
    <w:rPr>
      <w:rFonts w:ascii="Segoe UI" w:hAnsi="Segoe UI" w:cs="Segoe UI"/>
      <w:kern w:val="0"/>
      <w:sz w:val="18"/>
      <w:szCs w:val="18"/>
      <w14:ligatures w14:val="none"/>
    </w:rPr>
  </w:style>
  <w:style w:type="paragraph" w:customStyle="1" w:styleId="textbold">
    <w:name w:val="text bold"/>
    <w:basedOn w:val="Normal"/>
    <w:link w:val="Emphasis"/>
    <w:uiPriority w:val="8"/>
    <w:qFormat/>
    <w:rsid w:val="00F16872"/>
    <w:pPr>
      <w:ind w:left="720"/>
      <w:jc w:val="both"/>
    </w:pPr>
    <w:rPr>
      <w:b/>
      <w:iCs/>
      <w:kern w:val="2"/>
      <w:sz w:val="26"/>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F16872"/>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F1687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872"/>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F16872"/>
    <w:rPr>
      <w:vertAlign w:val="superscript"/>
    </w:rPr>
  </w:style>
  <w:style w:type="paragraph" w:customStyle="1" w:styleId="p">
    <w:name w:val="p"/>
    <w:basedOn w:val="Normal"/>
    <w:rsid w:val="00F16872"/>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F16872"/>
  </w:style>
  <w:style w:type="character" w:customStyle="1" w:styleId="label">
    <w:name w:val="label"/>
    <w:basedOn w:val="DefaultParagraphFont"/>
    <w:rsid w:val="00F16872"/>
  </w:style>
  <w:style w:type="paragraph" w:customStyle="1" w:styleId="Analytic">
    <w:name w:val="Analytic"/>
    <w:basedOn w:val="Heading4"/>
    <w:link w:val="AnalyticChar"/>
    <w:autoRedefine/>
    <w:uiPriority w:val="5"/>
    <w:qFormat/>
    <w:rsid w:val="00F16872"/>
    <w:rPr>
      <w:color w:val="80340D" w:themeColor="accent2" w:themeShade="80"/>
    </w:rPr>
  </w:style>
  <w:style w:type="character" w:customStyle="1" w:styleId="AnalyticChar">
    <w:name w:val="Analytic Char"/>
    <w:basedOn w:val="DefaultParagraphFont"/>
    <w:link w:val="Analytic"/>
    <w:uiPriority w:val="5"/>
    <w:rsid w:val="00F16872"/>
    <w:rPr>
      <w:rFonts w:ascii="Calibri" w:eastAsiaTheme="majorEastAsia" w:hAnsi="Calibri" w:cstheme="majorBidi"/>
      <w:b/>
      <w:iCs/>
      <w:color w:val="80340D" w:themeColor="accent2" w:themeShade="80"/>
      <w:kern w:val="0"/>
      <w:sz w:val="26"/>
      <w:szCs w:val="22"/>
      <w14:ligatures w14:val="none"/>
    </w:rPr>
  </w:style>
  <w:style w:type="paragraph" w:customStyle="1" w:styleId="Heading411">
    <w:name w:val="Heading 411"/>
    <w:basedOn w:val="Heading1"/>
    <w:next w:val="NoSpacing"/>
    <w:link w:val="Hyperlink"/>
    <w:autoRedefine/>
    <w:uiPriority w:val="99"/>
    <w:qFormat/>
    <w:rsid w:val="00F1687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F1687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3085147.2020.1781417" TargetMode="External"/><Relationship Id="rId13" Type="http://schemas.openxmlformats.org/officeDocument/2006/relationships/hyperlink" Target="https://www.tandfonline.com/doi/full/10.1080/03085147.2020.1781417" TargetMode="External"/><Relationship Id="rId18" Type="http://schemas.openxmlformats.org/officeDocument/2006/relationships/hyperlink" Target="https://www.washingtonpost.com/national-security/2024/03/06/us-weapons-israel-gaza/" TargetMode="External"/><Relationship Id="rId26" Type="http://schemas.openxmlformats.org/officeDocument/2006/relationships/hyperlink" Target="https://www.blackrock.com/il/individual/en/about-us/blackrock-in-israel" TargetMode="External"/><Relationship Id="rId3" Type="http://schemas.openxmlformats.org/officeDocument/2006/relationships/settings" Target="settings.xml"/><Relationship Id="rId21" Type="http://schemas.openxmlformats.org/officeDocument/2006/relationships/hyperlink" Target="https://wallstreetonparade.com/2024/05/campus-protests-over-gaza-open-a-pandoras-box-for-wall-street-megabanks-that-underwrote-8-billion-of-israels-bonds-in-march/" TargetMode="External"/><Relationship Id="rId7" Type="http://schemas.openxmlformats.org/officeDocument/2006/relationships/hyperlink" Target="https://www.nber.org/system/files/working_papers/w28921/w28921.pdf" TargetMode="External"/><Relationship Id="rId12" Type="http://schemas.openxmlformats.org/officeDocument/2006/relationships/hyperlink" Target="https://www.tandfonline.com/doi/full/10.1080/03085147.2020.1781417" TargetMode="External"/><Relationship Id="rId17" Type="http://schemas.openxmlformats.org/officeDocument/2006/relationships/hyperlink" Target="https://www.reuters.com/article/world/us-israel-sign-38-billion-military-aid-package-idUSKCN11K2CI/" TargetMode="External"/><Relationship Id="rId25" Type="http://schemas.openxmlformats.org/officeDocument/2006/relationships/hyperlink" Target="https://www.reuters.com/markets/us/blackrocks-first-quarter-profit-rises-higher-fee-income-2024-04-12/" TargetMode="External"/><Relationship Id="rId2" Type="http://schemas.openxmlformats.org/officeDocument/2006/relationships/styles" Target="styles.xml"/><Relationship Id="rId16" Type="http://schemas.openxmlformats.org/officeDocument/2006/relationships/hyperlink" Target="https://www.ohchr.org/en/press-releases/2024/06/states-and-companies-must-end-arms-transfers-israel-immediately-or-risk" TargetMode="External"/><Relationship Id="rId20" Type="http://schemas.openxmlformats.org/officeDocument/2006/relationships/hyperlink" Target="https://www.bbc.com/news/world-middle-east-68737412"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lrb.gov/about-nlrb/rights-we-protect/the-law/employees/collective-bargaining-rights" TargetMode="External"/><Relationship Id="rId11" Type="http://schemas.openxmlformats.org/officeDocument/2006/relationships/hyperlink" Target="https://www.tandfonline.com/doi/full/10.1080/03085147.2020.1781417" TargetMode="External"/><Relationship Id="rId24" Type="http://schemas.openxmlformats.org/officeDocument/2006/relationships/hyperlink" Target="https://peoplesforum.org/blog_post/blackrock-funds-genocide-against-palestinians/" TargetMode="External"/><Relationship Id="rId5" Type="http://schemas.openxmlformats.org/officeDocument/2006/relationships/image" Target="media/image1.jpg"/><Relationship Id="rId15" Type="http://schemas.openxmlformats.org/officeDocument/2006/relationships/hyperlink" Target="https://geopoliticaleconomy.com/2024/07/07/blackrock-wall-street-banks-profit-israel-gaza-un/" TargetMode="External"/><Relationship Id="rId23" Type="http://schemas.openxmlformats.org/officeDocument/2006/relationships/hyperlink" Target="https://geopoliticaleconomy.com/2024/05/27/us-congress-icc-israel-america/" TargetMode="External"/><Relationship Id="rId28" Type="http://schemas.openxmlformats.org/officeDocument/2006/relationships/hyperlink" Target="https://doi.org/10.1080/10242694.2022.2073428" TargetMode="External"/><Relationship Id="rId10" Type="http://schemas.openxmlformats.org/officeDocument/2006/relationships/hyperlink" Target="https://www.tandfonline.com/doi/full/10.1080/03085147.2020.1781417" TargetMode="External"/><Relationship Id="rId19" Type="http://schemas.openxmlformats.org/officeDocument/2006/relationships/hyperlink" Target="https://www.cnbc.com/2024/05/15/biden-administration-sending-1-billion-more-in-weapons-to-israel-congressional-aides.html" TargetMode="External"/><Relationship Id="rId4" Type="http://schemas.openxmlformats.org/officeDocument/2006/relationships/webSettings" Target="webSettings.xml"/><Relationship Id="rId9" Type="http://schemas.openxmlformats.org/officeDocument/2006/relationships/hyperlink" Target="https://www.tandfonline.com/doi/full/10.1080/03085147.2020.1781417" TargetMode="External"/><Relationship Id="rId14" Type="http://schemas.openxmlformats.org/officeDocument/2006/relationships/hyperlink" Target="https://geopoliticaleconomy.com/category/economy/" TargetMode="External"/><Relationship Id="rId22" Type="http://schemas.openxmlformats.org/officeDocument/2006/relationships/hyperlink" Target="https://www.theguardian.com/us-news/2023/nov/03/state-invest-money-israeli-bond-florida-texas-arizona" TargetMode="External"/><Relationship Id="rId27" Type="http://schemas.openxmlformats.org/officeDocument/2006/relationships/hyperlink" Target="https://www.monmouthcollege.edu/live/files/777-mjur-i09-2018-8-zhongpdf"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22088</Words>
  <Characters>119722</Characters>
  <Application>Microsoft Office Word</Application>
  <DocSecurity>0</DocSecurity>
  <Lines>2137</Lines>
  <Paragraphs>727</Paragraphs>
  <ScaleCrop>false</ScaleCrop>
  <Company/>
  <LinksUpToDate>false</LinksUpToDate>
  <CharactersWithSpaces>141083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3</cp:revision>
  <dcterms:created xsi:type="dcterms:W3CDTF">2025-11-15T22:14:00Z</dcterms:created>
  <dcterms:modified xsi:type="dcterms:W3CDTF">2025-11-15T22:15:00Z</dcterms:modified>
</cp:coreProperties>
</file>