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A593" w14:textId="77777777" w:rsidR="002965AA" w:rsidRPr="00486A04" w:rsidRDefault="00000000">
      <w:pPr>
        <w:pStyle w:val="Ttulo1"/>
        <w:jc w:val="center"/>
        <w:rPr>
          <w:lang w:val="es-CO"/>
        </w:rPr>
      </w:pPr>
      <w:r w:rsidRPr="00486A04">
        <w:rPr>
          <w:lang w:val="es-CO"/>
        </w:rPr>
        <w:t>Oportunidad de Inversión en TIC para PYMES en Colombia</w:t>
      </w:r>
    </w:p>
    <w:p w14:paraId="27EABB77" w14:textId="77777777" w:rsidR="002965AA" w:rsidRPr="00486A04" w:rsidRDefault="00000000">
      <w:pPr>
        <w:jc w:val="both"/>
        <w:rPr>
          <w:lang w:val="es-CO"/>
        </w:rPr>
      </w:pPr>
      <w:r w:rsidRPr="00486A04">
        <w:rPr>
          <w:lang w:val="es-CO"/>
        </w:rPr>
        <w:t>Imaginemos juntos la siguiente escena: en Zipaquirá, un tendero logra vender el doble de sus productos porque ahora puede recibir pedidos por WhatsApp y manejar inventario en línea, pero en Ibagué otro tendero apenas puede conectarse, perdiendo clientes que hoy prefieren comprar en plataformas digitales. Esa es la realidad de nuestras pequeñas y medianas empresas en Colombia: una brecha digital que limita el crecimiento. Los datos lo confirman: mientras algunos municipios alcanzan un 77% de penetración en el uso de Internet, otros apenas llegan al 47%. Esta desigualdad significa que miles de negocios están quedando rezagados en la nueva economía digital. Y si miramos las actividades, el panorama es todavía más claro: servicios, ferreterías, salud y productos bajo inventario están casi completamente digitalizados, con porcentajes que rondan entre el 90% y el 100%, pero sectores de altísimo consumo masivo como tiendas, ropa o comida preparada apenas alcanzan entre el 10% y el 40%. Es decir, los negocios que más clientes podrían atender son los que menos están aprovechando el poder de la conectividad.</w:t>
      </w:r>
      <w:r w:rsidRPr="00486A04">
        <w:rPr>
          <w:lang w:val="es-CO"/>
        </w:rPr>
        <w:br/>
      </w:r>
      <w:r w:rsidRPr="00486A04">
        <w:rPr>
          <w:lang w:val="es-CO"/>
        </w:rPr>
        <w:br/>
        <w:t>Esto se traduce en algo muy concreto: donde no hay TIC, hay menos ventas, menos competitividad y menos empleo. Los consumidores ya están en el mundo digital, buscan rapidez, variedad y comodidad, pero gran parte de los pequeños comercios aún no puede responderles. Allí está la oportunidad: más de 1,6 millones de pequeños comercios en Colombia esperan el salto definitivo a la era digital. Un solo tendero conectado puede multiplicar sus ventas al manejar inventario en línea, hacer publicidad digital y abrir canales de venta nuevos. Invertir en llevarles conectividad, formación y herramientas simples de comercio electrónico no solo impulsa sus ingresos, también abre un mercado inmenso: millones de clientes que ya usan Internet, pero que no encuentran a su tienda de confianza en ese ecosistema. Apostarle a este proyecto no es únicamente un buen negocio, es un acto de descentralización y de impacto social; es darle a Ibagué las mismas oportunidades que a Bogotá, es acercar a cada consumidor a su tienda de siempre a través del mundo digital y es construir un país más competitivo desde la base de su economía: las pequeñas y medianas empresas.</w:t>
      </w:r>
    </w:p>
    <w:p w14:paraId="1FB0FC7D" w14:textId="77777777" w:rsidR="00486A04" w:rsidRPr="00486A04" w:rsidRDefault="00486A04">
      <w:pPr>
        <w:jc w:val="both"/>
        <w:rPr>
          <w:lang w:val="es-CO"/>
        </w:rPr>
      </w:pPr>
    </w:p>
    <w:p w14:paraId="32F7C538" w14:textId="77777777" w:rsidR="00486A04" w:rsidRDefault="00486A04">
      <w:pPr>
        <w:jc w:val="both"/>
        <w:rPr>
          <w:lang w:val="es-CO"/>
        </w:rPr>
      </w:pPr>
    </w:p>
    <w:p w14:paraId="04E310C9" w14:textId="77777777" w:rsidR="00486A04" w:rsidRDefault="00486A04">
      <w:pPr>
        <w:jc w:val="both"/>
        <w:rPr>
          <w:lang w:val="es-CO"/>
        </w:rPr>
      </w:pPr>
    </w:p>
    <w:p w14:paraId="3D117DE5" w14:textId="77777777" w:rsidR="00486A04" w:rsidRDefault="00486A04">
      <w:pPr>
        <w:jc w:val="both"/>
        <w:rPr>
          <w:lang w:val="es-CO"/>
        </w:rPr>
      </w:pPr>
    </w:p>
    <w:p w14:paraId="1CB33044" w14:textId="77777777" w:rsidR="00486A04" w:rsidRDefault="00486A04">
      <w:pPr>
        <w:jc w:val="both"/>
        <w:rPr>
          <w:lang w:val="es-CO"/>
        </w:rPr>
      </w:pPr>
    </w:p>
    <w:p w14:paraId="7FEC45DF" w14:textId="77777777" w:rsidR="00486A04" w:rsidRDefault="00486A04">
      <w:pPr>
        <w:jc w:val="both"/>
        <w:rPr>
          <w:lang w:val="es-CO"/>
        </w:rPr>
      </w:pPr>
    </w:p>
    <w:p w14:paraId="296B0534" w14:textId="77777777" w:rsidR="00486A04" w:rsidRDefault="00486A04">
      <w:pPr>
        <w:jc w:val="both"/>
        <w:rPr>
          <w:lang w:val="es-CO"/>
        </w:rPr>
      </w:pPr>
    </w:p>
    <w:p w14:paraId="44707BD7" w14:textId="7A9666FA" w:rsidR="00486A04" w:rsidRPr="00486A04" w:rsidRDefault="00486A04" w:rsidP="00486A04">
      <w:pPr>
        <w:pStyle w:val="Ttulo1"/>
        <w:rPr>
          <w:lang w:val="es-CO"/>
        </w:rPr>
      </w:pPr>
      <w:r>
        <w:rPr>
          <w:lang w:val="es-CO"/>
        </w:rPr>
        <w:lastRenderedPageBreak/>
        <w:t>Gráficos de Datos</w:t>
      </w:r>
    </w:p>
    <w:p w14:paraId="73268D82" w14:textId="77777777" w:rsidR="002965AA" w:rsidRDefault="00000000">
      <w:pPr>
        <w:jc w:val="center"/>
      </w:pPr>
      <w:r>
        <w:rPr>
          <w:noProof/>
        </w:rPr>
        <w:drawing>
          <wp:inline distT="0" distB="0" distL="0" distR="0" wp14:anchorId="09640504" wp14:editId="5D2116BC">
            <wp:extent cx="5486400" cy="2631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b7a24b-cc0b-4b5a-8e75-d598c5de678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A6CB" w14:textId="77777777" w:rsidR="002965AA" w:rsidRDefault="00000000">
      <w:pPr>
        <w:jc w:val="center"/>
      </w:pPr>
      <w:r>
        <w:rPr>
          <w:noProof/>
        </w:rPr>
        <w:drawing>
          <wp:inline distT="0" distB="0" distL="0" distR="0" wp14:anchorId="5972118C" wp14:editId="08180D3E">
            <wp:extent cx="5486400" cy="40061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a515392-6981-4bef-b7ee-66e41255e38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893E" w14:textId="77777777" w:rsidR="002965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C0ADC9" wp14:editId="03D7BC95">
            <wp:extent cx="5486400" cy="40071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5d4bb1-0e2b-49e3-9f4c-51809ca029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5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583926">
    <w:abstractNumId w:val="8"/>
  </w:num>
  <w:num w:numId="2" w16cid:durableId="822282695">
    <w:abstractNumId w:val="6"/>
  </w:num>
  <w:num w:numId="3" w16cid:durableId="502163526">
    <w:abstractNumId w:val="5"/>
  </w:num>
  <w:num w:numId="4" w16cid:durableId="134833850">
    <w:abstractNumId w:val="4"/>
  </w:num>
  <w:num w:numId="5" w16cid:durableId="1143160187">
    <w:abstractNumId w:val="7"/>
  </w:num>
  <w:num w:numId="6" w16cid:durableId="756439161">
    <w:abstractNumId w:val="3"/>
  </w:num>
  <w:num w:numId="7" w16cid:durableId="1268733100">
    <w:abstractNumId w:val="2"/>
  </w:num>
  <w:num w:numId="8" w16cid:durableId="2062053135">
    <w:abstractNumId w:val="1"/>
  </w:num>
  <w:num w:numId="9" w16cid:durableId="56094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C8E"/>
    <w:rsid w:val="0029639D"/>
    <w:rsid w:val="002965AA"/>
    <w:rsid w:val="00326F90"/>
    <w:rsid w:val="003A2F59"/>
    <w:rsid w:val="00486A04"/>
    <w:rsid w:val="009267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073A84"/>
  <w14:defaultImageDpi w14:val="300"/>
  <w15:docId w15:val="{EBCEFCCF-22A2-4EA7-8ADD-B1890A76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david catral martinez</cp:lastModifiedBy>
  <cp:revision>3</cp:revision>
  <dcterms:created xsi:type="dcterms:W3CDTF">2025-09-02T02:20:00Z</dcterms:created>
  <dcterms:modified xsi:type="dcterms:W3CDTF">2025-09-02T02:21:00Z</dcterms:modified>
  <cp:category/>
</cp:coreProperties>
</file>