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EF7DA7" w14:textId="6C2112FB" w:rsidR="00116134" w:rsidRDefault="005D03C2" w:rsidP="005D3327">
      <w:pPr>
        <w:ind w:left="0" w:firstLine="11"/>
        <w:jc w:val="center"/>
        <w:rPr>
          <w:rFonts w:ascii="Lao UI" w:hAnsi="Lao UI" w:cs="Lao UI"/>
          <w:b/>
          <w:bCs/>
          <w:u w:val="single"/>
          <w:lang w:val="en-US"/>
        </w:rPr>
      </w:pPr>
      <w:r w:rsidRPr="005D03C2">
        <w:rPr>
          <w:rFonts w:ascii="Lao UI" w:hAnsi="Lao UI" w:cs="Lao UI"/>
          <w:b/>
          <w:bCs/>
          <w:u w:val="single"/>
          <w:lang w:val="en-US"/>
        </w:rPr>
        <w:t>MGHL &amp; ER ANNOUNCE SPIN OFF MYRO</w:t>
      </w:r>
      <w:r w:rsidR="005D3327">
        <w:rPr>
          <w:rFonts w:ascii="Lao UI" w:hAnsi="Lao UI" w:cs="Lao UI"/>
          <w:b/>
          <w:bCs/>
          <w:u w:val="single"/>
          <w:lang w:val="en-US"/>
        </w:rPr>
        <w:t>’s</w:t>
      </w:r>
      <w:r w:rsidRPr="005D03C2">
        <w:rPr>
          <w:rFonts w:ascii="Lao UI" w:hAnsi="Lao UI" w:cs="Lao UI"/>
          <w:b/>
          <w:bCs/>
          <w:u w:val="single"/>
          <w:lang w:val="en-US"/>
        </w:rPr>
        <w:t xml:space="preserve"> </w:t>
      </w:r>
      <w:r w:rsidR="005D3327" w:rsidRPr="005D03C2">
        <w:rPr>
          <w:rFonts w:ascii="Lao UI" w:hAnsi="Lao UI" w:cs="Lao UI"/>
          <w:b/>
          <w:bCs/>
          <w:u w:val="single"/>
          <w:lang w:val="en-US"/>
        </w:rPr>
        <w:t>SPIN OFF</w:t>
      </w:r>
    </w:p>
    <w:p w14:paraId="4BE22763" w14:textId="77777777" w:rsidR="005D3327" w:rsidRPr="005D03C2" w:rsidRDefault="005D3327" w:rsidP="005D3327">
      <w:pPr>
        <w:ind w:left="0" w:firstLine="11"/>
        <w:jc w:val="center"/>
        <w:rPr>
          <w:rFonts w:ascii="Lao UI" w:hAnsi="Lao UI" w:cs="Lao UI"/>
          <w:sz w:val="22"/>
          <w:szCs w:val="22"/>
          <w:u w:val="single"/>
          <w:lang w:val="en-US"/>
        </w:rPr>
      </w:pPr>
    </w:p>
    <w:p w14:paraId="0A7A63EA" w14:textId="213D35F4" w:rsidR="0041586E" w:rsidRDefault="0041586E" w:rsidP="00230D0A">
      <w:pPr>
        <w:tabs>
          <w:tab w:val="left" w:pos="540"/>
        </w:tabs>
        <w:spacing w:line="360" w:lineRule="auto"/>
        <w:ind w:left="0" w:firstLine="0"/>
        <w:jc w:val="both"/>
        <w:rPr>
          <w:rFonts w:ascii="Lao UI" w:hAnsi="Lao UI" w:cs="Lao UI"/>
          <w:bCs/>
          <w:sz w:val="21"/>
          <w:szCs w:val="21"/>
          <w:lang w:val="en-US"/>
        </w:rPr>
      </w:pPr>
      <w:r w:rsidRPr="0041586E">
        <w:rPr>
          <w:rFonts w:ascii="Lao UI" w:hAnsi="Lao UI" w:cs="Lao UI"/>
          <w:bCs/>
          <w:sz w:val="21"/>
          <w:szCs w:val="21"/>
          <w:lang w:val="en-US"/>
        </w:rPr>
        <w:t xml:space="preserve">The Board of Directors (the “Board”) of </w:t>
      </w:r>
      <w:proofErr w:type="spellStart"/>
      <w:r>
        <w:rPr>
          <w:rFonts w:ascii="Lao UI" w:hAnsi="Lao UI" w:cs="Lao UI"/>
          <w:bCs/>
          <w:sz w:val="21"/>
          <w:szCs w:val="21"/>
          <w:lang w:val="en-US"/>
        </w:rPr>
        <w:t>Mojay</w:t>
      </w:r>
      <w:proofErr w:type="spellEnd"/>
      <w:r>
        <w:rPr>
          <w:rFonts w:ascii="Lao UI" w:hAnsi="Lao UI" w:cs="Lao UI"/>
          <w:bCs/>
          <w:sz w:val="21"/>
          <w:szCs w:val="21"/>
          <w:lang w:val="en-US"/>
        </w:rPr>
        <w:t xml:space="preserve"> Global Holding 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>Limited (the "</w:t>
      </w:r>
      <w:r w:rsidR="00230D0A">
        <w:rPr>
          <w:rFonts w:ascii="Lao UI" w:hAnsi="Lao UI" w:cs="Lao UI"/>
          <w:bCs/>
          <w:sz w:val="21"/>
          <w:szCs w:val="21"/>
          <w:lang w:val="en-US"/>
        </w:rPr>
        <w:t>MGHL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>", and together with its subsidiaries,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>the “Group”) is pleased to announce that the Group has incorporated a new subsidiary in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 xml:space="preserve">Singapore, 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MYRO International PTE Limited 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>(“</w:t>
      </w:r>
      <w:r>
        <w:rPr>
          <w:rFonts w:ascii="Lao UI" w:hAnsi="Lao UI" w:cs="Lao UI"/>
          <w:bCs/>
          <w:sz w:val="21"/>
          <w:szCs w:val="21"/>
          <w:lang w:val="en-US"/>
        </w:rPr>
        <w:t>MYRO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>”</w:t>
      </w:r>
      <w:r w:rsidR="005948C5" w:rsidRPr="0041586E">
        <w:rPr>
          <w:rFonts w:ascii="Lao UI" w:hAnsi="Lao UI" w:cs="Lao UI"/>
          <w:bCs/>
          <w:sz w:val="21"/>
          <w:szCs w:val="21"/>
          <w:lang w:val="en-US"/>
        </w:rPr>
        <w:t>)</w:t>
      </w:r>
      <w:r w:rsidR="005948C5">
        <w:rPr>
          <w:rFonts w:ascii="Lao UI" w:hAnsi="Lao UI" w:cs="Lao UI"/>
          <w:bCs/>
          <w:sz w:val="21"/>
          <w:szCs w:val="21"/>
          <w:lang w:val="en-US"/>
        </w:rPr>
        <w:t>,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 xml:space="preserve"> with an initial issued and paid-up share capital of S$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671,000 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 xml:space="preserve">divided into </w:t>
      </w:r>
      <w:r>
        <w:rPr>
          <w:rFonts w:ascii="Lao UI" w:hAnsi="Lao UI" w:cs="Lao UI"/>
          <w:bCs/>
          <w:sz w:val="21"/>
          <w:szCs w:val="21"/>
          <w:lang w:val="en-US"/>
        </w:rPr>
        <w:t>67,100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 xml:space="preserve"> ordinary shares (the “Incorporation”) on </w:t>
      </w:r>
      <w:r>
        <w:rPr>
          <w:rFonts w:ascii="Lao UI" w:hAnsi="Lao UI" w:cs="Lao UI"/>
          <w:bCs/>
          <w:sz w:val="21"/>
          <w:szCs w:val="21"/>
          <w:lang w:val="en-US"/>
        </w:rPr>
        <w:t>5</w:t>
      </w:r>
      <w:r w:rsidRPr="0041586E">
        <w:rPr>
          <w:rFonts w:ascii="Lao UI" w:hAnsi="Lao UI" w:cs="Lao UI"/>
          <w:bCs/>
          <w:sz w:val="21"/>
          <w:szCs w:val="21"/>
          <w:vertAlign w:val="superscript"/>
          <w:lang w:val="en-US"/>
        </w:rPr>
        <w:t>th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</w:t>
      </w:r>
      <w:r w:rsidR="005948C5">
        <w:rPr>
          <w:rFonts w:ascii="Lao UI" w:hAnsi="Lao UI" w:cs="Lao UI"/>
          <w:bCs/>
          <w:sz w:val="21"/>
          <w:szCs w:val="21"/>
          <w:lang w:val="en-US"/>
        </w:rPr>
        <w:t>April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2021</w:t>
      </w:r>
      <w:r w:rsidRPr="0041586E">
        <w:rPr>
          <w:rFonts w:ascii="Lao UI" w:hAnsi="Lao UI" w:cs="Lao UI"/>
          <w:bCs/>
          <w:sz w:val="21"/>
          <w:szCs w:val="21"/>
          <w:lang w:val="en-US"/>
        </w:rPr>
        <w:t>.</w:t>
      </w:r>
    </w:p>
    <w:p w14:paraId="3E2F0460" w14:textId="77777777" w:rsidR="00230D0A" w:rsidRPr="00230D0A" w:rsidRDefault="00230D0A" w:rsidP="00230D0A">
      <w:pPr>
        <w:tabs>
          <w:tab w:val="left" w:pos="540"/>
        </w:tabs>
        <w:spacing w:line="360" w:lineRule="auto"/>
        <w:ind w:left="0" w:firstLine="0"/>
        <w:jc w:val="both"/>
        <w:rPr>
          <w:rFonts w:ascii="Lao UI" w:hAnsi="Lao UI" w:cs="Lao UI"/>
          <w:b/>
          <w:sz w:val="21"/>
          <w:szCs w:val="21"/>
          <w:lang w:val="en-US"/>
        </w:rPr>
      </w:pPr>
      <w:r w:rsidRPr="00230D0A">
        <w:rPr>
          <w:rFonts w:ascii="Lao UI" w:hAnsi="Lao UI" w:cs="Lao UI"/>
          <w:b/>
          <w:sz w:val="21"/>
          <w:szCs w:val="21"/>
          <w:lang w:val="en-US"/>
        </w:rPr>
        <w:t xml:space="preserve">The Group decided to incorporate in Singapore for the following reasons – </w:t>
      </w:r>
    </w:p>
    <w:p w14:paraId="2CC7B0B7" w14:textId="5E80D193" w:rsidR="00230D0A" w:rsidRPr="00230D0A" w:rsidRDefault="00230D0A" w:rsidP="00230D0A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26" w:hanging="426"/>
        <w:jc w:val="both"/>
        <w:rPr>
          <w:rFonts w:ascii="Lao UI" w:hAnsi="Lao UI" w:cs="Lao UI"/>
          <w:bCs/>
          <w:sz w:val="21"/>
          <w:szCs w:val="21"/>
          <w:lang w:val="en-US"/>
        </w:rPr>
      </w:pPr>
      <w:r w:rsidRPr="00230D0A">
        <w:rPr>
          <w:rFonts w:ascii="Lao UI" w:hAnsi="Lao UI" w:cs="Lao UI"/>
          <w:bCs/>
          <w:sz w:val="21"/>
          <w:szCs w:val="21"/>
          <w:lang w:val="en-US"/>
        </w:rPr>
        <w:t xml:space="preserve">An attractive </w:t>
      </w:r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and competitive </w:t>
      </w:r>
      <w:r w:rsidRPr="00230D0A">
        <w:rPr>
          <w:rFonts w:ascii="Lao UI" w:hAnsi="Lao UI" w:cs="Lao UI"/>
          <w:bCs/>
          <w:sz w:val="21"/>
          <w:szCs w:val="21"/>
          <w:lang w:val="en-US"/>
        </w:rPr>
        <w:t>tax system</w:t>
      </w:r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 and a </w:t>
      </w:r>
      <w:proofErr w:type="gramStart"/>
      <w:r w:rsidR="005D3327">
        <w:rPr>
          <w:rFonts w:ascii="Lao UI" w:hAnsi="Lao UI" w:cs="Lao UI"/>
          <w:bCs/>
          <w:sz w:val="21"/>
          <w:szCs w:val="21"/>
          <w:lang w:val="en-US"/>
        </w:rPr>
        <w:t>business friendly</w:t>
      </w:r>
      <w:proofErr w:type="gramEnd"/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 country.</w:t>
      </w:r>
    </w:p>
    <w:p w14:paraId="579E678E" w14:textId="494F57A5" w:rsidR="00230D0A" w:rsidRPr="00230D0A" w:rsidRDefault="00230D0A" w:rsidP="00230D0A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26" w:hanging="426"/>
        <w:jc w:val="both"/>
        <w:rPr>
          <w:rFonts w:ascii="Lao UI" w:hAnsi="Lao UI" w:cs="Lao UI"/>
          <w:bCs/>
          <w:sz w:val="21"/>
          <w:szCs w:val="21"/>
          <w:lang w:val="en-US"/>
        </w:rPr>
      </w:pPr>
      <w:r w:rsidRPr="00230D0A">
        <w:rPr>
          <w:rFonts w:ascii="Lao UI" w:hAnsi="Lao UI" w:cs="Lao UI"/>
          <w:bCs/>
          <w:sz w:val="21"/>
          <w:szCs w:val="21"/>
          <w:lang w:val="en-US"/>
        </w:rPr>
        <w:t>Access to leverage Singapore’s 50+ double taxation treaties</w:t>
      </w:r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, particularly with MYRO’s main Supply Chain Countries and Target Markets </w:t>
      </w:r>
    </w:p>
    <w:p w14:paraId="7B33C8D2" w14:textId="7884CEFC" w:rsidR="005D3327" w:rsidRDefault="00230D0A" w:rsidP="005D332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26" w:hanging="426"/>
        <w:jc w:val="both"/>
        <w:rPr>
          <w:rFonts w:ascii="Lao UI" w:hAnsi="Lao UI" w:cs="Lao UI"/>
          <w:bCs/>
          <w:sz w:val="21"/>
          <w:szCs w:val="21"/>
          <w:lang w:val="en-US"/>
        </w:rPr>
      </w:pPr>
      <w:r w:rsidRPr="00230D0A">
        <w:rPr>
          <w:rFonts w:ascii="Lao UI" w:hAnsi="Lao UI" w:cs="Lao UI"/>
          <w:bCs/>
          <w:sz w:val="21"/>
          <w:szCs w:val="21"/>
          <w:lang w:val="en-US"/>
        </w:rPr>
        <w:t>100% foreign ownership allowed on all private companies</w:t>
      </w:r>
      <w:r w:rsidR="005D3327">
        <w:rPr>
          <w:rFonts w:ascii="Lao UI" w:hAnsi="Lao UI" w:cs="Lao UI"/>
          <w:bCs/>
          <w:sz w:val="21"/>
          <w:szCs w:val="21"/>
          <w:lang w:val="en-US"/>
        </w:rPr>
        <w:t>.</w:t>
      </w:r>
    </w:p>
    <w:p w14:paraId="4827168F" w14:textId="77777777" w:rsidR="005D3327" w:rsidRDefault="00230D0A" w:rsidP="005D3327">
      <w:pPr>
        <w:pStyle w:val="ListParagraph"/>
        <w:numPr>
          <w:ilvl w:val="0"/>
          <w:numId w:val="5"/>
        </w:numPr>
        <w:tabs>
          <w:tab w:val="left" w:pos="540"/>
        </w:tabs>
        <w:spacing w:line="360" w:lineRule="auto"/>
        <w:ind w:left="426" w:hanging="426"/>
        <w:jc w:val="both"/>
        <w:rPr>
          <w:rFonts w:ascii="Lao UI" w:hAnsi="Lao UI" w:cs="Lao UI"/>
          <w:bCs/>
          <w:sz w:val="21"/>
          <w:szCs w:val="21"/>
          <w:lang w:val="en-US"/>
        </w:rPr>
      </w:pPr>
      <w:r w:rsidRPr="005D3327">
        <w:rPr>
          <w:rFonts w:ascii="Lao UI" w:hAnsi="Lao UI" w:cs="Lao UI"/>
          <w:bCs/>
          <w:sz w:val="21"/>
          <w:szCs w:val="21"/>
          <w:lang w:val="en-US"/>
        </w:rPr>
        <w:t xml:space="preserve">Straight forward regulations </w:t>
      </w:r>
      <w:r w:rsidR="005D3327" w:rsidRPr="005D3327">
        <w:rPr>
          <w:rFonts w:ascii="Lao UI" w:hAnsi="Lao UI" w:cs="Lao UI"/>
          <w:bCs/>
          <w:sz w:val="21"/>
          <w:szCs w:val="21"/>
          <w:lang w:val="en-US"/>
        </w:rPr>
        <w:t>for</w:t>
      </w:r>
      <w:r w:rsidRPr="005D3327">
        <w:rPr>
          <w:rFonts w:ascii="Lao UI" w:hAnsi="Lao UI" w:cs="Lao UI"/>
          <w:bCs/>
          <w:sz w:val="21"/>
          <w:szCs w:val="21"/>
          <w:lang w:val="en-US"/>
        </w:rPr>
        <w:t xml:space="preserve"> Intellectual property rights, </w:t>
      </w:r>
      <w:r w:rsidR="005D3327" w:rsidRPr="005D3327">
        <w:rPr>
          <w:rFonts w:ascii="Lao UI" w:hAnsi="Lao UI" w:cs="Lao UI"/>
          <w:bCs/>
          <w:sz w:val="21"/>
          <w:szCs w:val="21"/>
          <w:lang w:val="en-US"/>
        </w:rPr>
        <w:t xml:space="preserve">a transparent Legal system </w:t>
      </w:r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based on Common Law </w:t>
      </w:r>
      <w:r w:rsidR="005D3327" w:rsidRPr="005D3327">
        <w:rPr>
          <w:rFonts w:ascii="Lao UI" w:hAnsi="Lao UI" w:cs="Lao UI"/>
          <w:bCs/>
          <w:sz w:val="21"/>
          <w:szCs w:val="21"/>
          <w:lang w:val="en-US"/>
        </w:rPr>
        <w:t xml:space="preserve">and </w:t>
      </w:r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the </w:t>
      </w:r>
      <w:r w:rsidR="005D3327" w:rsidRPr="005D3327">
        <w:rPr>
          <w:rFonts w:ascii="Lao UI" w:hAnsi="Lao UI" w:cs="Lao UI"/>
          <w:bCs/>
          <w:sz w:val="21"/>
          <w:szCs w:val="21"/>
          <w:lang w:val="en-US"/>
        </w:rPr>
        <w:t xml:space="preserve">respect </w:t>
      </w:r>
      <w:r w:rsidR="005D3327">
        <w:rPr>
          <w:rFonts w:ascii="Lao UI" w:hAnsi="Lao UI" w:cs="Lao UI"/>
          <w:bCs/>
          <w:sz w:val="21"/>
          <w:szCs w:val="21"/>
          <w:lang w:val="en-US"/>
        </w:rPr>
        <w:t>and enforcement of</w:t>
      </w:r>
      <w:r w:rsidR="005D3327" w:rsidRPr="005D3327">
        <w:rPr>
          <w:rFonts w:ascii="Lao UI" w:hAnsi="Lao UI" w:cs="Lao UI"/>
          <w:bCs/>
          <w:sz w:val="21"/>
          <w:szCs w:val="21"/>
          <w:lang w:val="en-US"/>
        </w:rPr>
        <w:t xml:space="preserve"> the best </w:t>
      </w:r>
      <w:r w:rsidR="005D3327">
        <w:rPr>
          <w:rFonts w:ascii="Lao UI" w:hAnsi="Lao UI" w:cs="Lao UI"/>
          <w:bCs/>
          <w:sz w:val="21"/>
          <w:szCs w:val="21"/>
          <w:lang w:val="en-US"/>
        </w:rPr>
        <w:t>i</w:t>
      </w:r>
      <w:r w:rsidR="005D3327" w:rsidRPr="005D3327">
        <w:rPr>
          <w:rFonts w:ascii="Lao UI" w:hAnsi="Lao UI" w:cs="Lao UI"/>
          <w:bCs/>
          <w:sz w:val="21"/>
          <w:szCs w:val="21"/>
          <w:lang w:val="en-US"/>
        </w:rPr>
        <w:t xml:space="preserve">nternational Compliance </w:t>
      </w:r>
      <w:r w:rsidR="005D3327">
        <w:rPr>
          <w:rFonts w:ascii="Lao UI" w:hAnsi="Lao UI" w:cs="Lao UI"/>
          <w:bCs/>
          <w:sz w:val="21"/>
          <w:szCs w:val="21"/>
          <w:lang w:val="en-US"/>
        </w:rPr>
        <w:t xml:space="preserve">practices. </w:t>
      </w:r>
    </w:p>
    <w:p w14:paraId="76EC6103" w14:textId="46C77984" w:rsidR="005D3327" w:rsidRPr="005D3327" w:rsidRDefault="005D3327" w:rsidP="005D3327">
      <w:pPr>
        <w:tabs>
          <w:tab w:val="left" w:pos="540"/>
        </w:tabs>
        <w:spacing w:line="360" w:lineRule="auto"/>
        <w:ind w:left="0" w:firstLine="0"/>
        <w:jc w:val="both"/>
        <w:rPr>
          <w:rFonts w:ascii="Lao UI" w:hAnsi="Lao UI" w:cs="Lao UI"/>
          <w:b/>
          <w:sz w:val="21"/>
          <w:szCs w:val="21"/>
          <w:lang w:val="en-US"/>
        </w:rPr>
      </w:pPr>
      <w:r w:rsidRPr="005D3327">
        <w:rPr>
          <w:rFonts w:ascii="Lao UI" w:hAnsi="Lao UI" w:cs="Lao UI"/>
          <w:b/>
          <w:sz w:val="21"/>
          <w:szCs w:val="21"/>
          <w:lang w:val="en-US"/>
        </w:rPr>
        <w:t>MYRO INTERNATIONAL ACTIVITY</w:t>
      </w:r>
    </w:p>
    <w:p w14:paraId="299460F9" w14:textId="7B1BF689" w:rsidR="005D3327" w:rsidRPr="005D3327" w:rsidRDefault="005D3327" w:rsidP="005D3327">
      <w:pPr>
        <w:tabs>
          <w:tab w:val="left" w:pos="540"/>
        </w:tabs>
        <w:spacing w:line="360" w:lineRule="auto"/>
        <w:ind w:left="0" w:firstLine="0"/>
        <w:jc w:val="both"/>
        <w:rPr>
          <w:rFonts w:ascii="Lao UI" w:hAnsi="Lao UI" w:cs="Lao UI"/>
          <w:bCs/>
          <w:sz w:val="21"/>
          <w:szCs w:val="21"/>
          <w:lang w:val="en-US"/>
        </w:rPr>
      </w:pPr>
      <w:r w:rsidRPr="005D3327">
        <w:rPr>
          <w:rFonts w:ascii="Lao UI" w:hAnsi="Lao UI" w:cs="Lao UI"/>
          <w:bCs/>
          <w:sz w:val="21"/>
          <w:szCs w:val="21"/>
          <w:lang w:val="en-US"/>
        </w:rPr>
        <w:t xml:space="preserve">MYRO International </w:t>
      </w:r>
      <w:r>
        <w:rPr>
          <w:rFonts w:ascii="Lao UI" w:hAnsi="Lao UI" w:cs="Lao UI"/>
          <w:bCs/>
          <w:sz w:val="21"/>
          <w:szCs w:val="21"/>
          <w:lang w:val="en-US"/>
        </w:rPr>
        <w:t>is</w:t>
      </w:r>
      <w:r w:rsidRPr="005D3327">
        <w:rPr>
          <w:rFonts w:ascii="Lao UI" w:hAnsi="Lao UI" w:cs="Lao UI"/>
          <w:bCs/>
          <w:sz w:val="21"/>
          <w:szCs w:val="21"/>
          <w:lang w:val="en-US"/>
        </w:rPr>
        <w:t xml:space="preserve"> a robotics company focused on solving complex yet monotonous problems related to human productivity and workplace hazards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– </w:t>
      </w:r>
      <w:proofErr w:type="spellStart"/>
      <w:r>
        <w:rPr>
          <w:rFonts w:ascii="Lao UI" w:hAnsi="Lao UI" w:cs="Lao UI"/>
          <w:bCs/>
          <w:sz w:val="21"/>
          <w:szCs w:val="21"/>
          <w:lang w:val="en-US"/>
        </w:rPr>
        <w:t>particurlaly</w:t>
      </w:r>
      <w:proofErr w:type="spellEnd"/>
      <w:r>
        <w:rPr>
          <w:rFonts w:ascii="Lao UI" w:hAnsi="Lao UI" w:cs="Lao UI"/>
          <w:bCs/>
          <w:sz w:val="21"/>
          <w:szCs w:val="21"/>
          <w:lang w:val="en-US"/>
        </w:rPr>
        <w:t xml:space="preserve"> targeting automation solutions for the construction and coating industries. </w:t>
      </w:r>
      <w:r w:rsidRPr="005D3327">
        <w:rPr>
          <w:rFonts w:ascii="Lao UI" w:hAnsi="Lao UI" w:cs="Lao UI"/>
          <w:bCs/>
          <w:sz w:val="21"/>
          <w:szCs w:val="21"/>
          <w:lang w:val="en-US"/>
        </w:rPr>
        <w:t>It will offer distribution licenses to regional partners to supply products and services to Contractors, EPC companies and Real Estate Developers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initially in the United States, India, Asia Pacific and GCC countries. </w:t>
      </w:r>
    </w:p>
    <w:p w14:paraId="416E1D0D" w14:textId="77777777" w:rsidR="00C71D9F" w:rsidRDefault="005D3327" w:rsidP="00C71D9F">
      <w:pPr>
        <w:tabs>
          <w:tab w:val="left" w:pos="540"/>
        </w:tabs>
        <w:ind w:left="0" w:firstLine="0"/>
        <w:jc w:val="both"/>
        <w:rPr>
          <w:rFonts w:ascii="Lao UI" w:hAnsi="Lao UI" w:cs="Lao UI"/>
          <w:b/>
          <w:sz w:val="21"/>
          <w:szCs w:val="21"/>
          <w:lang w:val="en-US"/>
        </w:rPr>
      </w:pPr>
      <w:r w:rsidRPr="007C7996">
        <w:rPr>
          <w:rFonts w:ascii="Lao UI" w:hAnsi="Lao UI" w:cs="Lao UI"/>
          <w:b/>
          <w:sz w:val="21"/>
          <w:szCs w:val="21"/>
          <w:lang w:val="en-US"/>
        </w:rPr>
        <w:t>Spin off Details:</w:t>
      </w:r>
    </w:p>
    <w:p w14:paraId="32A71DCF" w14:textId="77777777" w:rsidR="00C71D9F" w:rsidRDefault="005D3327" w:rsidP="00C71D9F">
      <w:pPr>
        <w:tabs>
          <w:tab w:val="left" w:pos="540"/>
        </w:tabs>
        <w:ind w:left="0" w:firstLine="0"/>
        <w:jc w:val="both"/>
        <w:rPr>
          <w:rFonts w:ascii="Lao UI" w:hAnsi="Lao UI" w:cs="Lao UI"/>
          <w:bCs/>
          <w:sz w:val="21"/>
          <w:szCs w:val="21"/>
          <w:lang w:val="en-US"/>
        </w:rPr>
      </w:pPr>
      <w:r>
        <w:rPr>
          <w:rFonts w:ascii="Lao UI" w:hAnsi="Lao UI" w:cs="Lao UI"/>
          <w:bCs/>
          <w:sz w:val="21"/>
          <w:szCs w:val="21"/>
          <w:lang w:val="en-US"/>
        </w:rPr>
        <w:t xml:space="preserve">MGHL will implement the spin off through a pro-rata distribution of the share capital of the new entity which will be identical to the share capital of the Eternal Robotics Private Limited. </w:t>
      </w:r>
    </w:p>
    <w:p w14:paraId="79952A30" w14:textId="7A734190" w:rsidR="005D3327" w:rsidRDefault="005D3327" w:rsidP="00C71D9F">
      <w:pPr>
        <w:tabs>
          <w:tab w:val="left" w:pos="540"/>
        </w:tabs>
        <w:ind w:left="0" w:firstLine="0"/>
        <w:jc w:val="both"/>
        <w:rPr>
          <w:rFonts w:ascii="Lao UI" w:hAnsi="Lao UI" w:cs="Lao UI"/>
          <w:bCs/>
          <w:sz w:val="21"/>
          <w:szCs w:val="21"/>
          <w:lang w:val="en-US"/>
        </w:rPr>
      </w:pPr>
      <w:r>
        <w:rPr>
          <w:rFonts w:ascii="Lao UI" w:hAnsi="Lao UI" w:cs="Lao UI"/>
          <w:bCs/>
          <w:sz w:val="21"/>
          <w:szCs w:val="21"/>
          <w:lang w:val="en-US"/>
        </w:rPr>
        <w:t xml:space="preserve">MGHL will hold the 89% of the Share Capital and ER Founders will hold 11% Collectively. </w:t>
      </w:r>
    </w:p>
    <w:p w14:paraId="4C7E16C8" w14:textId="05CBE740" w:rsidR="00C71D9F" w:rsidRDefault="00C71D9F" w:rsidP="00C71D9F">
      <w:pPr>
        <w:tabs>
          <w:tab w:val="left" w:pos="540"/>
        </w:tabs>
        <w:ind w:left="0" w:firstLine="0"/>
        <w:jc w:val="both"/>
        <w:rPr>
          <w:rFonts w:ascii="Lao UI" w:hAnsi="Lao UI" w:cs="Lao UI"/>
          <w:bCs/>
          <w:sz w:val="21"/>
          <w:szCs w:val="21"/>
          <w:lang w:val="en-US"/>
        </w:rPr>
      </w:pPr>
      <w:r>
        <w:rPr>
          <w:rFonts w:ascii="Lao UI" w:hAnsi="Lao UI" w:cs="Lao UI"/>
          <w:bCs/>
          <w:sz w:val="21"/>
          <w:szCs w:val="21"/>
          <w:lang w:val="en-US"/>
        </w:rPr>
        <w:t>The Company will subsequently conduct a “Series A Round” targeting Strategic Investors in the main target markets.</w:t>
      </w:r>
    </w:p>
    <w:p w14:paraId="6A807BCE" w14:textId="14E36310" w:rsidR="005D3327" w:rsidRDefault="005D3327" w:rsidP="005D3327">
      <w:pPr>
        <w:tabs>
          <w:tab w:val="left" w:pos="540"/>
        </w:tabs>
        <w:ind w:left="0" w:firstLine="0"/>
        <w:rPr>
          <w:rFonts w:ascii="Lao UI" w:hAnsi="Lao UI" w:cs="Lao UI"/>
          <w:bCs/>
          <w:sz w:val="21"/>
          <w:szCs w:val="21"/>
          <w:lang w:val="en-US"/>
        </w:rPr>
      </w:pPr>
      <w:r>
        <w:rPr>
          <w:rFonts w:ascii="Lao UI" w:hAnsi="Lao UI" w:cs="Lao UI"/>
          <w:bCs/>
          <w:sz w:val="21"/>
          <w:szCs w:val="21"/>
          <w:lang w:val="en-US"/>
        </w:rPr>
        <w:t>MGHL</w:t>
      </w:r>
      <w:r w:rsidR="00C71D9F">
        <w:rPr>
          <w:rFonts w:ascii="Lao UI" w:hAnsi="Lao UI" w:cs="Lao UI"/>
          <w:bCs/>
          <w:sz w:val="21"/>
          <w:szCs w:val="21"/>
          <w:lang w:val="en-US"/>
        </w:rPr>
        <w:t>, ER Founders and New Strategic Shareholders</w:t>
      </w:r>
      <w:r>
        <w:rPr>
          <w:rFonts w:ascii="Lao UI" w:hAnsi="Lao UI" w:cs="Lao UI"/>
          <w:bCs/>
          <w:sz w:val="21"/>
          <w:szCs w:val="21"/>
          <w:lang w:val="en-US"/>
        </w:rPr>
        <w:t xml:space="preserve"> will be appointing a separate board in the new entity subject to the regulatory and tax requirements. </w:t>
      </w:r>
    </w:p>
    <w:p w14:paraId="3159F398" w14:textId="45CE535C" w:rsidR="005D03C2" w:rsidRPr="005D03C2" w:rsidRDefault="005D03C2" w:rsidP="0041586E">
      <w:pPr>
        <w:tabs>
          <w:tab w:val="left" w:pos="540"/>
        </w:tabs>
        <w:ind w:left="0" w:firstLine="0"/>
        <w:rPr>
          <w:rFonts w:ascii="Lao UI" w:hAnsi="Lao UI" w:cs="Lao UI"/>
          <w:b/>
          <w:sz w:val="21"/>
          <w:szCs w:val="21"/>
          <w:lang w:val="en-US"/>
        </w:rPr>
      </w:pPr>
    </w:p>
    <w:sectPr w:rsidR="005D03C2" w:rsidRPr="005D03C2" w:rsidSect="00116134">
      <w:pgSz w:w="11906" w:h="16838"/>
      <w:pgMar w:top="2120" w:right="743" w:bottom="840" w:left="1160" w:header="663" w:footer="987" w:gutter="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Lao UI">
    <w:panose1 w:val="020B0502040204020203"/>
    <w:charset w:val="00"/>
    <w:family w:val="swiss"/>
    <w:pitch w:val="variable"/>
    <w:sig w:usb0="82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4B412E"/>
    <w:multiLevelType w:val="hybridMultilevel"/>
    <w:tmpl w:val="6270CB0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43FB3863"/>
    <w:multiLevelType w:val="hybridMultilevel"/>
    <w:tmpl w:val="17C8AA7C"/>
    <w:lvl w:ilvl="0" w:tplc="3262230E">
      <w:start w:val="1"/>
      <w:numFmt w:val="bullet"/>
      <w:lvlText w:val="-"/>
      <w:lvlJc w:val="left"/>
      <w:pPr>
        <w:ind w:left="93" w:hanging="360"/>
      </w:pPr>
      <w:rPr>
        <w:rFonts w:ascii="Lao UI" w:eastAsiaTheme="minorHAnsi" w:hAnsi="Lao UI" w:cs="Lao UI" w:hint="default"/>
      </w:rPr>
    </w:lvl>
    <w:lvl w:ilvl="1" w:tplc="04090003" w:tentative="1">
      <w:start w:val="1"/>
      <w:numFmt w:val="bullet"/>
      <w:lvlText w:val="o"/>
      <w:lvlJc w:val="left"/>
      <w:pPr>
        <w:ind w:left="81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3" w:hanging="360"/>
      </w:pPr>
      <w:rPr>
        <w:rFonts w:ascii="Wingdings" w:hAnsi="Wingdings" w:hint="default"/>
      </w:rPr>
    </w:lvl>
  </w:abstractNum>
  <w:abstractNum w:abstractNumId="2" w15:restartNumberingAfterBreak="0">
    <w:nsid w:val="4EB24043"/>
    <w:multiLevelType w:val="hybridMultilevel"/>
    <w:tmpl w:val="D81A1964"/>
    <w:lvl w:ilvl="0" w:tplc="2BB8B8E6">
      <w:start w:val="1"/>
      <w:numFmt w:val="decimal"/>
      <w:lvlText w:val="%1."/>
      <w:lvlJc w:val="left"/>
      <w:pPr>
        <w:ind w:left="37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91" w:hanging="360"/>
      </w:pPr>
    </w:lvl>
    <w:lvl w:ilvl="2" w:tplc="0409001B" w:tentative="1">
      <w:start w:val="1"/>
      <w:numFmt w:val="lowerRoman"/>
      <w:lvlText w:val="%3."/>
      <w:lvlJc w:val="right"/>
      <w:pPr>
        <w:ind w:left="1811" w:hanging="180"/>
      </w:pPr>
    </w:lvl>
    <w:lvl w:ilvl="3" w:tplc="0409000F" w:tentative="1">
      <w:start w:val="1"/>
      <w:numFmt w:val="decimal"/>
      <w:lvlText w:val="%4."/>
      <w:lvlJc w:val="left"/>
      <w:pPr>
        <w:ind w:left="2531" w:hanging="360"/>
      </w:pPr>
    </w:lvl>
    <w:lvl w:ilvl="4" w:tplc="04090019" w:tentative="1">
      <w:start w:val="1"/>
      <w:numFmt w:val="lowerLetter"/>
      <w:lvlText w:val="%5."/>
      <w:lvlJc w:val="left"/>
      <w:pPr>
        <w:ind w:left="3251" w:hanging="360"/>
      </w:pPr>
    </w:lvl>
    <w:lvl w:ilvl="5" w:tplc="0409001B" w:tentative="1">
      <w:start w:val="1"/>
      <w:numFmt w:val="lowerRoman"/>
      <w:lvlText w:val="%6."/>
      <w:lvlJc w:val="right"/>
      <w:pPr>
        <w:ind w:left="3971" w:hanging="180"/>
      </w:pPr>
    </w:lvl>
    <w:lvl w:ilvl="6" w:tplc="0409000F" w:tentative="1">
      <w:start w:val="1"/>
      <w:numFmt w:val="decimal"/>
      <w:lvlText w:val="%7."/>
      <w:lvlJc w:val="left"/>
      <w:pPr>
        <w:ind w:left="4691" w:hanging="360"/>
      </w:pPr>
    </w:lvl>
    <w:lvl w:ilvl="7" w:tplc="04090019" w:tentative="1">
      <w:start w:val="1"/>
      <w:numFmt w:val="lowerLetter"/>
      <w:lvlText w:val="%8."/>
      <w:lvlJc w:val="left"/>
      <w:pPr>
        <w:ind w:left="5411" w:hanging="360"/>
      </w:pPr>
    </w:lvl>
    <w:lvl w:ilvl="8" w:tplc="0409001B" w:tentative="1">
      <w:start w:val="1"/>
      <w:numFmt w:val="lowerRoman"/>
      <w:lvlText w:val="%9."/>
      <w:lvlJc w:val="right"/>
      <w:pPr>
        <w:ind w:left="6131" w:hanging="180"/>
      </w:pPr>
    </w:lvl>
  </w:abstractNum>
  <w:abstractNum w:abstractNumId="3" w15:restartNumberingAfterBreak="0">
    <w:nsid w:val="5E2D2992"/>
    <w:multiLevelType w:val="hybridMultilevel"/>
    <w:tmpl w:val="016609D2"/>
    <w:lvl w:ilvl="0" w:tplc="2996DE8C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34ADAC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AF429F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8BCA264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64F0B30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BCA59E0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45867892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59EA266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0CCD7BC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612E720D"/>
    <w:multiLevelType w:val="hybridMultilevel"/>
    <w:tmpl w:val="6F56B5FE"/>
    <w:lvl w:ilvl="0" w:tplc="3262230E">
      <w:start w:val="1"/>
      <w:numFmt w:val="bullet"/>
      <w:lvlText w:val="-"/>
      <w:lvlJc w:val="left"/>
      <w:pPr>
        <w:ind w:left="93" w:hanging="360"/>
      </w:pPr>
      <w:rPr>
        <w:rFonts w:ascii="Lao UI" w:eastAsiaTheme="minorHAnsi" w:hAnsi="Lao UI" w:cs="Lao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1"/>
  <w:hideSpellingErrors/>
  <w:hideGrammaticalErrors/>
  <w:proofState w:spelling="clean" w:grammar="clean"/>
  <w:defaultTabStop w:val="720"/>
  <w:drawingGridHorizontalSpacing w:val="120"/>
  <w:drawingGridVerticalSpacing w:val="163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724"/>
    <w:rsid w:val="00116134"/>
    <w:rsid w:val="00200E06"/>
    <w:rsid w:val="00230D0A"/>
    <w:rsid w:val="0041586E"/>
    <w:rsid w:val="004A77C7"/>
    <w:rsid w:val="005948C5"/>
    <w:rsid w:val="005B1836"/>
    <w:rsid w:val="005D03C2"/>
    <w:rsid w:val="005D3327"/>
    <w:rsid w:val="00627724"/>
    <w:rsid w:val="006F2558"/>
    <w:rsid w:val="00765585"/>
    <w:rsid w:val="007C7996"/>
    <w:rsid w:val="00870452"/>
    <w:rsid w:val="00931621"/>
    <w:rsid w:val="00C71D9F"/>
    <w:rsid w:val="00D37D81"/>
    <w:rsid w:val="00E45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04A81F"/>
  <w15:chartTrackingRefBased/>
  <w15:docId w15:val="{A65CA9E4-274C-864F-B5DC-7A9D1EEBB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E" w:eastAsia="en-US" w:bidi="ar-SA"/>
      </w:rPr>
    </w:rPrDefault>
    <w:pPrDefault>
      <w:pPr>
        <w:ind w:left="368" w:hanging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7D8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495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58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7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46679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4663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25208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4782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1914752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14562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963768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8563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269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6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47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94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8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475015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14698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636273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092407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66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44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301</Words>
  <Characters>1719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Yasser Khan</dc:creator>
  <cp:keywords/>
  <dc:description/>
  <cp:lastModifiedBy>Raul Silva</cp:lastModifiedBy>
  <cp:revision>2</cp:revision>
  <dcterms:created xsi:type="dcterms:W3CDTF">2021-07-27T08:24:00Z</dcterms:created>
  <dcterms:modified xsi:type="dcterms:W3CDTF">2021-07-27T08:24:00Z</dcterms:modified>
</cp:coreProperties>
</file>