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016" w:hRule="exact"/>
        </w:trPr>
        <w:tc>
          <w:tcPr>
            <w:tcW w:type="dxa" w:w="9026"/>
            <w:tcBorders>
              <w:top w:val="none"/>
              <w:left w:val="none"/>
              <w:bottom w:val="none"/>
              <w:right w:val="none"/>
            </w:tcBorders>
            <w:shd w:fill="111111" w:color="111111" w:val="clear"/>
            <w:vAlign w:val="center"/>
          </w:tcPr>
          <w:p>
            <w:pPr>
              <w:spacing w:after="80" w:before="0"/>
              <w:jc w:val="center"/>
            </w:pPr>
            <w:r>
              <w:rPr>
                <w:rFonts w:ascii="Calibri" w:cs="Calibri" w:eastAsia="Calibri" w:hAnsi="Calibri"/>
                <w:b/>
                <w:bCs/>
                <w:color w:val="ffffff"/>
                <w:spacing w:val="200"/>
                <w:sz w:val="56"/>
                <w:szCs w:val="56"/>
              </w:rPr>
              <w:t xml:space="preserve">MUSASHI</w:t>
            </w:r>
          </w:p>
          <w:p>
            <w:pPr>
              <w:spacing w:after="0" w:before="0"/>
              <w:jc w:val="center"/>
            </w:pPr>
            <w:r>
              <w:rPr>
                <w:rFonts w:ascii="Calibri" w:cs="Calibri" w:eastAsia="Calibri" w:hAnsi="Calibri"/>
                <w:color w:val="888882"/>
                <w:spacing w:val="280"/>
                <w:sz w:val="20"/>
                <w:szCs w:val="20"/>
              </w:rPr>
              <w:t xml:space="preserve">KNIFE GUIDE</w:t>
            </w:r>
          </w:p>
        </w:tc>
      </w:tr>
    </w:tbl>
    <w:p>
      <w:pPr>
        <w:spacing w:after="0" w:before="400"/>
      </w:pPr>
    </w:p>
    <w:p>
      <w:pPr>
        <w:spacing w:after="180" w:before="0" w:line="330" w:lineRule="auto"/>
      </w:pPr>
      <w:r>
        <w:rPr>
          <w:rFonts w:ascii="Calibri" w:cs="Calibri" w:eastAsia="Calibri" w:hAnsi="Calibri"/>
          <w:b w:val="false"/>
          <w:bCs w:val="false"/>
          <w:color w:val="333330"/>
          <w:sz w:val="22"/>
          <w:szCs w:val="22"/>
        </w:rPr>
        <w:t xml:space="preserve">Our salespeople are the reason customers leave confident. They translate years of craft into something a person standing at a display case can understand and trust. But that expertise takes time to build — and a new salesperson cannot answer most of the technical questions customers have, nor demonstrate the level of knowledge our brand has earned.</w:t>
      </w:r>
    </w:p>
    <w:p>
      <w:pPr>
        <w:spacing w:after="0" w:before="80"/>
      </w:pPr>
    </w:p>
    <w:p>
      <w:pPr>
        <w:spacing w:after="180" w:before="0" w:line="330" w:lineRule="auto"/>
      </w:pPr>
      <w:r>
        <w:rPr>
          <w:rFonts w:ascii="Calibri" w:cs="Calibri" w:eastAsia="Calibri" w:hAnsi="Calibri"/>
          <w:b/>
          <w:bCs/>
          <w:color w:val="333330"/>
          <w:sz w:val="22"/>
          <w:szCs w:val="22"/>
        </w:rPr>
        <w:t xml:space="preserve">This is the gap the Musashi Knife Guide is designed to close.</w:t>
      </w:r>
    </w:p>
    <w:p>
      <w:pPr>
        <w:pBdr>
          <w:bottom w:val="single" w:color="e0e0da" w:sz="4"/>
        </w:pBdr>
        <w:spacing w:after="300" w:before="300"/>
      </w:pPr>
    </w:p>
    <w:p>
      <w:pPr>
        <w:spacing w:after="180" w:before="0" w:line="330" w:lineRule="auto"/>
      </w:pPr>
      <w:r>
        <w:rPr>
          <w:rFonts w:ascii="Calibri" w:cs="Calibri" w:eastAsia="Calibri" w:hAnsi="Calibri"/>
          <w:b w:val="false"/>
          <w:bCs w:val="false"/>
          <w:color w:val="333330"/>
          <w:sz w:val="22"/>
          <w:szCs w:val="22"/>
        </w:rPr>
        <w:t xml:space="preserve">It takes a long time to learn all the small nuances of knifemaking and how each decision in shape, metal, or finish affects a knife's performance. Right now, that knowledge lives scattered across forums, YouTube videos, and individual experience. A customer who has done their research will often know more than the person selling to them. That erodes trust — and it costs sales.</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40" w:hRule="exact"/>
        </w:trPr>
        <w:tc>
          <w:tcPr>
            <w:tcW w:type="dxa" w:w="9026"/>
            <w:tcBorders>
              <w:top w:val="single" w:color="e0e0da" w:sz="4"/>
              <w:left w:val="single" w:color="e0e0da" w:sz="4"/>
              <w:bottom w:val="single" w:color="e0e0da" w:sz="4"/>
              <w:right w:val="single" w:color="e0e0da" w:sz="4"/>
            </w:tcBorders>
            <w:shd w:fill="f5f5f0" w:color="f5f5f0" w:val="clear"/>
            <w:vAlign w:val="center"/>
          </w:tcPr>
          <w:p>
            <w:pPr>
              <w:jc w:val="center"/>
            </w:pPr>
            <w:r>
              <w:rPr>
                <w:rFonts w:ascii="Calibri" w:cs="Calibri" w:eastAsia="Calibri" w:hAnsi="Calibri"/>
                <w:i/>
                <w:iCs/>
                <w:color w:val="c0c0ba"/>
                <w:sz w:val="18"/>
                <w:szCs w:val="18"/>
              </w:rPr>
              <w:t xml:space="preserve">[ Add screenshot here — comparison view ]</w:t>
            </w:r>
          </w:p>
        </w:tc>
      </w:tr>
    </w:tbl>
    <w:p>
      <w:pPr>
        <w:spacing w:after="0" w:before="320"/>
      </w:pPr>
    </w:p>
    <w:p>
      <w:pPr>
        <w:pBdr>
          <w:bottom w:val="single" w:color="e0e0da" w:sz="4"/>
        </w:pBdr>
        <w:spacing w:after="300" w:before="300"/>
      </w:pPr>
    </w:p>
    <w:p>
      <w:pPr>
        <w:spacing w:after="180" w:before="0" w:line="330" w:lineRule="auto"/>
      </w:pPr>
      <w:r>
        <w:rPr>
          <w:rFonts w:ascii="Calibri" w:cs="Calibri" w:eastAsia="Calibri" w:hAnsi="Calibri"/>
          <w:b/>
          <w:bCs/>
          <w:color w:val="111111"/>
          <w:sz w:val="22"/>
          <w:szCs w:val="22"/>
        </w:rPr>
        <w:t xml:space="preserve">The Musashi Knife Guide</w:t>
      </w:r>
      <w:r>
        <w:rPr>
          <w:rFonts w:ascii="Calibri" w:cs="Calibri" w:eastAsia="Calibri" w:hAnsi="Calibri"/>
          <w:color w:val="333330"/>
          <w:sz w:val="22"/>
          <w:szCs w:val="22"/>
        </w:rPr>
        <w:t xml:space="preserve"> is a web tool built for our sales team. A salesperson gets the question: which of these two knives will hold its edge longer? They open the app, scan the tag of both knives, and instantly see the full profile of each — steel composition, maker, blade description, price before and after tax refund — plus a visual chart comparing both across the 4 key decision points: Edge Retention, Sharpening Ease, Chip Resistance, and Corrosion Resistance.</w:t>
      </w:r>
    </w:p>
    <w:p>
      <w:pPr>
        <w:spacing w:after="0" w:before="80"/>
      </w:pPr>
    </w:p>
    <w:p>
      <w:pPr>
        <w:spacing w:after="180" w:before="0" w:line="330" w:lineRule="auto"/>
      </w:pPr>
      <w:r>
        <w:rPr>
          <w:rFonts w:ascii="Calibri" w:cs="Calibri" w:eastAsia="Calibri" w:hAnsi="Calibri"/>
          <w:b w:val="false"/>
          <w:bCs w:val="false"/>
          <w:color w:val="333330"/>
          <w:sz w:val="22"/>
          <w:szCs w:val="22"/>
        </w:rPr>
        <w:t xml:space="preserve">If that conversation opens a follow-up — why does that steel have cobalt in it? — a built-in search engine returns a clear, wiki-style answer in seconds. This is the kind of response that shows a customer our team truly knows the knife world.</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240" w:hRule="exact"/>
        </w:trPr>
        <w:tc>
          <w:tcPr>
            <w:tcW w:type="dxa" w:w="9026"/>
            <w:tcBorders>
              <w:top w:val="single" w:color="e0e0da" w:sz="4"/>
              <w:left w:val="single" w:color="e0e0da" w:sz="4"/>
              <w:bottom w:val="single" w:color="e0e0da" w:sz="4"/>
              <w:right w:val="single" w:color="e0e0da" w:sz="4"/>
            </w:tcBorders>
            <w:shd w:fill="f5f5f0" w:color="f5f5f0" w:val="clear"/>
            <w:vAlign w:val="center"/>
          </w:tcPr>
          <w:p>
            <w:pPr>
              <w:jc w:val="center"/>
            </w:pPr>
            <w:r>
              <w:rPr>
                <w:rFonts w:ascii="Calibri" w:cs="Calibri" w:eastAsia="Calibri" w:hAnsi="Calibri"/>
                <w:i/>
                <w:iCs/>
                <w:color w:val="c0c0ba"/>
                <w:sz w:val="18"/>
                <w:szCs w:val="18"/>
              </w:rPr>
              <w:t xml:space="preserve">[ Add screenshot here — knowledge base search ]</w:t>
            </w:r>
          </w:p>
        </w:tc>
      </w:tr>
    </w:tbl>
    <w:p>
      <w:pPr>
        <w:spacing w:after="0" w:before="320"/>
      </w:pPr>
    </w:p>
    <w:p>
      <w:pPr>
        <w:pBdr>
          <w:bottom w:val="single" w:color="e0e0da" w:sz="4"/>
        </w:pBdr>
        <w:spacing w:after="300" w:before="300"/>
      </w:pPr>
    </w:p>
    <w:p>
      <w:pPr>
        <w:spacing w:after="100" w:before="280"/>
      </w:pPr>
      <w:r>
        <w:rPr>
          <w:rFonts w:ascii="Calibri" w:cs="Calibri" w:eastAsia="Calibri" w:hAnsi="Calibri"/>
          <w:caps/>
          <w:color w:val="c0c0ba"/>
          <w:spacing w:val="60"/>
          <w:sz w:val="17"/>
          <w:szCs w:val="17"/>
        </w:rPr>
        <w:t xml:space="preserve">What it is not</w:t>
      </w:r>
    </w:p>
    <w:p>
      <w:pPr>
        <w:spacing w:after="180" w:before="0" w:line="330" w:lineRule="auto"/>
      </w:pPr>
      <w:r>
        <w:rPr>
          <w:rFonts w:ascii="Calibri" w:cs="Calibri" w:eastAsia="Calibri" w:hAnsi="Calibri"/>
          <w:b w:val="false"/>
          <w:bCs w:val="false"/>
          <w:color w:val="333330"/>
          <w:sz w:val="22"/>
          <w:szCs w:val="22"/>
        </w:rPr>
        <w:t xml:space="preserve">This is not a customer-facing tool and not something to use mid-transaction. It is a reference tool — something a salesperson uses between customers, during quiet moments, to build knowledge and stay sharp. All the information in the app exists somewhere on the internet, but scattered and without context. This puts it in one place, in plain language, ready when it is needed.</w:t>
      </w:r>
    </w:p>
    <w:p>
      <w:pPr>
        <w:pBdr>
          <w:bottom w:val="single" w:color="e0e0da" w:sz="4"/>
        </w:pBdr>
        <w:spacing w:after="300" w:before="300"/>
      </w:pPr>
    </w:p>
    <w:p>
      <w:pPr>
        <w:spacing w:after="100" w:before="280"/>
      </w:pPr>
      <w:r>
        <w:rPr>
          <w:rFonts w:ascii="Calibri" w:cs="Calibri" w:eastAsia="Calibri" w:hAnsi="Calibri"/>
          <w:caps/>
          <w:color w:val="c0c0ba"/>
          <w:spacing w:val="60"/>
          <w:sz w:val="17"/>
          <w:szCs w:val="17"/>
        </w:rPr>
        <w:t xml:space="preserve">What's already built</w:t>
      </w:r>
    </w:p>
    <w:p>
      <w:pPr>
        <w:spacing w:after="0" w:before="80"/>
      </w:pPr>
    </w:p>
    <w:p>
      <w:pPr>
        <w:spacing w:after="120" w:before="0" w:line="300" w:lineRule="auto"/>
        <w:ind w:left="360" w:hanging="240"/>
      </w:pPr>
      <w:r>
        <w:rPr>
          <w:rFonts w:ascii="Calibri" w:cs="Calibri" w:eastAsia="Calibri" w:hAnsi="Calibri"/>
          <w:color w:val="c0c0ba"/>
          <w:sz w:val="21"/>
          <w:szCs w:val="21"/>
        </w:rPr>
        <w:t xml:space="preserve">—  </w:t>
      </w:r>
      <w:r>
        <w:rPr>
          <w:rFonts w:ascii="Calibri" w:cs="Calibri" w:eastAsia="Calibri" w:hAnsi="Calibri"/>
          <w:color w:val="333330"/>
          <w:sz w:val="21"/>
          <w:szCs w:val="21"/>
        </w:rPr>
        <w:t xml:space="preserve">Search by SKU, knife name, steel type, or barcode scan</w:t>
      </w:r>
    </w:p>
    <w:p>
      <w:pPr>
        <w:spacing w:after="120" w:before="0" w:line="300" w:lineRule="auto"/>
        <w:ind w:left="360" w:hanging="240"/>
      </w:pPr>
      <w:r>
        <w:rPr>
          <w:rFonts w:ascii="Calibri" w:cs="Calibri" w:eastAsia="Calibri" w:hAnsi="Calibri"/>
          <w:color w:val="c0c0ba"/>
          <w:sz w:val="21"/>
          <w:szCs w:val="21"/>
        </w:rPr>
        <w:t xml:space="preserve">—  </w:t>
      </w:r>
      <w:r>
        <w:rPr>
          <w:rFonts w:ascii="Calibri" w:cs="Calibri" w:eastAsia="Calibri" w:hAnsi="Calibri"/>
          <w:color w:val="333330"/>
          <w:sz w:val="21"/>
          <w:szCs w:val="21"/>
        </w:rPr>
        <w:t xml:space="preserve">Full product cards with steel profile, maker, blade description, and tax-adjusted pricing</w:t>
      </w:r>
    </w:p>
    <w:p>
      <w:pPr>
        <w:spacing w:after="120" w:before="0" w:line="300" w:lineRule="auto"/>
        <w:ind w:left="360" w:hanging="240"/>
      </w:pPr>
      <w:r>
        <w:rPr>
          <w:rFonts w:ascii="Calibri" w:cs="Calibri" w:eastAsia="Calibri" w:hAnsi="Calibri"/>
          <w:color w:val="c0c0ba"/>
          <w:sz w:val="21"/>
          <w:szCs w:val="21"/>
        </w:rPr>
        <w:t xml:space="preserve">—  </w:t>
      </w:r>
      <w:r>
        <w:rPr>
          <w:rFonts w:ascii="Calibri" w:cs="Calibri" w:eastAsia="Calibri" w:hAnsi="Calibri"/>
          <w:color w:val="333330"/>
          <w:sz w:val="21"/>
          <w:szCs w:val="21"/>
        </w:rPr>
        <w:t xml:space="preserve">A 4-point performance chart comparing up to 3 knives simultaneously</w:t>
      </w:r>
    </w:p>
    <w:p>
      <w:pPr>
        <w:spacing w:after="120" w:before="0" w:line="300" w:lineRule="auto"/>
        <w:ind w:left="360" w:hanging="240"/>
      </w:pPr>
      <w:r>
        <w:rPr>
          <w:rFonts w:ascii="Calibri" w:cs="Calibri" w:eastAsia="Calibri" w:hAnsi="Calibri"/>
          <w:color w:val="c0c0ba"/>
          <w:sz w:val="21"/>
          <w:szCs w:val="21"/>
        </w:rPr>
        <w:t xml:space="preserve">—  </w:t>
      </w:r>
      <w:r>
        <w:rPr>
          <w:rFonts w:ascii="Calibri" w:cs="Calibri" w:eastAsia="Calibri" w:hAnsi="Calibri"/>
          <w:color w:val="333330"/>
          <w:sz w:val="21"/>
          <w:szCs w:val="21"/>
        </w:rPr>
        <w:t xml:space="preserve">A searchable guide covering all categories from the Musashi Manual, plus a complete open-source curated knowledge base of knife terms, makers, and materials</w:t>
      </w:r>
    </w:p>
    <w:p>
      <w:pPr>
        <w:spacing w:after="120" w:before="0" w:line="300" w:lineRule="auto"/>
        <w:ind w:left="360" w:hanging="240"/>
      </w:pPr>
      <w:r>
        <w:rPr>
          <w:rFonts w:ascii="Calibri" w:cs="Calibri" w:eastAsia="Calibri" w:hAnsi="Calibri"/>
          <w:color w:val="c0c0ba"/>
          <w:sz w:val="21"/>
          <w:szCs w:val="21"/>
        </w:rPr>
        <w:t xml:space="preserve">—  </w:t>
      </w:r>
      <w:r>
        <w:rPr>
          <w:rFonts w:ascii="Calibri" w:cs="Calibri" w:eastAsia="Calibri" w:hAnsi="Calibri"/>
          <w:color w:val="333330"/>
          <w:sz w:val="21"/>
          <w:szCs w:val="21"/>
        </w:rPr>
        <w:t xml:space="preserve">An issue reporting tool connected to a back-end database for the product team</w:t>
      </w:r>
    </w:p>
    <w:p>
      <w:pPr>
        <w:spacing w:after="120" w:before="0" w:line="300" w:lineRule="auto"/>
        <w:ind w:left="360" w:hanging="240"/>
      </w:pPr>
      <w:r>
        <w:rPr>
          <w:rFonts w:ascii="Calibri" w:cs="Calibri" w:eastAsia="Calibri" w:hAnsi="Calibri"/>
          <w:color w:val="c0c0ba"/>
          <w:sz w:val="21"/>
          <w:szCs w:val="21"/>
        </w:rPr>
        <w:t xml:space="preserve">—  </w:t>
      </w:r>
      <w:r>
        <w:rPr>
          <w:rFonts w:ascii="Calibri" w:cs="Calibri" w:eastAsia="Calibri" w:hAnsi="Calibri"/>
          <w:color w:val="333330"/>
          <w:sz w:val="21"/>
          <w:szCs w:val="21"/>
        </w:rPr>
        <w:t xml:space="preserve">A manageable database for feedback, steel data, and all knowledge base content</w:t>
      </w:r>
    </w:p>
    <w:p>
      <w:pPr>
        <w:spacing w:after="0" w:before="200"/>
      </w:pPr>
    </w:p>
    <w:p>
      <w:pPr>
        <w:spacing w:after="180" w:before="0" w:line="330" w:lineRule="auto"/>
      </w:pPr>
      <w:r>
        <w:rPr>
          <w:rFonts w:ascii="Calibri" w:cs="Calibri" w:eastAsia="Calibri" w:hAnsi="Calibri"/>
          <w:b/>
          <w:bCs/>
          <w:color w:val="333330"/>
          <w:sz w:val="22"/>
          <w:szCs w:val="22"/>
        </w:rPr>
        <w:t xml:space="preserve">The foundation is complete. We are asking for the green light to finish it properly and put it in our salespeople's hands.</w:t>
      </w:r>
    </w:p>
    <w:p>
      <w:pPr>
        <w:spacing w:after="0" w:before="80"/>
      </w:pPr>
    </w:p>
    <w:p>
      <w:pPr>
        <w:spacing w:after="180" w:before="0" w:line="330" w:lineRule="auto"/>
      </w:pPr>
      <w:r>
        <w:rPr>
          <w:rFonts w:ascii="Calibri" w:cs="Calibri" w:eastAsia="Calibri" w:hAnsi="Calibri"/>
          <w:color w:val="c0c0ba"/>
          <w:sz w:val="20"/>
          <w:szCs w:val="20"/>
        </w:rPr>
        <w:t xml:space="preserve">Live demo:  </w:t>
      </w:r>
      <w:r>
        <w:rPr>
          <w:rFonts w:ascii="Calibri" w:cs="Calibri" w:eastAsia="Calibri" w:hAnsi="Calibri"/>
          <w:color w:val="6b6b66"/>
          <w:sz w:val="20"/>
          <w:szCs w:val="20"/>
        </w:rPr>
        <w:t xml:space="preserve">davigiknife-compare.netlify.app</w:t>
      </w:r>
    </w:p>
    <w:p>
      <w:pPr>
        <w:pBdr>
          <w:bottom w:val="single" w:color="e0e0da" w:sz="4"/>
        </w:pBdr>
        <w:spacing w:after="300" w:before="300"/>
      </w:pPr>
    </w:p>
    <w:p>
      <w:pPr>
        <w:spacing w:after="0" w:before="0"/>
        <w:jc w:val="center"/>
      </w:pPr>
      <w:r>
        <w:rPr>
          <w:rFonts w:ascii="Calibri" w:cs="Calibri" w:eastAsia="Calibri" w:hAnsi="Calibri"/>
          <w:color w:val="c0c0ba"/>
          <w:sz w:val="18"/>
          <w:szCs w:val="18"/>
        </w:rPr>
        <w:t xml:space="preserve">David Martinez  ·  davigides@gmail.com  ·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2026-08-13T07:30:00.471Z</dcterms:created>
  <dcterms:modified xsi:type="dcterms:W3CDTF">2026-08-13T07:30:00.472Z</dcterms:modified>
</cp:coreProperties>
</file>

<file path=docProps/custom.xml><?xml version="1.0" encoding="utf-8"?>
<Properties xmlns="http://schemas.openxmlformats.org/officeDocument/2006/custom-properties" xmlns:vt="http://schemas.openxmlformats.org/officeDocument/2006/docPropsVTypes"/>
</file>