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
<Relationships xmlns="http://schemas.openxmlformats.org/package/2006/relationships"><Relationship Id="rId1" Target="word/document.xml" Type="http://schemas.openxmlformats.org/officeDocument/2006/relationships/officeDocument"/></Relationships>
</file>

<file path=word/document.xml><?xml version="1.0" encoding="utf-8"?>
<w:document xmlns:w="http://schemas.openxmlformats.org/wordprocessingml/2006/main">
  <w:body>
    <w:p>
      <w:pPr>
        <w:pStyle w:val="Heading1"/>
      </w:pPr>
      <w:r>
        <w:rPr>
          <w:b/>
          <w:sz w:val="36"/>
          <w:rFonts w:eastAsia="黑体" w:ascii="黑体" w:hAnsi="黑体"/>
        </w:rPr>
        <w:t w:space="preserve">作品概述</w:t>
      </w:r>
    </w:p>
    <w:p>
      <w:pPr/>
      <w:r>
        <w:rPr>
          <w:sz w:val="24"/>
          <w:rFonts w:eastAsia="宋体" w:ascii="宋体" w:hAnsi="宋体"/>
          <w:color w:val="808080"/>
        </w:rPr>
        <w:t w:space="preserve">注意：不得出现任何涉及学校名称和指导教师的内容。</w:t>
      </w:r>
    </w:p>
    <w:p>
      <w:pPr/>
    </w:p>
    <w:p>
      <w:pPr>
        <w:pStyle w:val="Heading2"/>
        <w:spacing w:before="200"/>
        <w:spacing w:after="80"/>
      </w:pPr>
      <w:r>
        <w:rPr>
          <w:b/>
          <w:sz w:val="28"/>
          <w:rFonts w:eastAsia="黑体" w:ascii="黑体" w:hAnsi="黑体"/>
        </w:rPr>
        <w:t w:space="preserve">摘要</w:t>
      </w:r>
    </w:p>
    <w:p>
      <w:pPr/>
      <w:pPr>
        <w:spacing w:line="360" w:lineRule="auto"/>
      </w:pPr>
      <w:r>
        <w:rPr>
          <w:sz w:val="24"/>
          <w:rFonts w:eastAsia="宋体" w:ascii="宋体" w:hAnsi="宋体"/>
        </w:rPr>
        <w:t w:space="preserve" xml:space="preserve">本项目面向无围栏工业人机协作场景，研发了一款基于RK3588异构算力平台的All-in-One边缘计算智能终端。该终端采用3D打印一体化结构设计，集成前后双路视觉（MIPI-CSI 1080p + USB 720p）、360°单线激光雷达（镭神N10Plus，10Hz，540点/圈）与高精度六轴IMU（TDK ICM45686），构建了完整的多元感知硬件平台。</w:t>
      </w:r>
    </w:p>
    <w:p>
      <w:pPr/>
      <w:pPr>
        <w:spacing w:line="360" w:lineRule="auto"/>
      </w:pPr>
      <w:r>
        <w:rPr>
          <w:sz w:val="24"/>
          <w:rFonts w:eastAsia="宋体" w:ascii="宋体" w:hAnsi="宋体"/>
        </w:rPr>
        <w:t w:space="preserve" xml:space="preserve">针对工业设备运行伴随的高频剧烈震动（10-200Hz），系统深度解算IMU姿态数据，通过Madgwick AHRS姿态估计与梯形积分，联动RGA 2D硬件加速引擎，在单次硬件操作中实现裁剪、缩放与偏移补偿的低延迟电子图像防抖（EIS），延迟&lt;5ms，10-200Hz平均抑制比78%。</w:t>
      </w:r>
    </w:p>
    <w:p>
      <w:pPr/>
      <w:pPr>
        <w:spacing w:line="360" w:lineRule="auto"/>
      </w:pPr>
      <w:r>
        <w:rPr>
          <w:sz w:val="24"/>
          <w:rFonts w:eastAsia="宋体" w:ascii="宋体" w:hAnsi="宋体"/>
        </w:rPr>
        <w:t w:space="preserve" xml:space="preserve">依托该高质量数据源，系统集成了YOLOv8 NPU推理（INT8量化，单帧27ms）与LiDAR-Camera外参融合的Alpha-Beta多目标跟踪器，通过两遍融合与四态管理，可在无围栏环境下实现工人的跨视角连续追踪（MOTA 82.7%）、风险区域识别与安全接管（告警&lt;100ms）。</w:t>
      </w:r>
    </w:p>
    <w:p>
      <w:pPr/>
      <w:pPr>
        <w:spacing w:line="360" w:lineRule="auto"/>
      </w:pPr>
      <w:r>
        <w:rPr>
          <w:sz w:val="24"/>
          <w:rFonts w:eastAsia="宋体" w:ascii="宋体" w:hAnsi="宋体"/>
        </w:rPr>
        <w:t w:space="preserve" xml:space="preserve">在数据记录层面，系统在内核块设备层实现了面向NVMe SSD裸块存储的环形黑匣子记录机制（dm-ringbox），通过bio扇区重映射实现循环覆盖式块级写入，消除传统文件系统元数据I/O抖动与写放大问题（WAF 1.0 vs ext4 2.1），写带宽208MB/s，99%尾部延迟仅0.48ms。</w:t>
      </w:r>
    </w:p>
    <w:p>
      <w:pPr/>
      <w:pPr>
        <w:spacing w:line="360" w:lineRule="auto"/>
      </w:pPr>
      <w:r>
        <w:rPr>
          <w:sz w:val="24"/>
          <w:rFonts w:eastAsia="宋体" w:ascii="宋体" w:hAnsi="宋体"/>
        </w:rPr>
        <w:t w:space="preserve" xml:space="preserve">系统基于MPP硬件编码实现RTSP推流（~55ms）与1080p/720p双分辨率MP4录像（1080p@8Mbps直录/720p@4Mbps RGA缩放），推流与录像双编码器独立可同时运行。系统提供Qt5触控HMI与Web远程控制双终端，通过REST API与WebSocket实现双向互控与状态实时同步。全链路DMA-BUF零拷贝架构充分挖掘RK3588异构算力。</w:t>
      </w:r>
    </w:p>
    <w:p>
      <w:r>
        <w:br w:type="page"/>
      </w:r>
    </w:p>
    <w:p>
      <w:pPr>
        <w:pStyle w:val="Heading1"/>
      </w:pPr>
      <w:r>
        <w:rPr>
          <w:b/>
          <w:sz w:val="36"/>
          <w:rFonts w:eastAsia="黑体" w:ascii="黑体" w:hAnsi="黑体"/>
        </w:rPr>
        <w:t w:space="preserve">第一部分  作品概述</w:t>
      </w:r>
    </w:p>
    <w:p>
      <w:pPr>
        <w:pStyle w:val="Heading2"/>
        <w:spacing w:before="200"/>
        <w:spacing w:after="80"/>
      </w:pPr>
      <w:r>
        <w:rPr>
          <w:b/>
          <w:sz w:val="28"/>
          <w:rFonts w:eastAsia="黑体" w:ascii="黑体" w:hAnsi="黑体"/>
        </w:rPr>
        <w:t w:space="preserve">1.1 功能与特性</w:t>
      </w:r>
    </w:p>
    <w:p>
      <w:pPr/>
      <w:pPr>
        <w:spacing w:line="360" w:lineRule="auto"/>
      </w:pPr>
      <w:r>
        <w:rPr>
          <w:sz w:val="24"/>
          <w:rFonts w:eastAsia="宋体" w:ascii="宋体" w:hAnsi="宋体"/>
        </w:rPr>
        <w:t w:space="preserve" xml:space="preserve">本终端面向无围栏工业人机协作场景，提供以下核心功能与特性：实时安全感知——通过YOLOv8 NPU推理（27ms/帧）与LiDAR点云融合，实现360°无死角的人员检测与定位，百毫秒级告警响应；电子图像防抖——基于ICM45686 IMU和RGA硬件加速，在10-200Hz震动范围内平均抑制78%的图像抖动，保障动态场景下视觉特征稳定提取；跨视角连续追踪——Alpha-Beta多目标跟踪器（MOTA 82.7%，ID-Switch 4次/10分钟）支持跨相机的人员身份保持；视频推流与录像——MPP硬件H.264编码，RTSP推流延迟55ms，支持OSD叠加（检测框+雷达点云），本地MP4录像支持1080p/720p双分辨率可切换（1080p@8Mbps直录/720p@4Mbps RGA缩放），推流与录像双编码器独立可同时运行互不干扰；环形黑匣子记录——基于dm-ringbox内核驱动，NVMe裸块环形写入208MB/s，写放大系数WAF=1.0，支持事件触发式数据回溯；双终端管控——嵌入式Qt5触控HMI + Web远程控制，Qt内嵌HTTP/WebSocket服务器，通过27+ REST API与WebSocket实时推送实现双向互控与状态实时同步。</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此处插入图片：系统功能特性概览图 ]</w:t>
      </w:r>
    </w:p>
    <w:p>
      <w:pPr/>
    </w:p>
    <w:p>
      <w:pPr>
        <w:pStyle w:val="Heading2"/>
        <w:spacing w:before="200"/>
        <w:spacing w:after="80"/>
      </w:pPr>
      <w:r>
        <w:rPr>
          <w:b/>
          <w:sz w:val="28"/>
          <w:rFonts w:eastAsia="黑体" w:ascii="黑体" w:hAnsi="黑体"/>
        </w:rPr>
        <w:t w:space="preserve">1.2 应用领域</w:t>
      </w:r>
    </w:p>
    <w:p>
      <w:pPr/>
      <w:pPr>
        <w:spacing w:line="360" w:lineRule="auto"/>
      </w:pPr>
      <w:r>
        <w:rPr>
          <w:sz w:val="24"/>
          <w:rFonts w:eastAsia="宋体" w:ascii="宋体" w:hAnsi="宋体"/>
        </w:rPr>
        <w:t w:space="preserve">第一，工业制造安全。在汽车焊接、冲压、总装等柔性制造产线中，本终端可部署于协作机器人工作站、AGV运行通道等关键位置。当检测到人员进入机器人操作半径或AGV行驶路径时，系统在百毫秒内触发设备减速或急停。LiDAR-Camera融合方案在金属粉尘、焊接弧光、油污等恶劣环境下仍保持稳定检测。</w:t>
      </w:r>
    </w:p>
    <w:p>
      <w:pPr/>
      <w:pPr>
        <w:spacing w:line="360" w:lineRule="auto"/>
      </w:pPr>
      <w:r>
        <w:rPr>
          <w:sz w:val="24"/>
          <w:rFonts w:eastAsia="宋体" w:ascii="宋体" w:hAnsi="宋体"/>
        </w:rPr>
        <w:t w:space="preserve">第二，仓储物流监控。在智能仓储和物流分拣中心，本终端可同时监控多台移动机器人与人员的动态位置关系，构建动态电子安全围栏。相比传统安全光幕，覆盖范围大、安装灵活、可随布局调整重新配置。</w:t>
      </w:r>
    </w:p>
    <w:p>
      <w:pPr/>
      <w:pPr>
        <w:spacing w:line="360" w:lineRule="auto"/>
      </w:pPr>
      <w:r>
        <w:rPr>
          <w:sz w:val="24"/>
          <w:rFonts w:eastAsia="宋体" w:ascii="宋体" w:hAnsi="宋体"/>
        </w:rPr>
        <w:t w:space="preserve">第三，人机协作优化。系统记录的连续多传感器数据（视频、雷达点云、IMU姿态）可用于事后分析人机交互模式、识别危险行为高频区域、量化安全裕度，为产线布局优化和操作规程改进提供数据支撑。</w:t>
      </w:r>
    </w:p>
    <w:p>
      <w:pPr/>
      <w:pPr>
        <w:spacing w:line="360" w:lineRule="auto"/>
      </w:pPr>
      <w:r>
        <w:rPr>
          <w:sz w:val="24"/>
          <w:rFonts w:eastAsia="宋体" w:ascii="宋体" w:hAnsi="宋体"/>
        </w:rPr>
        <w:t w:space="preserve">第四，事故调查与合规。黑匣子机制确保事故前关键时段（可配置，默认5秒）的完整数据被不可篡改地保存，满足《安全生产法》对安全数据记录的要求。</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此处插入图片：应用领域示意图（工业制造、仓储物流、人机协作三大场景） ]</w:t>
      </w:r>
    </w:p>
    <w:p>
      <w:pPr/>
    </w:p>
    <w:p>
      <w:pPr>
        <w:pStyle w:val="Heading2"/>
        <w:spacing w:before="200"/>
        <w:spacing w:after="80"/>
      </w:pPr>
      <w:r>
        <w:rPr>
          <w:b/>
          <w:sz w:val="28"/>
          <w:rFonts w:eastAsia="黑体" w:ascii="黑体" w:hAnsi="黑体"/>
        </w:rPr>
        <w:t w:space="preserve">1.3 主要技术特点</w:t>
      </w:r>
    </w:p>
    <w:p>
      <w:pPr/>
      <w:pPr>
        <w:spacing w:line="360" w:lineRule="auto"/>
      </w:pPr>
      <w:r>
        <w:rPr>
          <w:sz w:val="24"/>
          <w:rFonts w:eastAsia="宋体" w:ascii="宋体" w:hAnsi="宋体"/>
        </w:rPr>
        <w:t w:space="preserve">异构融合感知架构：本系统创新性地将2D视觉检测（YOLOv8 NPU）与3D LiDAR点云通过外参变换和内参投影进行像素级融合。两遍融合算法——第一遍执行外参变换（针对LiDAR 2D扫描特性优化为6乘3加的简化计算）、内参投影和检测框二值分类，第二遍通过排他前缀扫描和分散写入将分类结果整理为紧凑数组——实现高效的数据关联。相比纯视觉方案，融合方案在遮挡场景下目标身份保持率显著提升。</w:t>
      </w:r>
    </w:p>
    <w:p>
      <w:pPr/>
      <w:pPr>
        <w:spacing w:line="360" w:lineRule="auto"/>
      </w:pPr>
      <w:r>
        <w:rPr>
          <w:sz w:val="24"/>
          <w:rFonts w:eastAsia="宋体" w:ascii="宋体" w:hAnsi="宋体"/>
        </w:rPr>
        <w:t w:space="preserve">硬件加速电子防抖（EIS）：针对工业设备运行伴随的10-200Hz高频震动，系统从ICM45686六轴IMU获取100Hz姿态数据，通过Madgwick AHRS四元数估计和梯形积分将角运动转化为亚像素级偏移，经EMA低通滤波（α=0.4）平滑后，通过回调函数注入RGA硬件。RGA在单次裁剪缩放操作中同步完成偏移补偿，实现&lt;5ms的防抖处理延迟。</w:t>
      </w:r>
    </w:p>
    <w:p>
      <w:pPr/>
      <w:pPr>
        <w:spacing w:line="360" w:lineRule="auto"/>
      </w:pPr>
      <w:r>
        <w:rPr>
          <w:sz w:val="24"/>
          <w:rFonts w:eastAsia="宋体" w:ascii="宋体" w:hAnsi="宋体"/>
        </w:rPr>
        <w:t w:space="preserve">内核级环形黑匣子记录：在Linux Device Mapper框架下开发dm-ringbox驱动，在内核块设备层拦截bio请求，通过扇区重映射物理扇区=起始扇区+逻辑扇区%环容量实现裸块环形写入。该方案仅修改bio-&gt;bi_iter.bi_sector和bio-&gt;bi_bdev两个字段（零数据拷贝），在软中断上下文同步完成（事件驱动，CPU空闲时功耗为零），消除了传统文件系统频繁元数据更新导致的I/O抖动和写放大。</w:t>
      </w:r>
    </w:p>
    <w:p>
      <w:pPr/>
      <w:pPr>
        <w:spacing w:line="360" w:lineRule="auto"/>
      </w:pPr>
      <w:r>
        <w:rPr>
          <w:sz w:val="24"/>
          <w:rFonts w:eastAsia="宋体" w:ascii="宋体" w:hAnsi="宋体"/>
        </w:rPr>
        <w:t w:space="preserve">全链路DMA-BUF零拷贝架构：从V4L2相机采集、RGA格式转换与缩放、NPU推理到MPP硬件编码，图像数据全程通过DMA-BUF文件描述符在硬件加速器之间传递，应用层不执行CPU像素搬运。各硬件加速器通过DMA直接访问同一物理内存，最大化利用RK3588异构算力（6 TOPS NPU + Mali-G610 GPU + RGA 2D引擎）。</w:t>
      </w:r>
    </w:p>
    <w:p>
      <w:pPr/>
      <w:pPr>
        <w:spacing w:line="360" w:lineRule="auto"/>
      </w:pPr>
      <w:r>
        <w:rPr>
          <w:sz w:val="24"/>
          <w:rFonts w:eastAsia="宋体" w:ascii="宋体" w:hAnsi="宋体"/>
        </w:rPr>
        <w:t w:space="preserve" xml:space="preserve">双分辨率录像与双编码器架构：系统基于RK3588 MPP硬件H.264编码器，实现RTSP推流与本地MP4录像的双编码器独立架构。录像支持1080p（1920×1080@8Mbps）与720p（1280×720@4Mbps）双分辨率动态切换，1080p录像不经缩放直接编码以确保最高画质，720p录像复用推流链路的RGA缩放结果以节省硬件资源，双编码器独立PTS基线、独立生命周期管理，推流与录像可同时运行互不干扰。</w:t>
      </w:r>
    </w:p>
    <w:p>
      <w:pPr/>
      <w:pPr>
        <w:spacing w:line="360" w:lineRule="auto"/>
      </w:pPr>
      <w:r>
        <w:rPr>
          <w:sz w:val="24"/>
          <w:rFonts w:eastAsia="宋体" w:ascii="宋体" w:hAnsi="宋体"/>
        </w:rPr>
        <w:t w:space="preserve" xml:space="preserve">双终端互控架构：系统提供嵌入式Qt5触控HMI（SentinelQT）与Web远程控制SPA（WebControl）两套界面，共用同一后端11组件软件栈。Qt进程内嵌基于cpp-httplib的HTTP/WebSocket服务器，Web端控制指令经QMetaObject::invokeMethod（BlockingQueuedConnection）跨线程同步派发至Qt GUI主线程执行并返回结果；Qt端状态变更通过消息队列以WebSocket实时广播至所有连接客户端，确保双终端操作状态实时同步、双向互控无缝切换。</w:t>
      </w:r>
    </w:p>
    <w:p>
      <w:pPr>
        <w:pStyle w:val="Heading2"/>
        <w:spacing w:before="200"/>
        <w:spacing w:after="80"/>
      </w:pPr>
      <w:r>
        <w:rPr>
          <w:b/>
          <w:sz w:val="28"/>
          <w:rFonts w:eastAsia="黑体" w:ascii="黑体" w:hAnsi="黑体"/>
        </w:rPr>
        <w:t w:space="preserve">1.4 主要性能指标</w:t>
      </w:r>
    </w:p>
    <w:tbl>
      <w:tblPr>
        <w:tblW w:w="5000" w:type="pct"/>
        <w:tblBorders/>
        <w:tblLook>
          <w:val w:val="04A0"/>
        </w:tblLook>
      </w:tblPr>
      <w:tr>
        <w:tc>
          <w:tcPr>
            <w:tcW w:w="1666" w:type="pct"/>
            <w:shd w:val="clear" w:fill="D9E2F3"/>
          </w:tcPr>
          <w:p>
            <w:r>
              <w:rPr>
                <w:b/>
                <w:sz w:val="20"/>
                <w:rFonts w:eastAsia="宋体" w:ascii="宋体" w:hAnsi="宋体"/>
              </w:rPr>
              <w:t w:space="preserve">指标类别</w:t>
            </w:r>
          </w:p>
        </w:tc>
        <w:tc>
          <w:tcPr>
            <w:tcW w:w="1666" w:type="pct"/>
            <w:shd w:val="clear" w:fill="D9E2F3"/>
          </w:tcPr>
          <w:p>
            <w:r>
              <w:rPr>
                <w:b/>
                <w:sz w:val="20"/>
                <w:rFonts w:eastAsia="宋体" w:ascii="宋体" w:hAnsi="宋体"/>
              </w:rPr>
              <w:t w:space="preserve">技术参数</w:t>
            </w:r>
          </w:p>
        </w:tc>
        <w:tc>
          <w:tcPr>
            <w:tcW w:w="1666" w:type="pct"/>
            <w:shd w:val="clear" w:fill="D9E2F3"/>
          </w:tcPr>
          <w:p>
            <w:r>
              <w:rPr>
                <w:b/>
                <w:sz w:val="20"/>
                <w:rFonts w:eastAsia="宋体" w:ascii="宋体" w:hAnsi="宋体"/>
              </w:rPr>
              <w:t w:space="preserve">指标数值</w:t>
            </w:r>
          </w:p>
        </w:tc>
      </w:tr>
      <w:tr>
        <w:tc>
          <w:tcPr>
            <w:tcW w:w="1666" w:type="pct"/>
          </w:tcPr>
          <w:p>
            <w:r>
              <w:rPr>
                <w:sz w:val="20"/>
                <w:rFonts w:eastAsia="宋体" w:ascii="宋体" w:hAnsi="宋体"/>
              </w:rPr>
              <w:t w:space="preserve">处理器与AI算力</w:t>
            </w:r>
          </w:p>
        </w:tc>
        <w:tc>
          <w:tcPr>
            <w:tcW w:w="1666" w:type="pct"/>
          </w:tcPr>
          <w:p>
            <w:r>
              <w:rPr>
                <w:sz w:val="20"/>
                <w:rFonts w:eastAsia="宋体" w:ascii="宋体" w:hAnsi="宋体"/>
              </w:rPr>
              <w:t w:space="preserve">RK3588 (4×A76+4×A55), NPU INT8</w:t>
            </w:r>
          </w:p>
        </w:tc>
        <w:tc>
          <w:tcPr>
            <w:tcW w:w="1666" w:type="pct"/>
          </w:tcPr>
          <w:p>
            <w:r>
              <w:rPr>
                <w:sz w:val="20"/>
                <w:rFonts w:eastAsia="宋体" w:ascii="宋体" w:hAnsi="宋体"/>
              </w:rPr>
              <w:t w:space="preserve">6 TOPS</w:t>
            </w:r>
          </w:p>
        </w:tc>
      </w:tr>
      <w:tr>
        <w:tc>
          <w:tcPr>
            <w:tcW w:w="1666" w:type="pct"/>
          </w:tcPr>
          <w:p>
            <w:r>
              <w:rPr>
                <w:sz w:val="20"/>
                <w:rFonts w:eastAsia="宋体" w:ascii="宋体" w:hAnsi="宋体"/>
              </w:rPr>
              <w:t w:space="preserve">前视摄像头</w:t>
            </w:r>
          </w:p>
        </w:tc>
        <w:tc>
          <w:tcPr>
            <w:tcW w:w="1666" w:type="pct"/>
          </w:tcPr>
          <w:p>
            <w:r>
              <w:rPr>
                <w:sz w:val="20"/>
                <w:rFonts w:eastAsia="宋体" w:ascii="宋体" w:hAnsi="宋体"/>
              </w:rPr>
              <w:t w:space="preserve">MIPI-CSI ISP, OV13855</w:t>
            </w:r>
          </w:p>
        </w:tc>
        <w:tc>
          <w:tcPr>
            <w:tcW w:w="1666" w:type="pct"/>
          </w:tcPr>
          <w:p>
            <w:r>
              <w:rPr>
                <w:sz w:val="20"/>
                <w:rFonts w:eastAsia="宋体" w:ascii="宋体" w:hAnsi="宋体"/>
              </w:rPr>
              <w:t w:space="preserve">1920×1080@30fps, NV12</w:t>
            </w:r>
          </w:p>
        </w:tc>
      </w:tr>
      <w:tr>
        <w:tc>
          <w:tcPr>
            <w:tcW w:w="1666" w:type="pct"/>
          </w:tcPr>
          <w:p>
            <w:r>
              <w:rPr>
                <w:sz w:val="20"/>
                <w:rFonts w:eastAsia="宋体" w:ascii="宋体" w:hAnsi="宋体"/>
              </w:rPr>
              <w:t w:space="preserve">后视摄像头</w:t>
            </w:r>
          </w:p>
        </w:tc>
        <w:tc>
          <w:tcPr>
            <w:tcW w:w="1666" w:type="pct"/>
          </w:tcPr>
          <w:p>
            <w:r>
              <w:rPr>
                <w:sz w:val="20"/>
                <w:rFonts w:eastAsia="宋体" w:ascii="宋体" w:hAnsi="宋体"/>
              </w:rPr>
              <w:t w:space="preserve">USB UVC</w:t>
            </w:r>
          </w:p>
        </w:tc>
        <w:tc>
          <w:tcPr>
            <w:tcW w:w="1666" w:type="pct"/>
          </w:tcPr>
          <w:p>
            <w:r>
              <w:rPr>
                <w:sz w:val="20"/>
                <w:rFonts w:eastAsia="宋体" w:ascii="宋体" w:hAnsi="宋体"/>
              </w:rPr>
              <w:t w:space="preserve">1280×720@30fps, NV12/YUYV</w:t>
            </w:r>
          </w:p>
        </w:tc>
      </w:tr>
      <w:tr>
        <w:tc>
          <w:tcPr>
            <w:tcW w:w="1666" w:type="pct"/>
          </w:tcPr>
          <w:p>
            <w:r>
              <w:rPr>
                <w:sz w:val="20"/>
                <w:rFonts w:eastAsia="宋体" w:ascii="宋体" w:hAnsi="宋体"/>
              </w:rPr>
              <w:t w:space="preserve">激光雷达</w:t>
            </w:r>
          </w:p>
        </w:tc>
        <w:tc>
          <w:tcPr>
            <w:tcW w:w="1666" w:type="pct"/>
          </w:tcPr>
          <w:p>
            <w:r>
              <w:rPr>
                <w:sz w:val="20"/>
                <w:rFonts w:eastAsia="宋体" w:ascii="宋体" w:hAnsi="宋体"/>
              </w:rPr>
              <w:t w:space="preserve">镭神N10Plus 单线TOF</w:t>
            </w:r>
          </w:p>
        </w:tc>
        <w:tc>
          <w:tcPr>
            <w:tcW w:w="1666" w:type="pct"/>
          </w:tcPr>
          <w:p>
            <w:r>
              <w:rPr>
                <w:sz w:val="20"/>
                <w:rFonts w:eastAsia="宋体" w:ascii="宋体" w:hAnsi="宋体"/>
              </w:rPr>
              <w:t w:space="preserve">10Hz, 540点/圈, 0.15-50m</w:t>
            </w:r>
          </w:p>
        </w:tc>
      </w:tr>
      <w:tr>
        <w:tc>
          <w:tcPr>
            <w:tcW w:w="1666" w:type="pct"/>
          </w:tcPr>
          <w:p>
            <w:r>
              <w:rPr>
                <w:sz w:val="20"/>
                <w:rFonts w:eastAsia="宋体" w:ascii="宋体" w:hAnsi="宋体"/>
              </w:rPr>
              <w:t w:space="preserve">IMU</w:t>
            </w:r>
          </w:p>
        </w:tc>
        <w:tc>
          <w:tcPr>
            <w:tcW w:w="1666" w:type="pct"/>
          </w:tcPr>
          <w:p>
            <w:r>
              <w:rPr>
                <w:sz w:val="20"/>
                <w:rFonts w:eastAsia="宋体" w:ascii="宋体" w:hAnsi="宋体"/>
              </w:rPr>
              <w:t w:space="preserve">TDK ICM45686 6轴MEMS</w:t>
            </w:r>
          </w:p>
        </w:tc>
        <w:tc>
          <w:tcPr>
            <w:tcW w:w="1666" w:type="pct"/>
          </w:tcPr>
          <w:p>
            <w:r>
              <w:rPr>
                <w:sz w:val="20"/>
                <w:rFonts w:eastAsia="宋体" w:ascii="宋体" w:hAnsi="宋体"/>
              </w:rPr>
              <w:t w:space="preserve">SPI 100Hz, ±2G/±250dps</w:t>
            </w:r>
          </w:p>
        </w:tc>
      </w:tr>
      <w:tr>
        <w:tc>
          <w:tcPr>
            <w:tcW w:w="1666" w:type="pct"/>
          </w:tcPr>
          <w:p>
            <w:r>
              <w:rPr>
                <w:sz w:val="20"/>
                <w:rFonts w:eastAsia="宋体" w:ascii="宋体" w:hAnsi="宋体"/>
              </w:rPr>
              <w:t w:space="preserve">EIS防抖</w:t>
            </w:r>
          </w:p>
        </w:tc>
        <w:tc>
          <w:tcPr>
            <w:tcW w:w="1666" w:type="pct"/>
          </w:tcPr>
          <w:p>
            <w:r>
              <w:rPr>
                <w:sz w:val="20"/>
                <w:rFonts w:eastAsia="宋体" w:ascii="宋体" w:hAnsi="宋体"/>
              </w:rPr>
              <w:t w:space="preserve">IMU→RGA硬件校正</w:t>
            </w:r>
          </w:p>
        </w:tc>
        <w:tc>
          <w:tcPr>
            <w:tcW w:w="1666" w:type="pct"/>
          </w:tcPr>
          <w:p>
            <w:r>
              <w:rPr>
                <w:sz w:val="20"/>
                <w:rFonts w:eastAsia="宋体" w:ascii="宋体" w:hAnsi="宋体"/>
              </w:rPr>
              <w:t w:space="preserve">延迟&lt;5ms, 抑制比78%</w:t>
            </w:r>
          </w:p>
        </w:tc>
      </w:tr>
      <w:tr>
        <w:tc>
          <w:tcPr>
            <w:tcW w:w="1666" w:type="pct"/>
          </w:tcPr>
          <w:p>
            <w:r>
              <w:rPr>
                <w:sz w:val="20"/>
                <w:rFonts w:eastAsia="宋体" w:ascii="宋体" w:hAnsi="宋体"/>
              </w:rPr>
              <w:t w:space="preserve">目标检测</w:t>
            </w:r>
          </w:p>
        </w:tc>
        <w:tc>
          <w:tcPr>
            <w:tcW w:w="1666" w:type="pct"/>
          </w:tcPr>
          <w:p>
            <w:r>
              <w:rPr>
                <w:sz w:val="20"/>
                <w:rFonts w:eastAsia="宋体" w:ascii="宋体" w:hAnsi="宋体"/>
              </w:rPr>
              <w:t w:space="preserve">YOLOv8n INT8 NPU</w:t>
            </w:r>
          </w:p>
        </w:tc>
        <w:tc>
          <w:tcPr>
            <w:tcW w:w="1666" w:type="pct"/>
          </w:tcPr>
          <w:p>
            <w:r>
              <w:rPr>
                <w:sz w:val="20"/>
                <w:rFonts w:eastAsia="宋体" w:ascii="宋体" w:hAnsi="宋体"/>
              </w:rPr>
              <w:t w:space="preserve">27ms/帧, mAP@0.5=0.453</w:t>
            </w:r>
          </w:p>
        </w:tc>
      </w:tr>
      <w:tr>
        <w:tc>
          <w:tcPr>
            <w:tcW w:w="1666" w:type="pct"/>
          </w:tcPr>
          <w:p>
            <w:r>
              <w:rPr>
                <w:sz w:val="20"/>
                <w:rFonts w:eastAsia="宋体" w:ascii="宋体" w:hAnsi="宋体"/>
              </w:rPr>
              <w:t w:space="preserve">多目标跟踪</w:t>
            </w:r>
          </w:p>
        </w:tc>
        <w:tc>
          <w:tcPr>
            <w:tcW w:w="1666" w:type="pct"/>
          </w:tcPr>
          <w:p>
            <w:r>
              <w:rPr>
                <w:sz w:val="20"/>
                <w:rFonts w:eastAsia="宋体" w:ascii="宋体" w:hAnsi="宋体"/>
              </w:rPr>
              <w:t w:space="preserve">Alpha-Beta融合跟踪</w:t>
            </w:r>
          </w:p>
        </w:tc>
        <w:tc>
          <w:tcPr>
            <w:tcW w:w="1666" w:type="pct"/>
          </w:tcPr>
          <w:p>
            <w:r>
              <w:rPr>
                <w:sz w:val="20"/>
                <w:rFonts w:eastAsia="宋体" w:ascii="宋体" w:hAnsi="宋体"/>
              </w:rPr>
              <w:t w:space="preserve">MOTA 82.7%, ID-Switch 4次/10min</w:t>
            </w:r>
          </w:p>
        </w:tc>
      </w:tr>
      <w:tr>
        <w:tc>
          <w:tcPr>
            <w:tcW w:w="1666" w:type="pct"/>
          </w:tcPr>
          <w:p>
            <w:r>
              <w:rPr>
                <w:sz w:val="20"/>
                <w:rFonts w:eastAsia="宋体" w:ascii="宋体" w:hAnsi="宋体"/>
              </w:rPr>
              <w:t w:space="preserve">视频推流</w:t>
            </w:r>
          </w:p>
        </w:tc>
        <w:tc>
          <w:tcPr>
            <w:tcW w:w="1666" w:type="pct"/>
          </w:tcPr>
          <w:p>
            <w:r>
              <w:rPr>
                <w:sz w:val="20"/>
                <w:rFonts w:eastAsia="宋体" w:ascii="宋体" w:hAnsi="宋体"/>
              </w:rPr>
              <w:t w:space="preserve">MPP H.264 RTSP</w:t>
            </w:r>
          </w:p>
        </w:tc>
        <w:tc>
          <w:tcPr>
            <w:tcW w:w="1666" w:type="pct"/>
          </w:tcPr>
          <w:p>
            <w:r>
              <w:rPr>
                <w:sz w:val="20"/>
                <w:rFonts w:eastAsia="宋体" w:ascii="宋体" w:hAnsi="宋体"/>
              </w:rPr>
              <w:t w:space="preserve">端到端延迟55ms (有线)</w:t>
            </w:r>
          </w:p>
        </w:tc>
      </w:tr>
      <w:tr>
        <w:tc>
          <w:tcPr>
            <w:tcW w:w="1666" w:type="pct"/>
          </w:tcPr>
          <w:p>
            <w:r>
              <w:rPr>
                <w:sz w:val="20"/>
                <w:rFonts w:eastAsia="宋体" w:ascii="宋体" w:hAnsi="宋体"/>
              </w:rPr>
              <w:t w:space="preserve">存储性能</w:t>
            </w:r>
          </w:p>
        </w:tc>
        <w:tc>
          <w:tcPr>
            <w:tcW w:w="1666" w:type="pct"/>
          </w:tcPr>
          <w:p>
            <w:r>
              <w:rPr>
                <w:sz w:val="20"/>
                <w:rFonts w:eastAsia="宋体" w:ascii="宋体" w:hAnsi="宋体"/>
              </w:rPr>
              <w:t w:space="preserve">dm-ringbox NVMe O_DIRECT</w:t>
            </w:r>
          </w:p>
        </w:tc>
        <w:tc>
          <w:tcPr>
            <w:tcW w:w="1666" w:type="pct"/>
          </w:tcPr>
          <w:p>
            <w:r>
              <w:rPr>
                <w:sz w:val="20"/>
                <w:rFonts w:eastAsia="宋体" w:ascii="宋体" w:hAnsi="宋体"/>
              </w:rPr>
              <w:t w:space="preserve">208MB/s, WAF=1.0</w:t>
            </w:r>
          </w:p>
        </w:tc>
      </w:tr>
      <w:tr>
        <w:tc>
          <w:tcPr>
            <w:tcW w:w="1666" w:type="pct"/>
          </w:tcPr>
          <w:p>
            <w:r>
              <w:rPr>
                <w:sz w:val="20"/>
                <w:rFonts w:eastAsia="宋体" w:ascii="宋体" w:hAnsi="宋体"/>
              </w:rPr>
              <w:t w:space="preserve">功耗与尺寸</w:t>
            </w:r>
          </w:p>
        </w:tc>
        <w:tc>
          <w:tcPr>
            <w:tcW w:w="1666" w:type="pct"/>
          </w:tcPr>
          <w:p>
            <w:r>
              <w:rPr>
                <w:sz w:val="20"/>
                <w:rFonts w:eastAsia="宋体" w:ascii="宋体" w:hAnsi="宋体"/>
              </w:rPr>
              <w:t w:space="preserve">DC 12V/5A, 3D打印壳体</w:t>
            </w:r>
          </w:p>
        </w:tc>
        <w:tc>
          <w:tcPr>
            <w:tcW w:w="1666" w:type="pct"/>
          </w:tcPr>
          <w:p>
            <w:r>
              <w:rPr>
                <w:sz w:val="20"/>
                <w:rFonts w:eastAsia="宋体" w:ascii="宋体" w:hAnsi="宋体"/>
              </w:rPr>
              <w:t w:space="preserve">&lt;30W, 约250×180×120mm</w:t>
            </w:r>
          </w:p>
        </w:tc>
      </w:tr>
    </w:tbl>
    <w:p>
      <w:pPr/>
    </w:p>
    <w:p>
      <w:pPr>
        <w:pStyle w:val="Heading2"/>
        <w:spacing w:before="200"/>
        <w:spacing w:after="80"/>
      </w:pPr>
      <w:r>
        <w:rPr>
          <w:b/>
          <w:sz w:val="28"/>
          <w:rFonts w:eastAsia="黑体" w:ascii="黑体" w:hAnsi="黑体"/>
        </w:rPr>
        <w:t w:space="preserve">1.5 主要创新点</w:t>
      </w:r>
    </w:p>
    <w:p>
      <w:pPr>
        <w:ind w:left="480"/>
      </w:pPr>
      <w:r>
        <w:rPr>
          <w:sz w:val="24"/>
          <w:rFonts w:eastAsia="宋体" w:ascii="宋体" w:hAnsi="宋体"/>
        </w:rPr>
        <w:t w:space="preserve">• 3D打印一体化All-in-One结构：SolidWorks四部件模块化设计（底板/机体/顶盖/摄像头固定件），集成双路摄像头、激光雷达、IMU、RK3588核心板、NVMe SSD于单一壳体，设计经V1.0至V1.2三次迭代。</w:t>
      </w:r>
    </w:p>
    <w:p>
      <w:pPr>
        <w:ind w:left="480"/>
      </w:pPr>
      <w:r>
        <w:rPr>
          <w:sz w:val="24"/>
          <w:rFonts w:eastAsia="宋体" w:ascii="宋体" w:hAnsi="宋体"/>
        </w:rPr>
        <w:t w:space="preserve">• IMU驱动的硬件加速EIS：Madgwick AHRS姿态估计+梯形积分角位移计算+RGA单次硬件裁剪缩放校正，防抖延迟&lt;5ms，10-200Hz震动抑制比78%。</w:t>
      </w:r>
    </w:p>
    <w:p>
      <w:pPr>
        <w:ind w:left="480"/>
      </w:pPr>
      <w:r>
        <w:rPr>
          <w:sz w:val="24"/>
          <w:rFonts w:eastAsia="宋体" w:ascii="宋体" w:hAnsi="宋体"/>
        </w:rPr>
        <w:t w:space="preserve">• LiDAR-Camera异构融合跟踪：两遍融合算法（变换→投影→分类→整理）+Alpha-Beta多目标跟踪器（四态生命周期+迟滞告警），解决遮挡下身份保持问题。</w:t>
      </w:r>
    </w:p>
    <w:p>
      <w:pPr>
        <w:ind w:left="480"/>
      </w:pPr>
      <w:r>
        <w:rPr>
          <w:sz w:val="24"/>
          <w:rFonts w:eastAsia="宋体" w:ascii="宋体" w:hAnsi="宋体"/>
        </w:rPr>
        <w:t w:space="preserve">• 内核级环形黑匣子：dm-ringbox DM target通过bio扇区重映射实现裸块环形写入，零元数据开销，WAF=1.0，写带宽208MB/s，尾部延迟0.48ms。</w:t>
      </w:r>
    </w:p>
    <w:p>
      <w:pPr>
        <w:ind w:left="480"/>
      </w:pPr>
      <w:r>
        <w:rPr>
          <w:sz w:val="24"/>
          <w:rFonts w:eastAsia="宋体" w:ascii="宋体" w:hAnsi="宋体"/>
        </w:rPr>
        <w:t w:space="preserve">• DMA-BUF零拷贝全链路：V4L2→RGA→NPU→MPP硬件加速器间通过DMA-BUF fd传递图像数据，CPU零像素搬运，充分释放RK3588异构算力。</w:t>
      </w:r>
    </w:p>
    <w:p>
      <w:pPr>
        <w:pStyle w:val="Heading2"/>
        <w:spacing w:before="200"/>
        <w:spacing w:after="80"/>
      </w:pPr>
      <w:r>
        <w:rPr>
          <w:b/>
          <w:sz w:val="28"/>
          <w:rFonts w:eastAsia="黑体" w:ascii="黑体" w:hAnsi="黑体"/>
        </w:rPr>
        <w:t w:space="preserve">1.6 设计流程</w:t>
      </w:r>
    </w:p>
    <w:p>
      <w:pPr/>
      <w:pPr>
        <w:spacing w:line="360" w:lineRule="auto"/>
      </w:pPr>
      <w:r>
        <w:rPr>
          <w:sz w:val="24"/>
          <w:rFonts w:eastAsia="宋体" w:ascii="宋体" w:hAnsi="宋体"/>
        </w:rPr>
        <w:t w:space="preserve">项目遵循需求分析→系统设计→模块开发→集成调试→测试验证的V-Model开发流程。需求分析阶段调研了工业安全法规（IEC 61508、ISO 13849）和典型HRC场景需求；系统设计阶段完成了硬件选型、3D打印结构设计（SolidWorks建模，三次迭代）、软件架构设计（七层架构，11组件划分）和接口定义；模块开发阶段按照依赖顺序（dma-buffer-pool→Visioner/Lslidarer→YoloInfer/Fusion→Streamer→EIS→NVMe→QT）依次开发和单元测试；集成调试阶段完成了交叉编译、板端部署、传感器标定（相机内参+LiDAR-Camera外参）和全链路联调；测试验证阶段通过振动台、标准数据集和现场测试全面评估了各项性能指标。</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此处插入图片：项目设计流程图（V-Model） ]</w:t>
      </w:r>
    </w:p>
    <w:p>
      <w:pPr/>
    </w:p>
    <w:p>
      <w:r>
        <w:br w:type="page"/>
      </w:r>
    </w:p>
    <w:p>
      <w:pPr>
        <w:pStyle w:val="Heading1"/>
      </w:pPr>
      <w:r>
        <w:rPr>
          <w:b/>
          <w:sz w:val="36"/>
          <w:rFonts w:eastAsia="黑体" w:ascii="黑体" w:hAnsi="黑体"/>
        </w:rPr>
        <w:t w:space="preserve">第二部分  系统组成及功能说明</w:t>
      </w:r>
    </w:p>
    <w:p>
      <w:pPr/>
      <w:r>
        <w:rPr>
          <w:sz w:val="24"/>
          <w:rFonts w:eastAsia="宋体" w:ascii="宋体" w:hAnsi="宋体"/>
          <w:color w:val="808080"/>
        </w:rPr>
        <w:t w:space="preserve">（图文结合）</w:t>
      </w:r>
    </w:p>
    <w:p>
      <w:pPr>
        <w:pStyle w:val="Heading2"/>
        <w:spacing w:before="200"/>
        <w:spacing w:after="80"/>
      </w:pPr>
      <w:r>
        <w:rPr>
          <w:b/>
          <w:sz w:val="28"/>
          <w:rFonts w:eastAsia="黑体" w:ascii="黑体" w:hAnsi="黑体"/>
        </w:rPr>
        <w:t w:space="preserve">2.1 整体介绍</w:t>
      </w:r>
    </w:p>
    <w:p>
      <w:pPr/>
      <w:pPr>
        <w:spacing w:line="360" w:lineRule="auto"/>
      </w:pPr>
      <w:r>
        <w:rPr>
          <w:sz w:val="24"/>
          <w:rFonts w:eastAsia="宋体" w:ascii="宋体" w:hAnsi="宋体"/>
        </w:rPr>
        <w:t w:space="preserve">RK3588-Omni-Sentinel系统采用七层架构设计，自底向上为：硬件层（RK3588 SoC + 双路摄像头 + LiDAR + IMU + NVMe SSD + DSI触屏）→ 驱动层（dm-ringbox.ko、icm45686_spi.ko/inv_imu_driver.ko、OV5647/OV13855 DTS）→ 基础设施层（DmaBufferPool DMA内存池、3rdparty RGA/MPP/FFmpeg/RKNN库、NVMeDataManager）→ 感知层（SentinelVisioner视觉采集、SentinelLslidarer雷达驱动、SentinelYoloInfer NPU推理、icm45686-eis-app IMU防抖）→ 融合层（LidarCameraFusion LiDAR-Camera融合跟踪）→ 流媒体层（SentinelStreamer RTSP推流+MP4录像+OSD叠加）→ 交互层（SentinelQT嵌入式触控HMI、WebControl Web远程控制）。各层之间通过明确的公共头文件、运行时API和回调接口解耦，支持模块的独立编译、独立测试和渐进式部署。</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此处插入图片：系统总体架构框图（七层架构：标注各子模块及模块间数据流关系） ]</w:t>
      </w:r>
    </w:p>
    <w:p>
      <w:pPr/>
    </w:p>
    <w:p>
      <w:pPr>
        <w:pStyle w:val="Heading2"/>
        <w:spacing w:before="200"/>
        <w:spacing w:after="80"/>
      </w:pPr>
      <w:r>
        <w:rPr>
          <w:b/>
          <w:sz w:val="28"/>
          <w:rFonts w:eastAsia="黑体" w:ascii="黑体" w:hAnsi="黑体"/>
        </w:rPr>
        <w:t w:space="preserve">2.2 硬件系统介绍</w:t>
      </w:r>
    </w:p>
    <w:p>
      <w:pPr>
        <w:pStyle w:val="Heading3"/>
        <w:spacing w:before="120"/>
        <w:spacing w:after="60"/>
      </w:pPr>
      <w:r>
        <w:rPr>
          <w:b/>
          <w:sz w:val="26"/>
          <w:rFonts w:eastAsia="黑体" w:ascii="黑体" w:hAnsi="黑体"/>
        </w:rPr>
        <w:t w:space="preserve">2.2.1 硬件整体介绍</w:t>
      </w:r>
    </w:p>
    <w:p>
      <w:pPr/>
      <w:pPr>
        <w:spacing w:line="360" w:lineRule="auto"/>
      </w:pPr>
      <w:r>
        <w:rPr>
          <w:sz w:val="24"/>
          <w:rFonts w:eastAsia="宋体" w:ascii="宋体" w:hAnsi="宋体"/>
        </w:rPr>
        <w:t w:space="preserve">系统硬件以Rockchip RK3588为核心计算平台（4×Cortex-A76@2.4GHz + 4×Cortex-A55@1.8GHz，内置6 TOPS INT8 NPU、Mali-G610 GPU和RGA 2D硬件加速引擎），外围集成以下传感器与执行模块：前视OV13855 MIPI-CSI摄像头（13MP，4-lane，1080p@30fps，NV12输出，经RK3588 ISP处理）；后视USB UVC摄像头（1MP，720p@30fps，支持NV12/YUYV/MJPG格式自适应）；镭神N10Plus单线TOF激光雷达（UART 460800bps，10Hz，0.67°角分辨率，50m最大量程）；TDK ICM45686六轴MEMS IMU（SPI MODE3，100Hz输出速率）；256GB NVMe SSD（PCIe3.0×4，M.2 2280）；7寸DSI电容触控屏（1024×600）；DC 12V/5A供电，DC-DC转换提供5V/3.3V/1.8V电压轨。所有传感器通过标准数字接口与RK3588连接，无模拟信号链路，系统总功耗&lt;30W。</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此处插入图片：硬件系统整体框图（标注各传感器接口类型和供电拓扑） ]</w:t>
      </w:r>
    </w:p>
    <w:p>
      <w:pPr/>
    </w:p>
    <w:p>
      <w:pPr>
        <w:pStyle w:val="Heading3"/>
        <w:spacing w:before="120"/>
        <w:spacing w:after="60"/>
      </w:pPr>
      <w:r>
        <w:rPr>
          <w:b/>
          <w:sz w:val="26"/>
          <w:rFonts w:eastAsia="黑体" w:ascii="黑体" w:hAnsi="黑体"/>
        </w:rPr>
        <w:t w:space="preserve">2.2.2 机械设计介绍</w:t>
      </w:r>
    </w:p>
    <w:p>
      <w:pPr/>
      <w:pPr>
        <w:spacing w:line="360" w:lineRule="auto"/>
      </w:pPr>
      <w:r>
        <w:rPr>
          <w:sz w:val="24"/>
          <w:rFonts w:eastAsia="宋体" w:ascii="宋体" w:hAnsi="宋体"/>
        </w:rPr>
        <w:t w:space="preserve">终端采用SolidWorks 2022进行参数化建模。整体结构由四个主要部件组成，通过FDM 3D打印（PLA+材料，层厚0.2mm，填充率20%）制造验证。整体外形尺寸约250×180×120mm，重量约800g（含所有电子元器件）。设计充分考虑传感器视场角（FOV）不被遮挡、自然对流散热风道、线缆内部走线以及壁挂/台面双模式安装等工程约束。装配体文件为装配体.SLDASM（743KB），设计经V1.0→V1.1→V1.2三次迭代。</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此处插入图片：3D打印整体装配图 ]</w:t>
      </w:r>
    </w:p>
    <w:p>
      <w:pPr/>
    </w:p>
    <w:p>
      <w:pPr/>
      <w:pPr>
        <w:spacing w:line="360" w:lineRule="auto"/>
      </w:pPr>
      <w:r>
        <w:rPr>
          <w:sz w:val="24"/>
          <w:rFonts w:eastAsia="宋体" w:ascii="宋体" w:hAnsi="宋体"/>
        </w:rPr>
        <w:t w:space="preserve">底板（底板.SLDPRT，167KB）：承载RK3588核心板和NVMe SSD，设计蜂窝状散热孔阵列实现被动散热，四角M4安装通孔支持壁挂和台面安装，底部预留12V电源输入孔和UART调试接口窗口。</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此处插入图片：底板CAD设计图 ]</w:t>
      </w:r>
    </w:p>
    <w:p>
      <w:pPr/>
    </w:p>
    <w:p>
      <w:pPr/>
      <w:pPr>
        <w:spacing w:line="360" w:lineRule="auto"/>
      </w:pPr>
      <w:r>
        <w:rPr>
          <w:sz w:val="24"/>
          <w:rFonts w:eastAsia="宋体" w:ascii="宋体" w:hAnsi="宋体"/>
        </w:rPr>
        <w:t w:space="preserve">机体（机体.SLDPRT，1.1MB）：主体结构件，集成前后摄像头安装座、LiDAR顶部安装平台和IMU侧壁安装槽，内部设计电源线/信号线/天线馈线分离的线缆管理通道以降低电磁干扰，前部进气格栅与顶盖出气槽形成对流散热风道。</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此处插入图片：机体CAD设计图 ]</w:t>
      </w:r>
    </w:p>
    <w:p>
      <w:pPr/>
    </w:p>
    <w:p>
      <w:pPr/>
      <w:pPr>
        <w:spacing w:line="360" w:lineRule="auto"/>
      </w:pPr>
      <w:r>
        <w:rPr>
          <w:sz w:val="24"/>
          <w:rFonts w:eastAsia="宋体" w:ascii="宋体" w:hAnsi="宋体"/>
        </w:rPr>
        <w:t w:space="preserve">顶盖（顶盖.SLDPRT，178KB）：集成7寸DSI屏幕安装框架（安装孔距180×120mm，PCB空间190×130×1.6mm），LED指示灯孔（7×2.5mm），屏幕有效显示区域163.8×97mm。</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此处插入图片：顶盖CAD设计图 ]</w:t>
      </w:r>
    </w:p>
    <w:p>
      <w:pPr/>
    </w:p>
    <w:p>
      <w:pPr/>
      <w:pPr>
        <w:spacing w:line="360" w:lineRule="auto"/>
      </w:pPr>
      <w:r>
        <w:rPr>
          <w:sz w:val="24"/>
          <w:rFonts w:eastAsia="宋体" w:ascii="宋体" w:hAnsi="宋体"/>
        </w:rPr>
        <w:t w:space="preserve">摄像头固定件（OV13855固定件.SLDPRT，77KB）：OV13855专用支架，尺寸适配8.5×8.5×5mm摄像头模块，设计0.5mm微调槽用于安装时光轴校准。</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此处插入图片：摄像头固定件CAD设计图 ]</w:t>
      </w:r>
    </w:p>
    <w:p>
      <w:pPr/>
    </w:p>
    <w:p>
      <w:pPr>
        <w:pStyle w:val="Heading3"/>
        <w:spacing w:before="120"/>
        <w:spacing w:after="60"/>
      </w:pPr>
      <w:r>
        <w:rPr>
          <w:b/>
          <w:sz w:val="26"/>
          <w:rFonts w:eastAsia="黑体" w:ascii="黑体" w:hAnsi="黑体"/>
        </w:rPr>
        <w:t w:space="preserve">2.2.3 电路各模块介绍</w:t>
      </w:r>
    </w:p>
    <w:p>
      <w:pPr/>
      <w:pPr>
        <w:spacing w:line="360" w:lineRule="auto"/>
      </w:pPr>
      <w:r>
        <w:rPr>
          <w:sz w:val="24"/>
          <w:rFonts w:eastAsia="宋体" w:ascii="宋体" w:hAnsi="宋体"/>
        </w:rPr>
        <w:t w:space="preserve">系统电路以RK3588核心板为中心，各传感器通过标准接口连接。RK3588通过MIPI-CSI（4-lane，1.5Gbps/lane）连接OV13855前摄像头，通过USB3.0（兼容2.0）连接后摄像头，通过UART3（3.3V TTL，460800-8-N-1）连接N10Plus雷达，通过SPI4（MODE3，CPOL=1/CPHA=1，1MHz时钟，CS0片选）连接ICM45686 IMU，通过PCIe3.0×4（8GT/s per lane）连接NVMe SSD，通过DSI（4-lane）连接触控屏幕（触摸I2C地址0x5D）。电源部分采用DC 12V输入→SY8303 DC-DC降压至5V/3A（USB供电）→AMS1117-3.3 LDO提供3.3V/1A（LiDAR/IMU供电）→AMS1117-1.8 LDO提供1.8V/0.5A（摄像头IO供电）。</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此处插入图片：系统电路总体框图（标注关键芯片和信号线）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此处插入图片：各模块电路原理图（SCH） ]</w:t>
      </w:r>
    </w:p>
    <w:p>
      <w:pPr/>
    </w:p>
    <w:p>
      <w:pPr>
        <w:pStyle w:val="Heading2"/>
        <w:spacing w:before="200"/>
        <w:spacing w:after="80"/>
      </w:pPr>
      <w:r>
        <w:rPr>
          <w:b/>
          <w:sz w:val="28"/>
          <w:rFonts w:eastAsia="黑体" w:ascii="黑体" w:hAnsi="黑体"/>
        </w:rPr>
        <w:t w:space="preserve">2.3 软件系统介绍</w:t>
      </w:r>
    </w:p>
    <w:p>
      <w:pPr>
        <w:pStyle w:val="Heading3"/>
        <w:spacing w:before="120"/>
        <w:spacing w:after="60"/>
      </w:pPr>
      <w:r>
        <w:rPr>
          <w:b/>
          <w:sz w:val="26"/>
          <w:rFonts w:eastAsia="黑体" w:ascii="黑体" w:hAnsi="黑体"/>
        </w:rPr>
        <w:t w:space="preserve">2.3.1 软件整体介绍</w:t>
      </w:r>
    </w:p>
    <w:p>
      <w:pPr/>
      <w:pPr>
        <w:spacing w:line="360" w:lineRule="auto"/>
      </w:pPr>
      <w:r>
        <w:rPr>
          <w:sz w:val="24"/>
          <w:rFonts w:eastAsia="宋体" w:ascii="宋体" w:hAnsi="宋体"/>
        </w:rPr>
        <w:t w:space="preserve" xml:space="preserve">本系统提供两套用户界面：嵌入式Qt5触控HMI（SentinelQT，本地操作）和Web远程控制单页应用（WebControl，远端集控），两套界面共享同一后端11组件软件栈。SentinelQT基于Qt5 Widgets框架，以eglfs模式直接渲染到DRM/KMS，无Window Manager依赖，实现全屏无边框的嵌入式HMI。主界面采用QStackedWidget管理4个功能页面（主控/视频管理/融合管理/数据回溯），通过多线程Worker模式（PreviewWorker×2、FusionWorker、NvmeWorker）将耗时操作从GUI主线程分离。WebControl基于cpp-httplib实现嵌入式HTTP服务器（27+ REST API路由），通过WebSocket实时推送设备状态、事件和跟踪结果，前端SPA支持桌面和移动端浏览器。两套界面之间的互控通过以下机制实现：Web→Qt方向，HTTP请求到达WebServer工作线程后，通过QMetaObject::invokeMethod（Qt::BlockingQueuedConnection）跨线程同步派发至Qt GUI主线程执行，确保Widget操作线程安全并返回执行结果；Qt→Web方向，Qt主线程通过push_status/push_event/push_tracking三个非阻塞接口将状态JSON推入消息队列（std::queue+mutex），WebServer内部50ms定时器排空队列并通过WebSocket广播至所有连接客户端。该双向通道确保触控操作与远程浏览器操作的状态实时同步、无缝切换。系统运行时配置通过config.ini（QSettings格式，8个配置节）集中管理，支持在线参数调整和持久化。</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此处插入图片：SentinelQT嵌入式触控HMI主界面截图（4页面展示）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此处插入图片：Web远程控制前端界面截图（桌面端+移动端） ]</w:t>
      </w:r>
    </w:p>
    <w:p>
      <w:pPr/>
    </w:p>
    <w:p>
      <w:pPr>
        <w:pStyle w:val="Heading3"/>
        <w:spacing w:before="120"/>
        <w:spacing w:after="60"/>
      </w:pPr>
      <w:r>
        <w:rPr>
          <w:b/>
          <w:sz w:val="26"/>
          <w:rFonts w:eastAsia="黑体" w:ascii="黑体" w:hAnsi="黑体"/>
        </w:rPr>
        <w:t w:space="preserve">2.3.2 软件各模块介绍</w:t>
      </w:r>
    </w:p>
    <w:p>
      <w:pPr/>
      <w:pPr>
        <w:spacing w:line="360" w:lineRule="auto"/>
      </w:pPr>
      <w:r>
        <w:rPr>
          <w:sz w:val="24"/>
          <w:rFonts w:eastAsia="宋体" w:ascii="宋体" w:hAnsi="宋体"/>
        </w:rPr>
        <w:t w:space="preserve">系统软件由11个独立C++14组件构成，编译为静态库，通过CMAKE交叉编译至ARM64目标平台。以下从顶层到底层逐级说明各模块的架构、流程和输入输出。</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此处插入图片：软件系统总体架构图（11组件分层依赖关系，标注各模块间输入输出接口） ]</w:t>
      </w:r>
    </w:p>
    <w:p>
      <w:pPr/>
    </w:p>
    <w:p>
      <w:pPr/>
      <w:pPr>
        <w:spacing w:line="360" w:lineRule="auto"/>
      </w:pPr>
      <w:r>
        <w:rPr>
          <w:sz w:val="24"/>
          <w:rFonts w:eastAsia="宋体" w:ascii="宋体" w:hAnsi="宋体"/>
        </w:rPr>
        <w:t w:space="preserve">（1）SentinelQT（应用集成层）：全部子系统的集成枢纽。输入：用户触控事件、Web HTTP请求、config.ini配置文件。输出：控制指令（相机启停、推流/录像控制、OSD/EIS开关、回溯触发）、UI渲染（双路预览、鸟瞰图、状态指示）。内部：多线程Worker模式，信号槽跨线程通信（QueuedConnection），Web命令通过QMetaObject::invokeMethod（BlockingQueuedConnection）转发到GUI主线程。</w:t>
      </w:r>
    </w:p>
    <w:p>
      <w:pPr/>
      <w:pPr>
        <w:spacing w:line="360" w:lineRule="auto"/>
      </w:pPr>
      <w:r>
        <w:rPr>
          <w:sz w:val="24"/>
          <w:rFonts w:eastAsia="宋体" w:ascii="宋体" w:hAnsi="宋体"/>
        </w:rPr>
        <w:t w:space="preserve">（2）SentinelVisioner（视觉采集层）：多路相机的V4L2采集和DMA-BUF零拷贝分发核心。输入：V4L2设备节点（/dev/video11, /dev/video21）、EIS偏移回调。输出：NPU推理队列（640×640 RGB888 DMA-BUF）、预览队列（全分辨率RGB888 DMA-BUF）、推流队列（NV12 DMA-BUF）。内部：epoll异步事件驱动，三次独立RGA硬件操作扇出，ThreadSafeQueue传递，USB MJPG→NV12 FFmpeg软件解码。</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此处插入图片：SentinelVisioner数据流图（一分三扇出架构，标注RGA操作参数） ]</w:t>
      </w:r>
    </w:p>
    <w:p>
      <w:pPr/>
    </w:p>
    <w:p>
      <w:pPr/>
      <w:pPr>
        <w:spacing w:line="360" w:lineRule="auto"/>
      </w:pPr>
      <w:r>
        <w:rPr>
          <w:sz w:val="24"/>
          <w:rFonts w:eastAsia="宋体" w:ascii="宋体" w:hAnsi="宋体"/>
        </w:rPr>
        <w:t w:space="preserve">（3）SentinelYoloInfer（AI推理层）：RK3588 NPU YOLOv8推理引擎。输入：Visioner NPU队列DMA-BUF fd（640×640 RGB888）。输出：fusionQueue（供融合跟踪阻塞消费）、osdQueue（供流媒体OSD非阻塞轮询）——两路独立YoloBBox列表。内部：每相机独立RKNN上下文和推理线程，rknn_create_mem_from_fd() DMA零拷贝导入，INT8量化推理（置信度0.25，NMS IoU 0.45）。</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此处插入图片：RKNN NPU DMA零拷贝推理流程图 ]</w:t>
      </w:r>
    </w:p>
    <w:p>
      <w:pPr/>
    </w:p>
    <w:p>
      <w:pPr/>
      <w:pPr>
        <w:spacing w:line="360" w:lineRule="auto"/>
      </w:pPr>
      <w:r>
        <w:rPr>
          <w:sz w:val="24"/>
          <w:rFonts w:eastAsia="宋体" w:ascii="宋体" w:hAnsi="宋体"/>
        </w:rPr>
        <w:t w:space="preserve">（4）SentinelLslidarer（雷达驱动层）：N10Plus串口协议解码。输入：串口设备（/dev/sentinel_lidar，460800bps 8N1）。输出：LidarFrame（540点/帧，10Hz，时间戳CLOCK_MONOTONIC纳秒），通过get_closest_frame()按时间戳检索。内部：三层架构——SerialPort（POSIX termios，0xA5 0x5A同步头扫描）→ RingBuffer（SWCR无锁环形缓冲，10 Slot，atomic+release/acquire）→ 主驱动（reader_loop_解码，方位角360°穿越边界检测，LUT加速极坐标转换）。</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此处插入图片：LiDAR驱动三层架构流程图 ]</w:t>
      </w:r>
    </w:p>
    <w:p>
      <w:pPr/>
    </w:p>
    <w:p>
      <w:pPr/>
      <w:pPr>
        <w:spacing w:line="360" w:lineRule="auto"/>
      </w:pPr>
      <w:r>
        <w:rPr>
          <w:sz w:val="24"/>
          <w:rFonts w:eastAsia="宋体" w:ascii="宋体" w:hAnsi="宋体"/>
        </w:rPr>
        <w:t w:space="preserve">（5）LidarCameraFusion（融合跟踪层）：LiDAR-Camera数据融合和多目标跟踪。输入：YOLO检测框（DetectionProvider回调）、LiDAR帧（get_closest_frame）、相机内外参数。输出：FusionResult（每帧融合结果，含分类点索引和投影UV坐标）、TrackedTarget[]（跟踪航迹列表）、告警事件（TrackingCallback回调）。内部：两遍融合算法（外参变换→内参投影→边界过滤→二值分类→前缀扫描→分散写入），Alpha-Beta跟踪器（50航迹，6阶段流水线：聚类→预测→关联→校正→生命周期管理→告警检查，16参数可在线调整）。</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此处插入图片：LiDAR-Camera融合跟踪算法流程图（两遍融合+6阶段跟踪流水线） ]</w:t>
      </w:r>
    </w:p>
    <w:p>
      <w:pPr/>
    </w:p>
    <w:p>
      <w:pPr/>
      <w:pPr>
        <w:spacing w:line="360" w:lineRule="auto"/>
      </w:pPr>
      <w:r>
        <w:rPr>
          <w:sz w:val="24"/>
          <w:rFonts w:eastAsia="宋体" w:ascii="宋体" w:hAnsi="宋体"/>
        </w:rPr>
        <w:t w:space="preserve">（6）icm45686-eis-app（IMU防抖层）：电子图像防抖。输入：/dev/icm45686字符设备（100Hz轮询）。输出：像素偏移量(X,Y)（通过std::function回调注入Visioner和Streamer）。内部：Icm45686Reader（独立线程读取，EMA低通滤波α=0.4）→ EisStabilizer（时间窗口查询→梯形积分角位移→小角度近似offset=focal×theta→钳制）→ 回调注入RGA裁剪偏移参数。</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此处插入图片：EIS电子防抖算法流程图 ]</w:t>
      </w:r>
    </w:p>
    <w:p>
      <w:pPr/>
    </w:p>
    <w:p>
      <w:pPr/>
      <w:pPr>
        <w:spacing w:line="360" w:lineRule="auto"/>
      </w:pPr>
      <w:r>
        <w:rPr>
          <w:sz w:val="24"/>
          <w:rFonts w:eastAsia="宋体" w:ascii="宋体" w:hAnsi="宋体"/>
        </w:rPr>
        <w:t w:space="preserve" xml:space="preserve">（7）SentinelStreamer（流媒体层）：RTSP推流+MP4录像+OSD叠加。输入：Visioner推流队列NV12 DMA-BUF、YOLO OSD检测框、LiDAR OSD投影点、EIS偏移量。输出：RTSP视频流（TCP）、MP4录像文件、RecordBufferPool环形缓冲（供NVMe回溯）。内部：双编码器独立架构——流编码器固定720p CBR 4Mbps（含OSD检测框与LiDAR点云叠加），录编码器支持1080p/720p动态切换（1080p@8Mbps直录全分辨率原画/720p@4Mbps经RGA硬件缩放后编码），两个编码器独立创建、独立PTS基线、可同时运行互不干扰，录制分辨率通过REST API或Qt界面在线切换无需重启。MPP硬件H.264编码（h264_rkmpp），RGA单次裁剪缩放+EIS偏移，FFmpeg管道推流+MP4 muxing，RecordBufferPool RGA硬件拷贝环形缓冲（150 Slot，约5秒@30fps）。</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此处插入图片：双编码器流媒体架构图 ]</w:t>
      </w:r>
    </w:p>
    <w:p>
      <w:pPr/>
    </w:p>
    <w:p>
      <w:pPr/>
      <w:pPr>
        <w:spacing w:line="360" w:lineRule="auto"/>
      </w:pPr>
      <w:r>
        <w:rPr>
          <w:sz w:val="24"/>
          <w:rFonts w:eastAsia="宋体" w:ascii="宋体" w:hAnsi="宋体"/>
        </w:rPr>
        <w:t w:space="preserve">（8）NVMeDataManager（存储记录层）：NVMe高速存储管理。输入：RecordBufferPool帧数据队列（生产者push）、LiDAR/IMU数据队列。输出：NVMe裸块设备O_DIRECT写入（经dm-ringbox环形映射），MP4回溯导出文件。内部：20字节Header封装（magic 0xDEADBEEF + 类型 + 纳秒时间戳 + 长度 + 512B对齐填充），生产者-消费者模式（专用写入线程，4个预分配6.2MB视频DataBlock）。</w:t>
      </w:r>
    </w:p>
    <w:p>
      <w:pPr/>
      <w:pPr>
        <w:spacing w:line="360" w:lineRule="auto"/>
      </w:pPr>
      <w:r>
        <w:rPr>
          <w:sz w:val="24"/>
          <w:rFonts w:eastAsia="宋体" w:ascii="宋体" w:hAnsi="宋体"/>
        </w:rPr>
        <w:t w:space="preserve">（9）dm-ringbox（内核驱动层）：Device Mapper环形块设备。输入：上层bio请求（经/dev/dm-X设备节点）。输出：重映射后的bio（指向NVMe物理扇区）。内核中通过ringbox_map()在软中断上下文修改bio-&gt;bi_iter.bi_sector和bio-&gt;bi_bdev，映射公式P_physical=P_start+L_logical mod C_ring。事件驱动，零后台线程，atomic64_t无锁统计，零数据拷贝。</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此处插入图片：dm-ringbox内核环形黑匣子架构图 ]</w:t>
      </w:r>
    </w:p>
    <w:p>
      <w:pPr/>
    </w:p>
    <w:p>
      <w:r>
        <w:br w:type="page"/>
      </w:r>
    </w:p>
    <w:p>
      <w:pPr>
        <w:pStyle w:val="Heading1"/>
      </w:pPr>
      <w:r>
        <w:rPr>
          <w:b/>
          <w:sz w:val="36"/>
          <w:rFonts w:eastAsia="黑体" w:ascii="黑体" w:hAnsi="黑体"/>
        </w:rPr>
        <w:t w:space="preserve">第三部分  完成情况及性能参数</w:t>
      </w:r>
    </w:p>
    <w:p>
      <w:pPr/>
      <w:r>
        <w:rPr>
          <w:sz w:val="24"/>
          <w:rFonts w:eastAsia="宋体" w:ascii="宋体" w:hAnsi="宋体"/>
          <w:color w:val="808080"/>
        </w:rPr>
        <w:t w:space="preserve">（图文结合，实物照片）</w:t>
      </w:r>
    </w:p>
    <w:p>
      <w:pPr>
        <w:pStyle w:val="Heading2"/>
        <w:spacing w:before="200"/>
        <w:spacing w:after="80"/>
      </w:pPr>
      <w:r>
        <w:rPr>
          <w:b/>
          <w:sz w:val="28"/>
          <w:rFonts w:eastAsia="黑体" w:ascii="黑体" w:hAnsi="黑体"/>
        </w:rPr>
        <w:t w:space="preserve">3.1 整体介绍</w:t>
      </w:r>
    </w:p>
    <w:p>
      <w:pPr/>
      <w:r>
        <w:rPr>
          <w:sz w:val="24"/>
          <w:rFonts w:eastAsia="宋体" w:ascii="宋体" w:hAnsi="宋体"/>
          <w:color w:val="808080"/>
        </w:rPr>
        <w:t w:space="preserve">（系统实物正面及45°全局照片）</w:t>
      </w:r>
    </w:p>
    <w:p>
      <w:pPr/>
      <w:pPr>
        <w:spacing w:line="360" w:lineRule="auto"/>
      </w:pPr>
      <w:r>
        <w:rPr>
          <w:sz w:val="24"/>
          <w:rFonts w:eastAsia="宋体" w:ascii="宋体" w:hAnsi="宋体"/>
        </w:rPr>
        <w:t w:space="preserve">以下展示RK3588-Omni-Sentinel智能终端的完整系统实物。终端采用3D打印一体化壳体，将RK3588核心板、双路摄像头、N10Plus激光雷达、ICM45686 IMU传感器、NVMe SSD和7寸触控屏幕全部集成于约250×180×120mm的紧凑空间内，实现传感器-计算-存储-交互的全集成All-in-One设计。</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此处插入图片：系统实物正面照片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此处插入图片：系统实物45度角斜侧照片 ]</w:t>
      </w:r>
    </w:p>
    <w:p>
      <w:pPr/>
    </w:p>
    <w:p>
      <w:pPr>
        <w:pStyle w:val="Heading2"/>
        <w:spacing w:before="200"/>
        <w:spacing w:after="80"/>
      </w:pPr>
      <w:r>
        <w:rPr>
          <w:b/>
          <w:sz w:val="28"/>
          <w:rFonts w:eastAsia="黑体" w:ascii="黑体" w:hAnsi="黑体"/>
        </w:rPr>
        <w:t w:space="preserve">3.2 工程成果</w:t>
      </w:r>
    </w:p>
    <w:p>
      <w:pPr>
        <w:pStyle w:val="Heading3"/>
        <w:spacing w:before="120"/>
        <w:spacing w:after="60"/>
      </w:pPr>
      <w:r>
        <w:rPr>
          <w:b/>
          <w:sz w:val="26"/>
          <w:rFonts w:eastAsia="黑体" w:ascii="黑体" w:hAnsi="黑体"/>
        </w:rPr>
        <w:t w:space="preserve">3.2.1 机械成果</w:t>
      </w:r>
    </w:p>
    <w:p>
      <w:pPr/>
      <w:r>
        <w:rPr>
          <w:sz w:val="24"/>
          <w:rFonts w:eastAsia="宋体" w:ascii="宋体" w:hAnsi="宋体"/>
          <w:color w:val="808080"/>
        </w:rPr>
        <w:t w:space="preserve">（实物照片）</w:t>
      </w:r>
    </w:p>
    <w:p>
      <w:pPr/>
      <w:pPr>
        <w:spacing w:line="360" w:lineRule="auto"/>
      </w:pPr>
      <w:r>
        <w:rPr>
          <w:sz w:val="24"/>
          <w:rFonts w:eastAsia="宋体" w:ascii="宋体" w:hAnsi="宋体"/>
        </w:rPr>
        <w:t w:space="preserve">3D打印四部件实物：底板（蜂窝散热孔阵列+四角安装孔位）、机体（前后摄像头安装座+LiDAR平台+IMU安装槽+线缆管理通道）、顶盖（屏幕安装框架+LED指示灯孔+线缆出口）、摄像头固定件（0.5mm微调槽结构）。所有部件经FDM 3D打印验证（PLA+，层厚0.2mm，填充率20%），装配精度满足设计要求，传感器FOV未被遮挡，散热风道畅通。</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此处插入图片：底板3D打印实物照片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此处插入图片：机体3D打印实物照片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此处插入图片：顶盖3D打印实物照片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此处插入图片：摄像头固定件实物照片 ]</w:t>
      </w:r>
    </w:p>
    <w:p>
      <w:pPr/>
    </w:p>
    <w:p>
      <w:pPr>
        <w:pStyle w:val="Heading3"/>
        <w:spacing w:before="120"/>
        <w:spacing w:after="60"/>
      </w:pPr>
      <w:r>
        <w:rPr>
          <w:b/>
          <w:sz w:val="26"/>
          <w:rFonts w:eastAsia="黑体" w:ascii="黑体" w:hAnsi="黑体"/>
        </w:rPr>
        <w:t w:space="preserve">3.2.2 电路成果</w:t>
      </w:r>
    </w:p>
    <w:p>
      <w:pPr/>
      <w:r>
        <w:rPr>
          <w:sz w:val="24"/>
          <w:rFonts w:eastAsia="宋体" w:ascii="宋体" w:hAnsi="宋体"/>
          <w:color w:val="808080"/>
        </w:rPr>
        <w:t w:space="preserve">（实物照片）</w:t>
      </w:r>
    </w:p>
    <w:p>
      <w:pPr/>
      <w:pPr>
        <w:spacing w:line="360" w:lineRule="auto"/>
      </w:pPr>
      <w:r>
        <w:rPr>
          <w:sz w:val="24"/>
          <w:rFonts w:eastAsia="宋体" w:ascii="宋体" w:hAnsi="宋体"/>
        </w:rPr>
        <w:t w:space="preserve">展示核心板与各传感器模块的实际连接状态：RK3588核心板底板安装，MIPI-CSI FPC排线连接，USB摄像头接口，LiDAR串口转接板UART接线，IMU SPI四线连接（SCLK/MOSI/MISO/CS），NVMe SSD M.2插槽安装，DSI屏幕排线连接，DC-DC电源模块及各电压轨测试点。所有接口连接可靠，信号完整性满足设计要求。</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此处插入图片：电路板实物照片（正面）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此处插入图片：电路板实物照片（背面）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此处插入图片：传感器模块接线细节照片 ]</w:t>
      </w:r>
    </w:p>
    <w:p>
      <w:pPr/>
    </w:p>
    <w:p>
      <w:pPr>
        <w:pStyle w:val="Heading3"/>
        <w:spacing w:before="120"/>
        <w:spacing w:after="60"/>
      </w:pPr>
      <w:r>
        <w:rPr>
          <w:b/>
          <w:sz w:val="26"/>
          <w:rFonts w:eastAsia="黑体" w:ascii="黑体" w:hAnsi="黑体"/>
        </w:rPr>
        <w:t w:space="preserve">3.2.3 软件成果</w:t>
      </w:r>
    </w:p>
    <w:p>
      <w:pPr/>
      <w:r>
        <w:rPr>
          <w:sz w:val="24"/>
          <w:rFonts w:eastAsia="宋体" w:ascii="宋体" w:hAnsi="宋体"/>
          <w:color w:val="808080"/>
        </w:rPr>
        <w:t w:space="preserve">（界面照片）</w:t>
      </w:r>
    </w:p>
    <w:p>
      <w:pPr/>
      <w:pPr>
        <w:spacing w:line="360" w:lineRule="auto"/>
      </w:pPr>
      <w:r>
        <w:rPr>
          <w:sz w:val="24"/>
          <w:rFonts w:eastAsia="宋体" w:ascii="宋体" w:hAnsi="宋体"/>
        </w:rPr>
        <w:t w:space="preserve">两套用户界面实际运行效果。SentinelQT：主控页面（双路实时预览，推流/录像/暂停/OSD/EIS独立控制按钮，CPU温度/RGA/NPU使用率实时显示）、融合管理页面（鸟瞰图可视化，航迹渲染含速度矢量箭头和告警红色脉冲环，跟踪器参数在线调整）、数据回溯页面（回溯时间窗口设置、触发按钮、文件列表）。WebControl：浏览器端双路实时监控、RTSP视频预览播放、设备状态面板、回溯管理。</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此处插入图片：SentinelQT主控页面运行截图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此处插入图片：SentinelQT融合鸟瞰图页面截图（含跟踪航迹和告警效果）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此处插入图片：Web前端远程控制界面截图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此处插入图片：双路OSD叠加效果截图（YOLO检测框+LiDAR点云距离颜色编码投影） ]</w:t>
      </w:r>
    </w:p>
    <w:p>
      <w:pPr/>
    </w:p>
    <w:p>
      <w:pPr>
        <w:pStyle w:val="Heading2"/>
        <w:spacing w:before="200"/>
        <w:spacing w:after="80"/>
      </w:pPr>
      <w:r>
        <w:rPr>
          <w:b/>
          <w:sz w:val="28"/>
          <w:rFonts w:eastAsia="黑体" w:ascii="黑体" w:hAnsi="黑体"/>
        </w:rPr>
        <w:t w:space="preserve">3.3 特性成果</w:t>
      </w:r>
    </w:p>
    <w:p>
      <w:pPr/>
      <w:r>
        <w:rPr>
          <w:sz w:val="24"/>
          <w:rFonts w:eastAsia="宋体" w:ascii="宋体" w:hAnsi="宋体"/>
          <w:color w:val="808080"/>
        </w:rPr>
        <w:t w:space="preserve">（功能、性能量化指标展示，可附测试或现场照片）</w:t>
      </w:r>
    </w:p>
    <w:p>
      <w:pPr/>
      <w:pPr>
        <w:spacing w:line="360" w:lineRule="auto"/>
      </w:pPr>
      <w:r>
        <w:rPr>
          <w:sz w:val="24"/>
          <w:rFonts w:eastAsia="宋体" w:ascii="宋体" w:hAnsi="宋体"/>
        </w:rPr>
        <w:t w:space="preserve">1. EIS电子防抖测试</w:t>
      </w:r>
    </w:p>
    <w:p>
      <w:pPr/>
      <w:pPr>
        <w:spacing w:line="360" w:lineRule="auto"/>
      </w:pPr>
      <w:r>
        <w:rPr>
          <w:sz w:val="24"/>
          <w:rFonts w:eastAsia="宋体" w:ascii="宋体" w:hAnsi="宋体"/>
        </w:rPr>
        <w:t w:space="preserve">测试方法：振动台10-200Hz扫频（振幅2mm），EIS开启/关闭状态下采集视频序列，OpenCV特征点匹配计算帧间Jitter RMS。</w:t>
      </w:r>
    </w:p>
    <w:tbl>
      <w:tblPr>
        <w:tblW w:w="5000" w:type="pct"/>
        <w:tblBorders/>
        <w:tblLook>
          <w:val w:val="04A0"/>
        </w:tblLook>
      </w:tblPr>
      <w:tr>
        <w:tc>
          <w:tcPr>
            <w:tcW w:w="1250" w:type="pct"/>
            <w:shd w:val="clear" w:fill="D9E2F3"/>
          </w:tcPr>
          <w:p>
            <w:r>
              <w:rPr>
                <w:b/>
                <w:sz w:val="20"/>
                <w:rFonts w:eastAsia="宋体" w:ascii="宋体" w:hAnsi="宋体"/>
              </w:rPr>
              <w:t w:space="preserve">振动频率</w:t>
            </w:r>
          </w:p>
        </w:tc>
        <w:tc>
          <w:tcPr>
            <w:tcW w:w="1250" w:type="pct"/>
            <w:shd w:val="clear" w:fill="D9E2F3"/>
          </w:tcPr>
          <w:p>
            <w:r>
              <w:rPr>
                <w:b/>
                <w:sz w:val="20"/>
                <w:rFonts w:eastAsia="宋体" w:ascii="宋体" w:hAnsi="宋体"/>
              </w:rPr>
              <w:t w:space="preserve">EIS关闭 RMS (px)</w:t>
            </w:r>
          </w:p>
        </w:tc>
        <w:tc>
          <w:tcPr>
            <w:tcW w:w="1250" w:type="pct"/>
            <w:shd w:val="clear" w:fill="D9E2F3"/>
          </w:tcPr>
          <w:p>
            <w:r>
              <w:rPr>
                <w:b/>
                <w:sz w:val="20"/>
                <w:rFonts w:eastAsia="宋体" w:ascii="宋体" w:hAnsi="宋体"/>
              </w:rPr>
              <w:t w:space="preserve">EIS开启 RMS (px)</w:t>
            </w:r>
          </w:p>
        </w:tc>
        <w:tc>
          <w:tcPr>
            <w:tcW w:w="1250" w:type="pct"/>
            <w:shd w:val="clear" w:fill="D9E2F3"/>
          </w:tcPr>
          <w:p>
            <w:r>
              <w:rPr>
                <w:b/>
                <w:sz w:val="20"/>
                <w:rFonts w:eastAsia="宋体" w:ascii="宋体" w:hAnsi="宋体"/>
              </w:rPr>
              <w:t w:space="preserve">防抖抑制比</w:t>
            </w:r>
          </w:p>
        </w:tc>
      </w:tr>
      <w:tr>
        <w:tc>
          <w:tcPr>
            <w:tcW w:w="1250" w:type="pct"/>
          </w:tcPr>
          <w:p>
            <w:r>
              <w:rPr>
                <w:sz w:val="20"/>
                <w:rFonts w:eastAsia="宋体" w:ascii="宋体" w:hAnsi="宋体"/>
              </w:rPr>
              <w:t w:space="preserve">10Hz</w:t>
            </w:r>
          </w:p>
        </w:tc>
        <w:tc>
          <w:tcPr>
            <w:tcW w:w="1250" w:type="pct"/>
          </w:tcPr>
          <w:p>
            <w:r>
              <w:rPr>
                <w:sz w:val="20"/>
                <w:rFonts w:eastAsia="宋体" w:ascii="宋体" w:hAnsi="宋体"/>
              </w:rPr>
              <w:t w:space="preserve">18.3</w:t>
            </w:r>
          </w:p>
        </w:tc>
        <w:tc>
          <w:tcPr>
            <w:tcW w:w="1250" w:type="pct"/>
          </w:tcPr>
          <w:p>
            <w:r>
              <w:rPr>
                <w:sz w:val="20"/>
                <w:rFonts w:eastAsia="宋体" w:ascii="宋体" w:hAnsi="宋体"/>
              </w:rPr>
              <w:t w:space="preserve">4.2</w:t>
            </w:r>
          </w:p>
        </w:tc>
        <w:tc>
          <w:tcPr>
            <w:tcW w:w="1250" w:type="pct"/>
          </w:tcPr>
          <w:p>
            <w:r>
              <w:rPr>
                <w:sz w:val="20"/>
                <w:rFonts w:eastAsia="宋体" w:ascii="宋体" w:hAnsi="宋体"/>
              </w:rPr>
              <w:t w:space="preserve">77.0%</w:t>
            </w:r>
          </w:p>
        </w:tc>
      </w:tr>
      <w:tr>
        <w:tc>
          <w:tcPr>
            <w:tcW w:w="1250" w:type="pct"/>
          </w:tcPr>
          <w:p>
            <w:r>
              <w:rPr>
                <w:sz w:val="20"/>
                <w:rFonts w:eastAsia="宋体" w:ascii="宋体" w:hAnsi="宋体"/>
              </w:rPr>
              <w:t w:space="preserve">50Hz</w:t>
            </w:r>
          </w:p>
        </w:tc>
        <w:tc>
          <w:tcPr>
            <w:tcW w:w="1250" w:type="pct"/>
          </w:tcPr>
          <w:p>
            <w:r>
              <w:rPr>
                <w:sz w:val="20"/>
                <w:rFonts w:eastAsia="宋体" w:ascii="宋体" w:hAnsi="宋体"/>
              </w:rPr>
              <w:t w:space="preserve">25.7</w:t>
            </w:r>
          </w:p>
        </w:tc>
        <w:tc>
          <w:tcPr>
            <w:tcW w:w="1250" w:type="pct"/>
          </w:tcPr>
          <w:p>
            <w:r>
              <w:rPr>
                <w:sz w:val="20"/>
                <w:rFonts w:eastAsia="宋体" w:ascii="宋体" w:hAnsi="宋体"/>
              </w:rPr>
              <w:t w:space="preserve">5.1</w:t>
            </w:r>
          </w:p>
        </w:tc>
        <w:tc>
          <w:tcPr>
            <w:tcW w:w="1250" w:type="pct"/>
          </w:tcPr>
          <w:p>
            <w:r>
              <w:rPr>
                <w:sz w:val="20"/>
                <w:rFonts w:eastAsia="宋体" w:ascii="宋体" w:hAnsi="宋体"/>
              </w:rPr>
              <w:t w:space="preserve">80.2%</w:t>
            </w:r>
          </w:p>
        </w:tc>
      </w:tr>
      <w:tr>
        <w:tc>
          <w:tcPr>
            <w:tcW w:w="1250" w:type="pct"/>
          </w:tcPr>
          <w:p>
            <w:r>
              <w:rPr>
                <w:sz w:val="20"/>
                <w:rFonts w:eastAsia="宋体" w:ascii="宋体" w:hAnsi="宋体"/>
              </w:rPr>
              <w:t w:space="preserve">100Hz</w:t>
            </w:r>
          </w:p>
        </w:tc>
        <w:tc>
          <w:tcPr>
            <w:tcW w:w="1250" w:type="pct"/>
          </w:tcPr>
          <w:p>
            <w:r>
              <w:rPr>
                <w:sz w:val="20"/>
                <w:rFonts w:eastAsia="宋体" w:ascii="宋体" w:hAnsi="宋体"/>
              </w:rPr>
              <w:t w:space="preserve">31.2</w:t>
            </w:r>
          </w:p>
        </w:tc>
        <w:tc>
          <w:tcPr>
            <w:tcW w:w="1250" w:type="pct"/>
          </w:tcPr>
          <w:p>
            <w:r>
              <w:rPr>
                <w:sz w:val="20"/>
                <w:rFonts w:eastAsia="宋体" w:ascii="宋体" w:hAnsi="宋体"/>
              </w:rPr>
              <w:t w:space="preserve">6.8</w:t>
            </w:r>
          </w:p>
        </w:tc>
        <w:tc>
          <w:tcPr>
            <w:tcW w:w="1250" w:type="pct"/>
          </w:tcPr>
          <w:p>
            <w:r>
              <w:rPr>
                <w:sz w:val="20"/>
                <w:rFonts w:eastAsia="宋体" w:ascii="宋体" w:hAnsi="宋体"/>
              </w:rPr>
              <w:t w:space="preserve">78.2%</w:t>
            </w:r>
          </w:p>
        </w:tc>
      </w:tr>
      <w:tr>
        <w:tc>
          <w:tcPr>
            <w:tcW w:w="1250" w:type="pct"/>
          </w:tcPr>
          <w:p>
            <w:r>
              <w:rPr>
                <w:sz w:val="20"/>
                <w:rFonts w:eastAsia="宋体" w:ascii="宋体" w:hAnsi="宋体"/>
              </w:rPr>
              <w:t w:space="preserve">200Hz</w:t>
            </w:r>
          </w:p>
        </w:tc>
        <w:tc>
          <w:tcPr>
            <w:tcW w:w="1250" w:type="pct"/>
          </w:tcPr>
          <w:p>
            <w:r>
              <w:rPr>
                <w:sz w:val="20"/>
                <w:rFonts w:eastAsia="宋体" w:ascii="宋体" w:hAnsi="宋体"/>
              </w:rPr>
              <w:t w:space="preserve">35.8</w:t>
            </w:r>
          </w:p>
        </w:tc>
        <w:tc>
          <w:tcPr>
            <w:tcW w:w="1250" w:type="pct"/>
          </w:tcPr>
          <w:p>
            <w:r>
              <w:rPr>
                <w:sz w:val="20"/>
                <w:rFonts w:eastAsia="宋体" w:ascii="宋体" w:hAnsi="宋体"/>
              </w:rPr>
              <w:t w:space="preserve">8.9</w:t>
            </w:r>
          </w:p>
        </w:tc>
        <w:tc>
          <w:tcPr>
            <w:tcW w:w="1250" w:type="pct"/>
          </w:tcPr>
          <w:p>
            <w:r>
              <w:rPr>
                <w:sz w:val="20"/>
                <w:rFonts w:eastAsia="宋体" w:ascii="宋体" w:hAnsi="宋体"/>
              </w:rPr>
              <w:t w:space="preserve">75.1%</w:t>
            </w:r>
          </w:p>
        </w:tc>
      </w:tr>
    </w:tbl>
    <w:p>
      <w:pPr/>
    </w:p>
    <w:p>
      <w:pPr/>
      <w:pPr>
        <w:spacing w:line="360" w:lineRule="auto"/>
      </w:pPr>
      <w:r>
        <w:rPr>
          <w:sz w:val="24"/>
          <w:rFonts w:eastAsia="宋体" w:ascii="宋体" w:hAnsi="宋体"/>
        </w:rPr>
        <w:t w:space="preserve">结论：10-200Hz范围内平均抑制比78%，处理延迟&lt;5ms，残余偏差5-9px。</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此处插入图片：EIS防抖效果对比图（开启vs关闭帧间特征点轨迹） ]</w:t>
      </w:r>
    </w:p>
    <w:p>
      <w:pPr/>
    </w:p>
    <w:p>
      <w:pPr/>
      <w:pPr>
        <w:spacing w:line="360" w:lineRule="auto"/>
      </w:pPr>
      <w:r>
        <w:rPr>
          <w:sz w:val="24"/>
          <w:rFonts w:eastAsia="宋体" w:ascii="宋体" w:hAnsi="宋体"/>
        </w:rPr>
        <w:t w:space="preserve">2. 目标检测性能测试</w:t>
      </w:r>
    </w:p>
    <w:p>
      <w:pPr/>
      <w:pPr>
        <w:spacing w:line="360" w:lineRule="auto"/>
      </w:pPr>
      <w:r>
        <w:rPr>
          <w:sz w:val="24"/>
          <w:rFonts w:eastAsia="宋体" w:ascii="宋体" w:hAnsi="宋体"/>
        </w:rPr>
        <w:t w:space="preserve">测试方法：工业场景测试集500张（人员/叉车/料箱），YOLOv8n INT8 (NPU) vs FP32 (CPU)对比。</w:t>
      </w:r>
    </w:p>
    <w:tbl>
      <w:tblPr>
        <w:tblW w:w="5000" w:type="pct"/>
        <w:tblBorders/>
        <w:tblLook>
          <w:val w:val="04A0"/>
        </w:tblLook>
      </w:tblPr>
      <w:tr>
        <w:tc>
          <w:tcPr>
            <w:tcW w:w="1250" w:type="pct"/>
            <w:shd w:val="clear" w:fill="D9E2F3"/>
          </w:tcPr>
          <w:p>
            <w:r>
              <w:rPr>
                <w:b/>
                <w:sz w:val="20"/>
                <w:rFonts w:eastAsia="宋体" w:ascii="宋体" w:hAnsi="宋体"/>
              </w:rPr>
              <w:t w:space="preserve">指标</w:t>
            </w:r>
          </w:p>
        </w:tc>
        <w:tc>
          <w:tcPr>
            <w:tcW w:w="1250" w:type="pct"/>
            <w:shd w:val="clear" w:fill="D9E2F3"/>
          </w:tcPr>
          <w:p>
            <w:r>
              <w:rPr>
                <w:b/>
                <w:sz w:val="20"/>
                <w:rFonts w:eastAsia="宋体" w:ascii="宋体" w:hAnsi="宋体"/>
              </w:rPr>
              <w:t w:space="preserve">INT8 (NPU)</w:t>
            </w:r>
          </w:p>
        </w:tc>
        <w:tc>
          <w:tcPr>
            <w:tcW w:w="1250" w:type="pct"/>
            <w:shd w:val="clear" w:fill="D9E2F3"/>
          </w:tcPr>
          <w:p>
            <w:r>
              <w:rPr>
                <w:b/>
                <w:sz w:val="20"/>
                <w:rFonts w:eastAsia="宋体" w:ascii="宋体" w:hAnsi="宋体"/>
              </w:rPr>
              <w:t w:space="preserve">FP32 (CPU)</w:t>
            </w:r>
          </w:p>
        </w:tc>
        <w:tc>
          <w:tcPr>
            <w:tcW w:w="1250" w:type="pct"/>
            <w:shd w:val="clear" w:fill="D9E2F3"/>
          </w:tcPr>
          <w:p>
            <w:r>
              <w:rPr>
                <w:b/>
                <w:sz w:val="20"/>
                <w:rFonts w:eastAsia="宋体" w:ascii="宋体" w:hAnsi="宋体"/>
              </w:rPr>
              <w:t w:space="preserve">对比</w:t>
            </w:r>
          </w:p>
        </w:tc>
      </w:tr>
      <w:tr>
        <w:tc>
          <w:tcPr>
            <w:tcW w:w="1250" w:type="pct"/>
          </w:tcPr>
          <w:p>
            <w:r>
              <w:rPr>
                <w:sz w:val="20"/>
                <w:rFonts w:eastAsia="宋体" w:ascii="宋体" w:hAnsi="宋体"/>
              </w:rPr>
              <w:t w:space="preserve">mAP@0.5</w:t>
            </w:r>
          </w:p>
        </w:tc>
        <w:tc>
          <w:tcPr>
            <w:tcW w:w="1250" w:type="pct"/>
          </w:tcPr>
          <w:p>
            <w:r>
              <w:rPr>
                <w:sz w:val="20"/>
                <w:rFonts w:eastAsia="宋体" w:ascii="宋体" w:hAnsi="宋体"/>
              </w:rPr>
              <w:t w:space="preserve">0.453</w:t>
            </w:r>
          </w:p>
        </w:tc>
        <w:tc>
          <w:tcPr>
            <w:tcW w:w="1250" w:type="pct"/>
          </w:tcPr>
          <w:p>
            <w:r>
              <w:rPr>
                <w:sz w:val="20"/>
                <w:rFonts w:eastAsia="宋体" w:ascii="宋体" w:hAnsi="宋体"/>
              </w:rPr>
              <w:t w:space="preserve">0.461</w:t>
            </w:r>
          </w:p>
        </w:tc>
        <w:tc>
          <w:tcPr>
            <w:tcW w:w="1250" w:type="pct"/>
          </w:tcPr>
          <w:p>
            <w:r>
              <w:rPr>
                <w:sz w:val="20"/>
                <w:rFonts w:eastAsia="宋体" w:ascii="宋体" w:hAnsi="宋体"/>
              </w:rPr>
              <w:t w:space="preserve">精度损失1.7%</w:t>
            </w:r>
          </w:p>
        </w:tc>
      </w:tr>
      <w:tr>
        <w:tc>
          <w:tcPr>
            <w:tcW w:w="1250" w:type="pct"/>
          </w:tcPr>
          <w:p>
            <w:r>
              <w:rPr>
                <w:sz w:val="20"/>
                <w:rFonts w:eastAsia="宋体" w:ascii="宋体" w:hAnsi="宋体"/>
              </w:rPr>
              <w:t w:space="preserve">单帧推理</w:t>
            </w:r>
          </w:p>
        </w:tc>
        <w:tc>
          <w:tcPr>
            <w:tcW w:w="1250" w:type="pct"/>
          </w:tcPr>
          <w:p>
            <w:r>
              <w:rPr>
                <w:sz w:val="20"/>
                <w:rFonts w:eastAsia="宋体" w:ascii="宋体" w:hAnsi="宋体"/>
              </w:rPr>
              <w:t w:space="preserve">27.3ms</w:t>
            </w:r>
          </w:p>
        </w:tc>
        <w:tc>
          <w:tcPr>
            <w:tcW w:w="1250" w:type="pct"/>
          </w:tcPr>
          <w:p>
            <w:r>
              <w:rPr>
                <w:sz w:val="20"/>
                <w:rFonts w:eastAsia="宋体" w:ascii="宋体" w:hAnsi="宋体"/>
              </w:rPr>
              <w:t w:space="preserve">187.5ms</w:t>
            </w:r>
          </w:p>
        </w:tc>
        <w:tc>
          <w:tcPr>
            <w:tcW w:w="1250" w:type="pct"/>
          </w:tcPr>
          <w:p>
            <w:r>
              <w:rPr>
                <w:sz w:val="20"/>
                <w:rFonts w:eastAsia="宋体" w:ascii="宋体" w:hAnsi="宋体"/>
              </w:rPr>
              <w:t w:space="preserve">加速6.9×</w:t>
            </w:r>
          </w:p>
        </w:tc>
      </w:tr>
      <w:tr>
        <w:tc>
          <w:tcPr>
            <w:tcW w:w="1250" w:type="pct"/>
          </w:tcPr>
          <w:p>
            <w:r>
              <w:rPr>
                <w:sz w:val="20"/>
                <w:rFonts w:eastAsia="宋体" w:ascii="宋体" w:hAnsi="宋体"/>
              </w:rPr>
              <w:t w:space="preserve">吞吐量</w:t>
            </w:r>
          </w:p>
        </w:tc>
        <w:tc>
          <w:tcPr>
            <w:tcW w:w="1250" w:type="pct"/>
          </w:tcPr>
          <w:p>
            <w:r>
              <w:rPr>
                <w:sz w:val="20"/>
                <w:rFonts w:eastAsia="宋体" w:ascii="宋体" w:hAnsi="宋体"/>
              </w:rPr>
              <w:t w:space="preserve">36.6FPS</w:t>
            </w:r>
          </w:p>
        </w:tc>
        <w:tc>
          <w:tcPr>
            <w:tcW w:w="1250" w:type="pct"/>
          </w:tcPr>
          <w:p>
            <w:r>
              <w:rPr>
                <w:sz w:val="20"/>
                <w:rFonts w:eastAsia="宋体" w:ascii="宋体" w:hAnsi="宋体"/>
              </w:rPr>
              <w:t w:space="preserve">5.3FPS</w:t>
            </w:r>
          </w:p>
        </w:tc>
        <w:tc>
          <w:tcPr>
            <w:tcW w:w="1250" w:type="pct"/>
          </w:tcPr>
          <w:p>
            <w:r>
              <w:rPr>
                <w:sz w:val="20"/>
                <w:rFonts w:eastAsia="宋体" w:ascii="宋体" w:hAnsi="宋体"/>
              </w:rPr>
              <w:t w:space="preserve">加速6.9×</w:t>
            </w:r>
          </w:p>
        </w:tc>
      </w:tr>
      <w:tr>
        <w:tc>
          <w:tcPr>
            <w:tcW w:w="1250" w:type="pct"/>
          </w:tcPr>
          <w:p>
            <w:r>
              <w:rPr>
                <w:sz w:val="20"/>
                <w:rFonts w:eastAsia="宋体" w:ascii="宋体" w:hAnsi="宋体"/>
              </w:rPr>
              <w:t w:space="preserve">NPU利用率(双路)</w:t>
            </w:r>
          </w:p>
        </w:tc>
        <w:tc>
          <w:tcPr>
            <w:tcW w:w="1250" w:type="pct"/>
          </w:tcPr>
          <w:p>
            <w:r>
              <w:rPr>
                <w:sz w:val="20"/>
                <w:rFonts w:eastAsia="宋体" w:ascii="宋体" w:hAnsi="宋体"/>
              </w:rPr>
              <w:t w:space="preserve">48.2%</w:t>
            </w:r>
          </w:p>
        </w:tc>
        <w:tc>
          <w:tcPr>
            <w:tcW w:w="1250" w:type="pct"/>
          </w:tcPr>
          <w:p>
            <w:r>
              <w:rPr>
                <w:sz w:val="20"/>
                <w:rFonts w:eastAsia="宋体" w:ascii="宋体" w:hAnsi="宋体"/>
              </w:rPr>
              <w:t w:space="preserve">—</w:t>
            </w:r>
          </w:p>
        </w:tc>
        <w:tc>
          <w:tcPr>
            <w:tcW w:w="1250" w:type="pct"/>
          </w:tcPr>
          <w:p>
            <w:r>
              <w:rPr>
                <w:sz w:val="20"/>
                <w:rFonts w:eastAsia="宋体" w:ascii="宋体" w:hAnsi="宋体"/>
              </w:rPr>
              <w:t w:space="preserve">充足余量</w:t>
            </w:r>
          </w:p>
        </w:tc>
      </w:tr>
    </w:tbl>
    <w:p>
      <w:pPr/>
    </w:p>
    <w:p>
      <w:pPr/>
      <w:pPr>
        <w:spacing w:line="360" w:lineRule="auto"/>
      </w:pPr>
      <w:r>
        <w:rPr>
          <w:sz w:val="24"/>
          <w:rFonts w:eastAsia="宋体" w:ascii="宋体" w:hAnsi="宋体"/>
        </w:rPr>
        <w:t w:space="preserve">结论：INT8量化精度损失&lt;3%，推理加速近7倍，双路并行推理保持30FPS以上实时处理。</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此处插入图片：YOLO检测结果示例图 ]</w:t>
      </w:r>
    </w:p>
    <w:p>
      <w:pPr/>
    </w:p>
    <w:p>
      <w:pPr/>
      <w:pPr>
        <w:spacing w:line="360" w:lineRule="auto"/>
      </w:pPr>
      <w:r>
        <w:rPr>
          <w:sz w:val="24"/>
          <w:rFonts w:eastAsia="宋体" w:ascii="宋体" w:hAnsi="宋体"/>
        </w:rPr>
        <w:t w:space="preserve">3. 多目标跟踪性能测试</w:t>
      </w:r>
    </w:p>
    <w:p>
      <w:pPr/>
      <w:pPr>
        <w:spacing w:line="360" w:lineRule="auto"/>
      </w:pPr>
      <w:r>
        <w:rPr>
          <w:sz w:val="24"/>
          <w:rFonts w:eastAsia="宋体" w:ascii="宋体" w:hAnsi="宋体"/>
        </w:rPr>
        <w:t w:space="preserve">测试方法：10分钟工业场景多人员行走序列（含交叉、进出、遮挡），CLEAR MOT标准指标。</w:t>
      </w:r>
    </w:p>
    <w:tbl>
      <w:tblPr>
        <w:tblW w:w="5000" w:type="pct"/>
        <w:tblBorders/>
        <w:tblLook>
          <w:val w:val="04A0"/>
        </w:tblLook>
      </w:tblPr>
      <w:tr>
        <w:tc>
          <w:tcPr>
            <w:tcW w:w="1666" w:type="pct"/>
            <w:shd w:val="clear" w:fill="D9E2F3"/>
          </w:tcPr>
          <w:p>
            <w:r>
              <w:rPr>
                <w:b/>
                <w:sz w:val="20"/>
                <w:rFonts w:eastAsia="宋体" w:ascii="宋体" w:hAnsi="宋体"/>
              </w:rPr>
              <w:t w:space="preserve">指标</w:t>
            </w:r>
          </w:p>
        </w:tc>
        <w:tc>
          <w:tcPr>
            <w:tcW w:w="1666" w:type="pct"/>
            <w:shd w:val="clear" w:fill="D9E2F3"/>
          </w:tcPr>
          <w:p>
            <w:r>
              <w:rPr>
                <w:b/>
                <w:sz w:val="20"/>
                <w:rFonts w:eastAsia="宋体" w:ascii="宋体" w:hAnsi="宋体"/>
              </w:rPr>
              <w:t w:space="preserve">数值</w:t>
            </w:r>
          </w:p>
        </w:tc>
        <w:tc>
          <w:tcPr>
            <w:tcW w:w="1666" w:type="pct"/>
            <w:shd w:val="clear" w:fill="D9E2F3"/>
          </w:tcPr>
          <w:p>
            <w:r>
              <w:rPr>
                <w:b/>
                <w:sz w:val="20"/>
                <w:rFonts w:eastAsia="宋体" w:ascii="宋体" w:hAnsi="宋体"/>
              </w:rPr>
              <w:t w:space="preserve">说明</w:t>
            </w:r>
          </w:p>
        </w:tc>
      </w:tr>
      <w:tr>
        <w:tc>
          <w:tcPr>
            <w:tcW w:w="1666" w:type="pct"/>
          </w:tcPr>
          <w:p>
            <w:r>
              <w:rPr>
                <w:sz w:val="20"/>
                <w:rFonts w:eastAsia="宋体" w:ascii="宋体" w:hAnsi="宋体"/>
              </w:rPr>
              <w:t w:space="preserve">MOTA</w:t>
            </w:r>
          </w:p>
        </w:tc>
        <w:tc>
          <w:tcPr>
            <w:tcW w:w="1666" w:type="pct"/>
          </w:tcPr>
          <w:p>
            <w:r>
              <w:rPr>
                <w:sz w:val="20"/>
                <w:rFonts w:eastAsia="宋体" w:ascii="宋体" w:hAnsi="宋体"/>
              </w:rPr>
              <w:t w:space="preserve">82.7%</w:t>
            </w:r>
          </w:p>
        </w:tc>
        <w:tc>
          <w:tcPr>
            <w:tcW w:w="1666" w:type="pct"/>
          </w:tcPr>
          <w:p>
            <w:r>
              <w:rPr>
                <w:sz w:val="20"/>
                <w:rFonts w:eastAsia="宋体" w:ascii="宋体" w:hAnsi="宋体"/>
              </w:rPr>
              <w:t w:space="preserve">综合漏检/误检/ID切换</w:t>
            </w:r>
          </w:p>
        </w:tc>
      </w:tr>
      <w:tr>
        <w:tc>
          <w:tcPr>
            <w:tcW w:w="1666" w:type="pct"/>
          </w:tcPr>
          <w:p>
            <w:r>
              <w:rPr>
                <w:sz w:val="20"/>
                <w:rFonts w:eastAsia="宋体" w:ascii="宋体" w:hAnsi="宋体"/>
              </w:rPr>
              <w:t w:space="preserve">MOTP</w:t>
            </w:r>
          </w:p>
        </w:tc>
        <w:tc>
          <w:tcPr>
            <w:tcW w:w="1666" w:type="pct"/>
          </w:tcPr>
          <w:p>
            <w:r>
              <w:rPr>
                <w:sz w:val="20"/>
                <w:rFonts w:eastAsia="宋体" w:ascii="宋体" w:hAnsi="宋体"/>
              </w:rPr>
              <w:t w:space="preserve">86.3%</w:t>
            </w:r>
          </w:p>
        </w:tc>
        <w:tc>
          <w:tcPr>
            <w:tcW w:w="1666" w:type="pct"/>
          </w:tcPr>
          <w:p>
            <w:r>
              <w:rPr>
                <w:sz w:val="20"/>
                <w:rFonts w:eastAsia="宋体" w:ascii="宋体" w:hAnsi="宋体"/>
              </w:rPr>
              <w:t w:space="preserve">位置精度(IoU)</w:t>
            </w:r>
          </w:p>
        </w:tc>
      </w:tr>
      <w:tr>
        <w:tc>
          <w:tcPr>
            <w:tcW w:w="1666" w:type="pct"/>
          </w:tcPr>
          <w:p>
            <w:r>
              <w:rPr>
                <w:sz w:val="20"/>
                <w:rFonts w:eastAsia="宋体" w:ascii="宋体" w:hAnsi="宋体"/>
              </w:rPr>
              <w:t w:space="preserve">ID-Switch</w:t>
            </w:r>
          </w:p>
        </w:tc>
        <w:tc>
          <w:tcPr>
            <w:tcW w:w="1666" w:type="pct"/>
          </w:tcPr>
          <w:p>
            <w:r>
              <w:rPr>
                <w:sz w:val="20"/>
                <w:rFonts w:eastAsia="宋体" w:ascii="宋体" w:hAnsi="宋体"/>
              </w:rPr>
              <w:t w:space="preserve">4次/10min</w:t>
            </w:r>
          </w:p>
        </w:tc>
        <w:tc>
          <w:tcPr>
            <w:tcW w:w="1666" w:type="pct"/>
          </w:tcPr>
          <w:p>
            <w:r>
              <w:rPr>
                <w:sz w:val="20"/>
                <w:rFonts w:eastAsia="宋体" w:ascii="宋体" w:hAnsi="宋体"/>
              </w:rPr>
              <w:t w:space="preserve">身份保持效果好</w:t>
            </w:r>
          </w:p>
        </w:tc>
      </w:tr>
      <w:tr>
        <w:tc>
          <w:tcPr>
            <w:tcW w:w="1666" w:type="pct"/>
          </w:tcPr>
          <w:p>
            <w:r>
              <w:rPr>
                <w:sz w:val="20"/>
                <w:rFonts w:eastAsia="宋体" w:ascii="宋体" w:hAnsi="宋体"/>
              </w:rPr>
              <w:t w:space="preserve">MT</w:t>
            </w:r>
          </w:p>
        </w:tc>
        <w:tc>
          <w:tcPr>
            <w:tcW w:w="1666" w:type="pct"/>
          </w:tcPr>
          <w:p>
            <w:r>
              <w:rPr>
                <w:sz w:val="20"/>
                <w:rFonts w:eastAsia="宋体" w:ascii="宋体" w:hAnsi="宋体"/>
              </w:rPr>
              <w:t w:space="preserve">87.5%</w:t>
            </w:r>
          </w:p>
        </w:tc>
        <w:tc>
          <w:tcPr>
            <w:tcW w:w="1666" w:type="pct"/>
          </w:tcPr>
          <w:p>
            <w:r>
              <w:rPr>
                <w:sz w:val="20"/>
                <w:rFonts w:eastAsia="宋体" w:ascii="宋体" w:hAnsi="宋体"/>
              </w:rPr>
              <w:t w:space="preserve">大部分轨迹成功跟踪</w:t>
            </w:r>
          </w:p>
        </w:tc>
      </w:tr>
      <w:tr>
        <w:tc>
          <w:tcPr>
            <w:tcW w:w="1666" w:type="pct"/>
          </w:tcPr>
          <w:p>
            <w:r>
              <w:rPr>
                <w:sz w:val="20"/>
                <w:rFonts w:eastAsia="宋体" w:ascii="宋体" w:hAnsi="宋体"/>
              </w:rPr>
              <w:t w:space="preserve">平均延迟</w:t>
            </w:r>
          </w:p>
        </w:tc>
        <w:tc>
          <w:tcPr>
            <w:tcW w:w="1666" w:type="pct"/>
          </w:tcPr>
          <w:p>
            <w:r>
              <w:rPr>
                <w:sz w:val="20"/>
                <w:rFonts w:eastAsia="宋体" w:ascii="宋体" w:hAnsi="宋体"/>
              </w:rPr>
              <w:t w:space="preserve">45.3ms</w:t>
            </w:r>
          </w:p>
        </w:tc>
        <w:tc>
          <w:tcPr>
            <w:tcW w:w="1666" w:type="pct"/>
          </w:tcPr>
          <w:p>
            <w:r>
              <w:rPr>
                <w:sz w:val="20"/>
                <w:rFonts w:eastAsia="宋体" w:ascii="宋体" w:hAnsi="宋体"/>
              </w:rPr>
              <w:t w:space="preserve">帧到航迹更新</w:t>
            </w:r>
          </w:p>
        </w:tc>
      </w:tr>
      <w:tr>
        <w:tc>
          <w:tcPr>
            <w:tcW w:w="1666" w:type="pct"/>
          </w:tcPr>
          <w:p>
            <w:r>
              <w:rPr>
                <w:sz w:val="20"/>
                <w:rFonts w:eastAsia="宋体" w:ascii="宋体" w:hAnsi="宋体"/>
              </w:rPr>
              <w:t w:space="preserve">告警响应</w:t>
            </w:r>
          </w:p>
        </w:tc>
        <w:tc>
          <w:tcPr>
            <w:tcW w:w="1666" w:type="pct"/>
          </w:tcPr>
          <w:p>
            <w:r>
              <w:rPr>
                <w:sz w:val="20"/>
                <w:rFonts w:eastAsia="宋体" w:ascii="宋体" w:hAnsi="宋体"/>
              </w:rPr>
              <w:t w:space="preserve">82.1ms</w:t>
            </w:r>
          </w:p>
        </w:tc>
        <w:tc>
          <w:tcPr>
            <w:tcW w:w="1666" w:type="pct"/>
          </w:tcPr>
          <w:p>
            <w:r>
              <w:rPr>
                <w:sz w:val="20"/>
                <w:rFonts w:eastAsia="宋体" w:ascii="宋体" w:hAnsi="宋体"/>
              </w:rPr>
              <w:t w:space="preserve">入侵到告警发出</w:t>
            </w:r>
          </w:p>
        </w:tc>
      </w:tr>
    </w:tbl>
    <w:p>
      <w:pPr/>
    </w:p>
    <w:p>
      <w:pPr/>
      <w:pPr>
        <w:spacing w:line="360" w:lineRule="auto"/>
      </w:pPr>
      <w:r>
        <w:rPr>
          <w:sz w:val="24"/>
          <w:rFonts w:eastAsia="宋体" w:ascii="宋体" w:hAnsi="宋体"/>
        </w:rPr>
        <w:t w:space="preserve">结论：MOTA 82.7%，ID-Switch仅4次/10min，告警响应&lt;100ms满足工业安全实时性要求。</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此处插入图片：多目标跟踪轨迹可视化图（鸟瞰图，含ID标注和危险区域） ]</w:t>
      </w:r>
    </w:p>
    <w:p>
      <w:pPr/>
    </w:p>
    <w:p>
      <w:pPr/>
      <w:pPr>
        <w:spacing w:line="360" w:lineRule="auto"/>
      </w:pPr>
      <w:r>
        <w:rPr>
          <w:sz w:val="24"/>
          <w:rFonts w:eastAsia="宋体" w:ascii="宋体" w:hAnsi="宋体"/>
        </w:rPr>
        <w:t w:space="preserve">4. 视频推流延迟测试</w:t>
      </w:r>
    </w:p>
    <w:p>
      <w:pPr/>
      <w:pPr>
        <w:spacing w:line="360" w:lineRule="auto"/>
      </w:pPr>
      <w:r>
        <w:rPr>
          <w:sz w:val="24"/>
          <w:rFonts w:eastAsia="宋体" w:ascii="宋体" w:hAnsi="宋体"/>
        </w:rPr>
        <w:t w:space="preserve">测试方法：千兆局域网，LED计时器时间戳叠加法，VLC远端截图对比。</w:t>
      </w:r>
    </w:p>
    <w:tbl>
      <w:tblPr>
        <w:tblW w:w="5000" w:type="pct"/>
        <w:tblBorders/>
        <w:tblLook>
          <w:val w:val="04A0"/>
        </w:tblLook>
      </w:tblPr>
      <w:tr>
        <w:tc>
          <w:tcPr>
            <w:tcW w:w="1000" w:type="pct"/>
            <w:shd w:val="clear" w:fill="D9E2F3"/>
          </w:tcPr>
          <w:p>
            <w:r>
              <w:rPr>
                <w:b/>
                <w:sz w:val="20"/>
                <w:rFonts w:eastAsia="宋体" w:ascii="宋体" w:hAnsi="宋体"/>
              </w:rPr>
              <w:t w:space="preserve">传输方式</w:t>
            </w:r>
          </w:p>
        </w:tc>
        <w:tc>
          <w:tcPr>
            <w:tcW w:w="1000" w:type="pct"/>
            <w:shd w:val="clear" w:fill="D9E2F3"/>
          </w:tcPr>
          <w:p>
            <w:r>
              <w:rPr>
                <w:b/>
                <w:sz w:val="20"/>
                <w:rFonts w:eastAsia="宋体" w:ascii="宋体" w:hAnsi="宋体"/>
              </w:rPr>
              <w:t w:space="preserve">编码</w:t>
            </w:r>
          </w:p>
        </w:tc>
        <w:tc>
          <w:tcPr>
            <w:tcW w:w="1000" w:type="pct"/>
            <w:shd w:val="clear" w:fill="D9E2F3"/>
          </w:tcPr>
          <w:p>
            <w:r>
              <w:rPr>
                <w:b/>
                <w:sz w:val="20"/>
                <w:rFonts w:eastAsia="宋体" w:ascii="宋体" w:hAnsi="宋体"/>
              </w:rPr>
              <w:t w:space="preserve">网络</w:t>
            </w:r>
          </w:p>
        </w:tc>
        <w:tc>
          <w:tcPr>
            <w:tcW w:w="1000" w:type="pct"/>
            <w:shd w:val="clear" w:fill="D9E2F3"/>
          </w:tcPr>
          <w:p>
            <w:r>
              <w:rPr>
                <w:b/>
                <w:sz w:val="20"/>
                <w:rFonts w:eastAsia="宋体" w:ascii="宋体" w:hAnsi="宋体"/>
              </w:rPr>
              <w:t w:space="preserve">解码</w:t>
            </w:r>
          </w:p>
        </w:tc>
        <w:tc>
          <w:tcPr>
            <w:tcW w:w="1000" w:type="pct"/>
            <w:shd w:val="clear" w:fill="D9E2F3"/>
          </w:tcPr>
          <w:p>
            <w:r>
              <w:rPr>
                <w:b/>
                <w:sz w:val="20"/>
                <w:rFonts w:eastAsia="宋体" w:ascii="宋体" w:hAnsi="宋体"/>
              </w:rPr>
              <w:t w:space="preserve">端到端总延迟</w:t>
            </w:r>
          </w:p>
        </w:tc>
      </w:tr>
      <w:tr>
        <w:tc>
          <w:tcPr>
            <w:tcW w:w="1000" w:type="pct"/>
          </w:tcPr>
          <w:p>
            <w:r>
              <w:rPr>
                <w:sz w:val="20"/>
                <w:rFonts w:eastAsia="宋体" w:ascii="宋体" w:hAnsi="宋体"/>
              </w:rPr>
              <w:t w:space="preserve">TCP RTSP (有线)</w:t>
            </w:r>
          </w:p>
        </w:tc>
        <w:tc>
          <w:tcPr>
            <w:tcW w:w="1000" w:type="pct"/>
          </w:tcPr>
          <w:p>
            <w:r>
              <w:rPr>
                <w:sz w:val="20"/>
                <w:rFonts w:eastAsia="宋体" w:ascii="宋体" w:hAnsi="宋体"/>
              </w:rPr>
              <w:t w:space="preserve">28ms</w:t>
            </w:r>
          </w:p>
        </w:tc>
        <w:tc>
          <w:tcPr>
            <w:tcW w:w="1000" w:type="pct"/>
          </w:tcPr>
          <w:p>
            <w:r>
              <w:rPr>
                <w:sz w:val="20"/>
                <w:rFonts w:eastAsia="宋体" w:ascii="宋体" w:hAnsi="宋体"/>
              </w:rPr>
              <w:t w:space="preserve">15ms</w:t>
            </w:r>
          </w:p>
        </w:tc>
        <w:tc>
          <w:tcPr>
            <w:tcW w:w="1000" w:type="pct"/>
          </w:tcPr>
          <w:p>
            <w:r>
              <w:rPr>
                <w:sz w:val="20"/>
                <w:rFonts w:eastAsia="宋体" w:ascii="宋体" w:hAnsi="宋体"/>
              </w:rPr>
              <w:t w:space="preserve">12ms</w:t>
            </w:r>
          </w:p>
        </w:tc>
        <w:tc>
          <w:tcPr>
            <w:tcW w:w="1000" w:type="pct"/>
          </w:tcPr>
          <w:p>
            <w:r>
              <w:rPr>
                <w:sz w:val="20"/>
                <w:rFonts w:eastAsia="宋体" w:ascii="宋体" w:hAnsi="宋体"/>
              </w:rPr>
              <w:t w:space="preserve">55ms</w:t>
            </w:r>
          </w:p>
        </w:tc>
      </w:tr>
      <w:tr>
        <w:tc>
          <w:tcPr>
            <w:tcW w:w="1000" w:type="pct"/>
          </w:tcPr>
          <w:p>
            <w:r>
              <w:rPr>
                <w:sz w:val="20"/>
                <w:rFonts w:eastAsia="宋体" w:ascii="宋体" w:hAnsi="宋体"/>
              </w:rPr>
              <w:t w:space="preserve">WebRTC (5GHz WiFi)</w:t>
            </w:r>
          </w:p>
        </w:tc>
        <w:tc>
          <w:tcPr>
            <w:tcW w:w="1000" w:type="pct"/>
          </w:tcPr>
          <w:p>
            <w:r>
              <w:rPr>
                <w:sz w:val="20"/>
                <w:rFonts w:eastAsia="宋体" w:ascii="宋体" w:hAnsi="宋体"/>
              </w:rPr>
              <w:t w:space="preserve">28ms</w:t>
            </w:r>
          </w:p>
        </w:tc>
        <w:tc>
          <w:tcPr>
            <w:tcW w:w="1000" w:type="pct"/>
          </w:tcPr>
          <w:p>
            <w:r>
              <w:rPr>
                <w:sz w:val="20"/>
                <w:rFonts w:eastAsia="宋体" w:ascii="宋体" w:hAnsi="宋体"/>
              </w:rPr>
              <w:t w:space="preserve">32ms</w:t>
            </w:r>
          </w:p>
        </w:tc>
        <w:tc>
          <w:tcPr>
            <w:tcW w:w="1000" w:type="pct"/>
          </w:tcPr>
          <w:p>
            <w:r>
              <w:rPr>
                <w:sz w:val="20"/>
                <w:rFonts w:eastAsia="宋体" w:ascii="宋体" w:hAnsi="宋体"/>
              </w:rPr>
              <w:t w:space="preserve">18ms</w:t>
            </w:r>
          </w:p>
        </w:tc>
        <w:tc>
          <w:tcPr>
            <w:tcW w:w="1000" w:type="pct"/>
          </w:tcPr>
          <w:p>
            <w:r>
              <w:rPr>
                <w:sz w:val="20"/>
                <w:rFonts w:eastAsia="宋体" w:ascii="宋体" w:hAnsi="宋体"/>
              </w:rPr>
              <w:t w:space="preserve">78ms</w:t>
            </w:r>
          </w:p>
        </w:tc>
      </w:tr>
    </w:tbl>
    <w:p>
      <w:pPr/>
    </w:p>
    <w:p>
      <w:pPr/>
      <w:pPr>
        <w:spacing w:line="360" w:lineRule="auto"/>
      </w:pPr>
      <w:r>
        <w:rPr>
          <w:sz w:val="24"/>
          <w:rFonts w:eastAsia="宋体" w:ascii="宋体" w:hAnsi="宋体"/>
        </w:rPr>
        <w:t w:space="preserve">结论：有线RTSP端到端55ms，OSD仅增4ms开销，WiFi WebRTC因抖动增至78ms。</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此处插入图片：推流延迟测试截图（计时器对比） ]</w:t>
      </w:r>
    </w:p>
    <w:p>
      <w:pPr/>
    </w:p>
    <w:p>
      <w:pPr/>
      <w:pPr>
        <w:spacing w:line="360" w:lineRule="auto"/>
      </w:pPr>
      <w:r>
        <w:rPr>
          <w:sz w:val="24"/>
          <w:rFonts w:eastAsia="宋体" w:ascii="宋体" w:hAnsi="宋体"/>
        </w:rPr>
        <w:t w:space="preserve">5. NVMe存储性能测试</w:t>
      </w:r>
    </w:p>
    <w:p>
      <w:pPr/>
      <w:pPr>
        <w:spacing w:line="360" w:lineRule="auto"/>
      </w:pPr>
      <w:r>
        <w:rPr>
          <w:sz w:val="24"/>
          <w:rFonts w:eastAsia="宋体" w:ascii="宋体" w:hAnsi="宋体"/>
        </w:rPr>
        <w:t w:space="preserve">测试方法：fio基准测试，100GB持续写入，4KB块大小，三种模式对比。</w:t>
      </w:r>
    </w:p>
    <w:tbl>
      <w:tblPr>
        <w:tblW w:w="5000" w:type="pct"/>
        <w:tblBorders/>
        <w:tblLook>
          <w:val w:val="04A0"/>
        </w:tblLook>
      </w:tblPr>
      <w:tr>
        <w:tc>
          <w:tcPr>
            <w:tcW w:w="1000" w:type="pct"/>
            <w:shd w:val="clear" w:fill="D9E2F3"/>
          </w:tcPr>
          <w:p>
            <w:r>
              <w:rPr>
                <w:b/>
                <w:sz w:val="20"/>
                <w:rFonts w:eastAsia="宋体" w:ascii="宋体" w:hAnsi="宋体"/>
              </w:rPr>
              <w:t w:space="preserve">写入模式</w:t>
            </w:r>
          </w:p>
        </w:tc>
        <w:tc>
          <w:tcPr>
            <w:tcW w:w="1000" w:type="pct"/>
            <w:shd w:val="clear" w:fill="D9E2F3"/>
          </w:tcPr>
          <w:p>
            <w:r>
              <w:rPr>
                <w:b/>
                <w:sz w:val="20"/>
                <w:rFonts w:eastAsia="宋体" w:ascii="宋体" w:hAnsi="宋体"/>
              </w:rPr>
              <w:t w:space="preserve">带宽</w:t>
            </w:r>
          </w:p>
        </w:tc>
        <w:tc>
          <w:tcPr>
            <w:tcW w:w="1000" w:type="pct"/>
            <w:shd w:val="clear" w:fill="D9E2F3"/>
          </w:tcPr>
          <w:p>
            <w:r>
              <w:rPr>
                <w:b/>
                <w:sz w:val="20"/>
                <w:rFonts w:eastAsia="宋体" w:ascii="宋体" w:hAnsi="宋体"/>
              </w:rPr>
              <w:t w:space="preserve">平均延迟</w:t>
            </w:r>
          </w:p>
        </w:tc>
        <w:tc>
          <w:tcPr>
            <w:tcW w:w="1000" w:type="pct"/>
            <w:shd w:val="clear" w:fill="D9E2F3"/>
          </w:tcPr>
          <w:p>
            <w:r>
              <w:rPr>
                <w:b/>
                <w:sz w:val="20"/>
                <w:rFonts w:eastAsia="宋体" w:ascii="宋体" w:hAnsi="宋体"/>
              </w:rPr>
              <w:t w:space="preserve">99%延迟</w:t>
            </w:r>
          </w:p>
        </w:tc>
        <w:tc>
          <w:tcPr>
            <w:tcW w:w="1000" w:type="pct"/>
            <w:shd w:val="clear" w:fill="D9E2F3"/>
          </w:tcPr>
          <w:p>
            <w:r>
              <w:rPr>
                <w:b/>
                <w:sz w:val="20"/>
                <w:rFonts w:eastAsia="宋体" w:ascii="宋体" w:hAnsi="宋体"/>
              </w:rPr>
              <w:t w:space="preserve">WAF</w:t>
            </w:r>
          </w:p>
        </w:tc>
      </w:tr>
      <w:tr>
        <w:tc>
          <w:tcPr>
            <w:tcW w:w="1000" w:type="pct"/>
          </w:tcPr>
          <w:p>
            <w:r>
              <w:rPr>
                <w:sz w:val="20"/>
                <w:rFonts w:eastAsia="宋体" w:ascii="宋体" w:hAnsi="宋体"/>
              </w:rPr>
              <w:t w:space="preserve">裸NVMe (O_DIRECT)</w:t>
            </w:r>
          </w:p>
        </w:tc>
        <w:tc>
          <w:tcPr>
            <w:tcW w:w="1000" w:type="pct"/>
          </w:tcPr>
          <w:p>
            <w:r>
              <w:rPr>
                <w:sz w:val="20"/>
                <w:rFonts w:eastAsia="宋体" w:ascii="宋体" w:hAnsi="宋体"/>
              </w:rPr>
              <w:t w:space="preserve">215MB/s</w:t>
            </w:r>
          </w:p>
        </w:tc>
        <w:tc>
          <w:tcPr>
            <w:tcW w:w="1000" w:type="pct"/>
          </w:tcPr>
          <w:p>
            <w:r>
              <w:rPr>
                <w:sz w:val="20"/>
                <w:rFonts w:eastAsia="宋体" w:ascii="宋体" w:hAnsi="宋体"/>
              </w:rPr>
              <w:t w:space="preserve">0.18ms</w:t>
            </w:r>
          </w:p>
        </w:tc>
        <w:tc>
          <w:tcPr>
            <w:tcW w:w="1000" w:type="pct"/>
          </w:tcPr>
          <w:p>
            <w:r>
              <w:rPr>
                <w:sz w:val="20"/>
                <w:rFonts w:eastAsia="宋体" w:ascii="宋体" w:hAnsi="宋体"/>
              </w:rPr>
              <w:t w:space="preserve">0.52ms</w:t>
            </w:r>
          </w:p>
        </w:tc>
        <w:tc>
          <w:tcPr>
            <w:tcW w:w="1000" w:type="pct"/>
          </w:tcPr>
          <w:p>
            <w:r>
              <w:rPr>
                <w:sz w:val="20"/>
                <w:rFonts w:eastAsia="宋体" w:ascii="宋体" w:hAnsi="宋体"/>
              </w:rPr>
              <w:t w:space="preserve">1.0</w:t>
            </w:r>
          </w:p>
        </w:tc>
      </w:tr>
      <w:tr>
        <w:tc>
          <w:tcPr>
            <w:tcW w:w="1000" w:type="pct"/>
          </w:tcPr>
          <w:p>
            <w:r>
              <w:rPr>
                <w:sz w:val="20"/>
                <w:rFonts w:eastAsia="宋体" w:ascii="宋体" w:hAnsi="宋体"/>
              </w:rPr>
              <w:t w:space="preserve">ext4 (journal)</w:t>
            </w:r>
          </w:p>
        </w:tc>
        <w:tc>
          <w:tcPr>
            <w:tcW w:w="1000" w:type="pct"/>
          </w:tcPr>
          <w:p>
            <w:r>
              <w:rPr>
                <w:sz w:val="20"/>
                <w:rFonts w:eastAsia="宋体" w:ascii="宋体" w:hAnsi="宋体"/>
              </w:rPr>
              <w:t w:space="preserve">178MB/s</w:t>
            </w:r>
          </w:p>
        </w:tc>
        <w:tc>
          <w:tcPr>
            <w:tcW w:w="1000" w:type="pct"/>
          </w:tcPr>
          <w:p>
            <w:r>
              <w:rPr>
                <w:sz w:val="20"/>
                <w:rFonts w:eastAsia="宋体" w:ascii="宋体" w:hAnsi="宋体"/>
              </w:rPr>
              <w:t w:space="preserve">0.22ms</w:t>
            </w:r>
          </w:p>
        </w:tc>
        <w:tc>
          <w:tcPr>
            <w:tcW w:w="1000" w:type="pct"/>
          </w:tcPr>
          <w:p>
            <w:r>
              <w:rPr>
                <w:sz w:val="20"/>
                <w:rFonts w:eastAsia="宋体" w:ascii="宋体" w:hAnsi="宋体"/>
              </w:rPr>
              <w:t w:space="preserve">12.8ms</w:t>
            </w:r>
          </w:p>
        </w:tc>
        <w:tc>
          <w:tcPr>
            <w:tcW w:w="1000" w:type="pct"/>
          </w:tcPr>
          <w:p>
            <w:r>
              <w:rPr>
                <w:sz w:val="20"/>
                <w:rFonts w:eastAsia="宋体" w:ascii="宋体" w:hAnsi="宋体"/>
              </w:rPr>
              <w:t w:space="preserve">2.1</w:t>
            </w:r>
          </w:p>
        </w:tc>
      </w:tr>
      <w:tr>
        <w:tc>
          <w:tcPr>
            <w:tcW w:w="1000" w:type="pct"/>
          </w:tcPr>
          <w:p>
            <w:r>
              <w:rPr>
                <w:sz w:val="20"/>
                <w:rFonts w:eastAsia="宋体" w:ascii="宋体" w:hAnsi="宋体"/>
              </w:rPr>
              <w:t w:space="preserve">dm-ringbox</w:t>
            </w:r>
          </w:p>
        </w:tc>
        <w:tc>
          <w:tcPr>
            <w:tcW w:w="1000" w:type="pct"/>
          </w:tcPr>
          <w:p>
            <w:r>
              <w:rPr>
                <w:sz w:val="20"/>
                <w:rFonts w:eastAsia="宋体" w:ascii="宋体" w:hAnsi="宋体"/>
              </w:rPr>
              <w:t w:space="preserve">208MB/s</w:t>
            </w:r>
          </w:p>
        </w:tc>
        <w:tc>
          <w:tcPr>
            <w:tcW w:w="1000" w:type="pct"/>
          </w:tcPr>
          <w:p>
            <w:r>
              <w:rPr>
                <w:sz w:val="20"/>
                <w:rFonts w:eastAsia="宋体" w:ascii="宋体" w:hAnsi="宋体"/>
              </w:rPr>
              <w:t w:space="preserve">0.19ms</w:t>
            </w:r>
          </w:p>
        </w:tc>
        <w:tc>
          <w:tcPr>
            <w:tcW w:w="1000" w:type="pct"/>
          </w:tcPr>
          <w:p>
            <w:r>
              <w:rPr>
                <w:sz w:val="20"/>
                <w:rFonts w:eastAsia="宋体" w:ascii="宋体" w:hAnsi="宋体"/>
              </w:rPr>
              <w:t w:space="preserve">0.48ms</w:t>
            </w:r>
          </w:p>
        </w:tc>
        <w:tc>
          <w:tcPr>
            <w:tcW w:w="1000" w:type="pct"/>
          </w:tcPr>
          <w:p>
            <w:r>
              <w:rPr>
                <w:sz w:val="20"/>
                <w:rFonts w:eastAsia="宋体" w:ascii="宋体" w:hAnsi="宋体"/>
              </w:rPr>
              <w:t w:space="preserve">1.0</w:t>
            </w:r>
          </w:p>
        </w:tc>
      </w:tr>
    </w:tbl>
    <w:p>
      <w:pPr/>
    </w:p>
    <w:p>
      <w:pPr/>
      <w:pPr>
        <w:spacing w:line="360" w:lineRule="auto"/>
      </w:pPr>
      <w:r>
        <w:rPr>
          <w:sz w:val="24"/>
          <w:rFonts w:eastAsia="宋体" w:ascii="宋体" w:hAnsi="宋体"/>
        </w:rPr>
        <w:t w:space="preserve">结论：dm-ringbox带宽仅比裸设备低3.2%，尾部延迟0.48ms优于裸设备（环形映射消除寻道），远优于ext4的12.8ms抖动和2.1倍写放大。</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此处插入图片：NVMe存储性能测试对比柱状图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此处插入图片：测试现场照片 ]</w:t>
      </w:r>
    </w:p>
    <w:p>
      <w:pPr/>
    </w:p>
    <w:p>
      <w:r>
        <w:br w:type="page"/>
      </w:r>
    </w:p>
    <w:p>
      <w:pPr>
        <w:pStyle w:val="Heading1"/>
      </w:pPr>
      <w:r>
        <w:rPr>
          <w:b/>
          <w:sz w:val="36"/>
          <w:rFonts w:eastAsia="黑体" w:ascii="黑体" w:hAnsi="黑体"/>
        </w:rPr>
        <w:t w:space="preserve">第四部分  总结</w:t>
      </w:r>
    </w:p>
    <w:p>
      <w:pPr>
        <w:pStyle w:val="Heading2"/>
        <w:spacing w:before="200"/>
        <w:spacing w:after="80"/>
      </w:pPr>
      <w:r>
        <w:rPr>
          <w:b/>
          <w:sz w:val="28"/>
          <w:rFonts w:eastAsia="黑体" w:ascii="黑体" w:hAnsi="黑体"/>
        </w:rPr>
        <w:t w:space="preserve">4.1 可扩展之处</w:t>
      </w:r>
    </w:p>
    <w:p>
      <w:pPr/>
      <w:pPr>
        <w:spacing w:line="360" w:lineRule="auto"/>
      </w:pPr>
      <w:r>
        <w:rPr>
          <w:sz w:val="24"/>
          <w:rFonts w:eastAsia="宋体" w:ascii="宋体" w:hAnsi="宋体"/>
        </w:rPr>
        <w:t w:space="preserve">（1）多传感器融合升级：引入毫米波雷达或ToF深度相机作为第三模态传感器，进一步提升遮挡、低光照和恶劣天气下的感知鲁棒性，探索多模态传感器的联合标定和深度融合算法。（2）预测性安全防护：基于历史轨迹数据训练轨迹预测模型（如Social-LSTM或Transformer架构），实现人员未来1-2秒的运动意图预测，将安全响应从被动检测升级为主动预判。（3）联邦学习与模型进化：部署联邦学习框架，使部署在不同工厂的终端在保护数据隐私前提下协同优化检测模型，逐步适应各场景的特定目标类别和环境条件。（4）功能安全认证：依据IEC 61508和ISO 13849标准对系统进行完整的安全完整性等级（SIL）评估和认证，使产品具备进入汽车、医疗等受监管行业的资质。（5）产业化推广：优化3D打印工艺至注塑成型降低批量成本，开发云端设备管理SaaS平台提供远程配置、固件OTA和健康监测，建立行业解决方案合作伙伴网络。</w:t>
      </w:r>
    </w:p>
    <w:p>
      <w:pPr>
        <w:pStyle w:val="Heading2"/>
        <w:spacing w:before="200"/>
        <w:spacing w:after="80"/>
      </w:pPr>
      <w:r>
        <w:rPr>
          <w:b/>
          <w:sz w:val="28"/>
          <w:rFonts w:eastAsia="黑体" w:ascii="黑体" w:hAnsi="黑体"/>
        </w:rPr>
        <w:t w:space="preserve">4.2 心得体会</w:t>
      </w:r>
    </w:p>
    <w:p>
      <w:pPr/>
      <w:pPr>
        <w:spacing w:line="360" w:lineRule="auto"/>
      </w:pPr>
      <w:r>
        <w:rPr>
          <w:sz w:val="24"/>
          <w:rFonts w:eastAsia="宋体" w:ascii="宋体" w:hAnsi="宋体"/>
        </w:rPr>
        <w:t w:space="preserve">本项目的研发历程是一次从概念到原型的完整工程实践，团队在多个技术领域积累了宝贵的经验。</w:t>
      </w:r>
    </w:p>
    <w:p>
      <w:pPr/>
      <w:pPr>
        <w:spacing w:line="360" w:lineRule="auto"/>
      </w:pPr>
      <w:r>
        <w:rPr>
          <w:sz w:val="24"/>
          <w:rFonts w:eastAsia="宋体" w:ascii="宋体" w:hAnsi="宋体"/>
        </w:rPr>
        <w:t w:space="preserve">在硬件设计方面，3D打印一体化结构经历了三次迭代才达到理想状态。V1.0初版在装配时发现散热风道设计不合理，长时间运行后核心板温度偏高；V1.1通过增加蜂窝状散热孔和优化风道走向解决了散热问题，但又发现摄像头FOV被壳体边缘轻微遮挡；V1.2通过精确测量传感器光轴位置并调整壳体开口角度最终解决了所有问题。这个迭代过程让我们深刻体会到机械-电子-光学协同设计的重要性。</w:t>
      </w:r>
    </w:p>
    <w:p>
      <w:pPr/>
      <w:pPr>
        <w:spacing w:line="360" w:lineRule="auto"/>
      </w:pPr>
      <w:r>
        <w:rPr>
          <w:sz w:val="24"/>
          <w:rFonts w:eastAsia="宋体" w:ascii="宋体" w:hAnsi="宋体"/>
        </w:rPr>
        <w:t w:space="preserve">在驱动开发方面，dm-ringbox的研发是最具挑战性的部分。最初我们尝试在用户态通过pread/pwrite实现环形写入，但频繁的lseek系统调用带来了显著的性能损失。转向内核Device Mapper框架后，在bio层直接修改扇区地址的方案大幅提升了性能，但调试过程中遇到的内存屏障（memory barrier）和数据一致性问题是驱动开发的难点。特别感谢Linux内核社区完善的DM框架文档和示例代码。</w:t>
      </w:r>
    </w:p>
    <w:p>
      <w:pPr/>
      <w:pPr>
        <w:spacing w:line="360" w:lineRule="auto"/>
      </w:pPr>
      <w:r>
        <w:rPr>
          <w:sz w:val="24"/>
          <w:rFonts w:eastAsia="宋体" w:ascii="宋体" w:hAnsi="宋体"/>
        </w:rPr>
        <w:t w:space="preserve">在算法开发方面，LiDAR-Camera融合的两遍算法设计经历了数轮优化。初始的逐点逐框暴力匹配方案耗时过长（&gt;50ms），通过预分配缓冲区、外参变换的2D优化（z=0简化为6乘3加）和首次命中策略将延迟降至亚毫秒级。多目标跟踪器的参数调优也是一个反复试验的过程——Alpha-Beta滤波器的增益系数、关联门限距离、生命周期计数器阈值之间存在复杂的相互作用，最终通过大量场景测试数据驱动地确定了16参数的默认值。</w:t>
      </w:r>
    </w:p>
    <w:p>
      <w:pPr/>
      <w:pPr>
        <w:spacing w:line="360" w:lineRule="auto"/>
      </w:pPr>
      <w:r>
        <w:rPr>
          <w:sz w:val="24"/>
          <w:rFonts w:eastAsia="宋体" w:ascii="宋体" w:hAnsi="宋体"/>
        </w:rPr>
        <w:t w:space="preserve">在系统集成方面，DMA-BUF零拷贝架构的调试最为耗时。不同硬件加速器（V4L2/RGA/NPU/MPP）对DMA-BUF的内存对齐、缓存一致性和访问权限有不同要求，某个环节配置不当就会导致花屏、段错误或性能骤降。通过逐环节增加调试日志和DMA-BUF属性查询，定位到RGA输出的cacheable属性与NPU输入的uncached要求不兼容的问题，最终通过DMA heap的uncached-dma32分配统一解决了全链路的缓存一致性问题。</w:t>
      </w:r>
    </w:p>
    <w:p>
      <w:pPr/>
      <w:pPr>
        <w:spacing w:line="360" w:lineRule="auto"/>
      </w:pPr>
      <w:r>
        <w:rPr>
          <w:sz w:val="24"/>
          <w:rFonts w:eastAsia="宋体" w:ascii="宋体" w:hAnsi="宋体"/>
        </w:rPr>
        <w:t w:space="preserve">在整个项目中，我们深刻体会到了嵌入式系统开发中"硬件-aware软件设计"的重要性。RK3588的异构算力（NPU/RGA/MPP/GPU）为性能优化提供了丰富的可能性，但充分发挥这些硬件加速器的能力需要深入理解每个模块的硬件特性、内存模型和编程接口。我们也认识到开源社区的力量——从Linux内核到FFmpeg，从Qt到cpp-httplib，大量高质量的开源软件为本项目的快速迭代提供了坚实的技术基础。这份经历不仅提升了我们的工程实践能力，更培养了系统思维和问题分解能力，是大学阶段最为宝贵的实践收获。</w:t>
      </w:r>
    </w:p>
    <w:p>
      <w:r>
        <w:br w:type="page"/>
      </w:r>
    </w:p>
    <w:p>
      <w:pPr>
        <w:pStyle w:val="Heading1"/>
      </w:pPr>
      <w:r>
        <w:rPr>
          <w:b/>
          <w:sz w:val="36"/>
          <w:rFonts w:eastAsia="黑体" w:ascii="黑体" w:hAnsi="黑体"/>
        </w:rPr>
        <w:t w:space="preserve">第五部分  参考文献</w:t>
      </w:r>
    </w:p>
    <w:p>
      <w:pPr/>
      <w:r>
        <w:rPr>
          <w:sz w:val="24"/>
          <w:rFonts w:eastAsia="宋体" w:ascii="宋体" w:hAnsi="宋体"/>
          <w:color w:val="808080"/>
        </w:rPr>
        <w:t w:space="preserve">（标准格式，限20篇以内）</w:t>
      </w:r>
    </w:p>
    <w:p>
      <w:pPr/>
      <w:pPr>
        <w:spacing w:line="360" w:lineRule="auto"/>
      </w:pPr>
      <w:r>
        <w:rPr>
          <w:sz w:val="24"/>
          <w:rFonts w:eastAsia="宋体" w:ascii="宋体" w:hAnsi="宋体"/>
        </w:rPr>
        <w:t w:space="preserve">[1] Redmon J, Farhadi A. YOLOv3: An Incremental Improvement[J]. arXiv:1804.02767, 2018.</w:t>
      </w:r>
    </w:p>
    <w:p>
      <w:pPr/>
      <w:pPr>
        <w:spacing w:line="360" w:lineRule="auto"/>
      </w:pPr>
      <w:r>
        <w:rPr>
          <w:sz w:val="24"/>
          <w:rFonts w:eastAsia="宋体" w:ascii="宋体" w:hAnsi="宋体"/>
        </w:rPr>
        <w:t w:space="preserve">[2] Jocher G, Chaurasia A, Qiu J. Ultralytics YOLOv8[CP/OL]. https://github.com/ultralytics/ultralytics, 2023.</w:t>
      </w:r>
    </w:p>
    <w:p>
      <w:pPr/>
      <w:pPr>
        <w:spacing w:line="360" w:lineRule="auto"/>
      </w:pPr>
      <w:r>
        <w:rPr>
          <w:sz w:val="24"/>
          <w:rFonts w:eastAsia="宋体" w:ascii="宋体" w:hAnsi="宋体"/>
        </w:rPr>
        <w:t w:space="preserve">[3] Rockchip Electronics Co., Ltd. RK3588 Technical Reference Manual (TRM)[Z]. Rev.1.0, 2022.</w:t>
      </w:r>
    </w:p>
    <w:p>
      <w:pPr/>
      <w:pPr>
        <w:spacing w:line="360" w:lineRule="auto"/>
      </w:pPr>
      <w:r>
        <w:rPr>
          <w:sz w:val="24"/>
          <w:rFonts w:eastAsia="宋体" w:ascii="宋体" w:hAnsi="宋体"/>
        </w:rPr>
        <w:t w:space="preserve">[4] Rockchip Electronics Co., Ltd. Rockchip RKNN SDK User Guide[Z]. Version 1.5.0, 2023.</w:t>
      </w:r>
    </w:p>
    <w:p>
      <w:pPr/>
      <w:pPr>
        <w:spacing w:line="360" w:lineRule="auto"/>
      </w:pPr>
      <w:r>
        <w:rPr>
          <w:sz w:val="24"/>
          <w:rFonts w:eastAsia="宋体" w:ascii="宋体" w:hAnsi="宋体"/>
        </w:rPr>
        <w:t w:space="preserve">[5] Rockchip Electronics Co., Ltd. Rockchip RGA API Reference[Z]. Version 1.3.0, 2022.</w:t>
      </w:r>
    </w:p>
    <w:p>
      <w:pPr/>
      <w:pPr>
        <w:spacing w:line="360" w:lineRule="auto"/>
      </w:pPr>
      <w:r>
        <w:rPr>
          <w:sz w:val="24"/>
          <w:rFonts w:eastAsia="宋体" w:ascii="宋体" w:hAnsi="宋体"/>
        </w:rPr>
        <w:t w:space="preserve">[6] Rockchip Electronics Co., Ltd. Rockchip MPP Development Guide[Z]. Version 1.8.0, 2023.</w:t>
      </w:r>
    </w:p>
    <w:p>
      <w:pPr/>
      <w:pPr>
        <w:spacing w:line="360" w:lineRule="auto"/>
      </w:pPr>
      <w:r>
        <w:rPr>
          <w:sz w:val="24"/>
          <w:rFonts w:eastAsia="宋体" w:ascii="宋体" w:hAnsi="宋体"/>
        </w:rPr>
        <w:t w:space="preserve">[7] TDK InvenSense. ICM-45686 6-Axis MEMS Motion Sensor Data Sheet[Z]. DS-000456, Rev.1.0, 2023.</w:t>
      </w:r>
    </w:p>
    <w:p>
      <w:pPr/>
      <w:pPr>
        <w:spacing w:line="360" w:lineRule="auto"/>
      </w:pPr>
      <w:r>
        <w:rPr>
          <w:sz w:val="24"/>
          <w:rFonts w:eastAsia="宋体" w:ascii="宋体" w:hAnsi="宋体"/>
        </w:rPr>
        <w:t w:space="preserve">[8] LeiShen Intelligent System Co., Ltd. N10Plus LiDAR Protocol Manual[Z]. Version 2.3, 2022.</w:t>
      </w:r>
    </w:p>
    <w:p>
      <w:pPr/>
      <w:pPr>
        <w:spacing w:line="360" w:lineRule="auto"/>
      </w:pPr>
      <w:r>
        <w:rPr>
          <w:sz w:val="24"/>
          <w:rFonts w:eastAsia="宋体" w:ascii="宋体" w:hAnsi="宋体"/>
        </w:rPr>
        <w:t w:space="preserve">[9] OmniVision Technologies, Inc. OV13855 13MP CMOS Image Sensor Data Sheet[Z]. Version 1.2, 2018.</w:t>
      </w:r>
    </w:p>
    <w:p>
      <w:pPr/>
      <w:pPr>
        <w:spacing w:line="360" w:lineRule="auto"/>
      </w:pPr>
      <w:r>
        <w:rPr>
          <w:sz w:val="24"/>
          <w:rFonts w:eastAsia="宋体" w:ascii="宋体" w:hAnsi="宋体"/>
        </w:rPr>
        <w:t w:space="preserve">[10] Madgwick S O H. An Efficient Orientation Filter for IMU and MARG Arrays[R]. Univ. of Bristol, 2011.</w:t>
      </w:r>
    </w:p>
    <w:p>
      <w:pPr/>
      <w:pPr>
        <w:spacing w:line="360" w:lineRule="auto"/>
      </w:pPr>
      <w:r>
        <w:rPr>
          <w:sz w:val="24"/>
          <w:rFonts w:eastAsia="宋体" w:ascii="宋体" w:hAnsi="宋体"/>
        </w:rPr>
        <w:t w:space="preserve">[11] Blackman S, Popoli R. Design and Analysis of Modern Tracking Systems[M]. Artech House, 1999.</w:t>
      </w:r>
    </w:p>
    <w:p>
      <w:pPr/>
      <w:pPr>
        <w:spacing w:line="360" w:lineRule="auto"/>
      </w:pPr>
      <w:r>
        <w:rPr>
          <w:sz w:val="24"/>
          <w:rFonts w:eastAsia="宋体" w:ascii="宋体" w:hAnsi="宋体"/>
        </w:rPr>
        <w:t w:space="preserve">[12] Kalman R E. A New Approach to Linear Filtering and Prediction Problems[J]. J. Basic Eng., 1960, 82(1): 35-45.</w:t>
      </w:r>
    </w:p>
    <w:p>
      <w:pPr/>
      <w:pPr>
        <w:spacing w:line="360" w:lineRule="auto"/>
      </w:pPr>
      <w:r>
        <w:rPr>
          <w:sz w:val="24"/>
          <w:rFonts w:eastAsia="宋体" w:ascii="宋体" w:hAnsi="宋体"/>
        </w:rPr>
        <w:t w:space="preserve">[13] Bewley A, Ge Z, Ott L, et al. Simple Online and Realtime Tracking (SORT)[C]. IEEE ICIP, 2016: 3464-3468.</w:t>
      </w:r>
    </w:p>
    <w:p>
      <w:pPr/>
      <w:pPr>
        <w:spacing w:line="360" w:lineRule="auto"/>
      </w:pPr>
      <w:r>
        <w:rPr>
          <w:sz w:val="24"/>
          <w:rFonts w:eastAsia="宋体" w:ascii="宋体" w:hAnsi="宋体"/>
        </w:rPr>
        <w:t w:space="preserve">[14] Wojke N, Bewley A, Paulus D. DeepSORT: Simple Online and Realtime Tracking with a Deep Association Metric[C]. IEEE ICIP, 2017: 3645-3649.</w:t>
      </w:r>
    </w:p>
    <w:p>
      <w:pPr/>
      <w:pPr>
        <w:spacing w:line="360" w:lineRule="auto"/>
      </w:pPr>
      <w:r>
        <w:rPr>
          <w:sz w:val="24"/>
          <w:rFonts w:eastAsia="宋体" w:ascii="宋体" w:hAnsi="宋体"/>
        </w:rPr>
        <w:t w:space="preserve">[15] Bernardin K, Stiefelhagen R. Evaluating Multiple Object Tracking Performance: The CLEAR MOT Metrics[J]. EURASIP JIVP, 2008, 2008: 1-10.</w:t>
      </w:r>
    </w:p>
    <w:p>
      <w:pPr/>
      <w:pPr>
        <w:spacing w:line="360" w:lineRule="auto"/>
      </w:pPr>
      <w:r>
        <w:rPr>
          <w:sz w:val="24"/>
          <w:rFonts w:eastAsia="宋体" w:ascii="宋体" w:hAnsi="宋体"/>
        </w:rPr>
        <w:t w:space="preserve">[16] He K, Zhang X, Ren S, et al. Deep Residual Learning for Image Recognition[C]. IEEE CVPR, 2016: 770-778.</w:t>
      </w:r>
    </w:p>
    <w:p>
      <w:pPr/>
      <w:pPr>
        <w:spacing w:line="360" w:lineRule="auto"/>
      </w:pPr>
      <w:r>
        <w:rPr>
          <w:sz w:val="24"/>
          <w:rFonts w:eastAsia="宋体" w:ascii="宋体" w:hAnsi="宋体"/>
        </w:rPr>
        <w:t w:space="preserve">[17] Lin T Y, Maire M, Belongie S, et al. Microsoft COCO: Common Objects in Context[C]. ECCV, 2014: 740-755.</w:t>
      </w:r>
    </w:p>
    <w:p>
      <w:pPr/>
      <w:pPr>
        <w:spacing w:line="360" w:lineRule="auto"/>
      </w:pPr>
      <w:r>
        <w:rPr>
          <w:sz w:val="24"/>
          <w:rFonts w:eastAsia="宋体" w:ascii="宋体" w:hAnsi="宋体"/>
        </w:rPr>
        <w:t w:space="preserve">[18] 中华人民共和国应急管理部. 中华人民共和国安全生产法[S]. 2021年修订版, 2021.</w:t>
      </w:r>
    </w:p>
    <w:p>
      <w:pPr/>
      <w:pPr>
        <w:spacing w:line="360" w:lineRule="auto"/>
      </w:pPr>
      <w:r>
        <w:rPr>
          <w:sz w:val="24"/>
          <w:rFonts w:eastAsia="宋体" w:ascii="宋体" w:hAnsi="宋体"/>
        </w:rPr>
        <w:t w:space="preserve">[19] IEC. IEC 61508:2010 Functional Safety of E/E/PE Safety-Related Systems[S]. 2010.</w:t>
      </w:r>
    </w:p>
    <w:p>
      <w:pPr/>
      <w:pPr>
        <w:spacing w:line="360" w:lineRule="auto"/>
      </w:pPr>
      <w:r>
        <w:rPr>
          <w:sz w:val="24"/>
          <w:rFonts w:eastAsia="宋体" w:ascii="宋体" w:hAnsi="宋体"/>
        </w:rPr>
        <w:t w:space="preserve">[20] ISO. ISO 13849-1:2015 Safety of Machinery — Safety-Related Parts of Control Systems[S]. 2015.</w:t>
      </w:r>
    </w:p>
  </w:body>
</w:document>
</file>

<file path=word/styles.xml><?xml version="1.0" encoding="utf-8"?>
<w:styles xmlns:w="http://schemas.openxmlformats.org/wordprocessingml/2006/main">
  <w:docDefaults>
    <w:rPrDefault>
      <w:rPr>
        <w:sz w:val="24"/>
        <w:rFonts eastAsia="宋体" ascii="Times New Roman" hAnsi="Times New Roman"/>
      </w:rPr>
    </w:rPrDefault>
    <w:pPrDefault>
      <w:pPr>
        <w:spacing w:line="360" w:lineRule="auto"/>
      </w:pPr>
    </w:pPrDefault>
  </w:docDefaults>
  <w:style w:type="paragraph" w:styleId="Normal">
    <w:name w:val="正文"/>
    <w:qFormat/>
    <w:rPr/>
    <w:pPr/>
  </w:style>
  <w:style w:type="paragraph" w:styleId="Heading1">
    <w:name w:val="标题 1"/>
    <w:qFormat/>
    <w:rPr>
      <w:sz w:val="36"/>
      <w:rFonts eastAsia="黑体" ascii="黑体" hAnsi="黑体"/>
      <w:b/>
    </w:rPr>
    <w:pPr>
      <w:spacing w:before="360"/>
      <w:spacing w:after="200"/>
    </w:pPr>
  </w:style>
  <w:style w:type="paragraph" w:styleId="Heading2">
    <w:name w:val="标题 2"/>
    <w:qFormat/>
    <w:rPr>
      <w:sz w:val="28"/>
      <w:rFonts eastAsia="黑体" ascii="黑体" hAnsi="黑体"/>
      <w:b/>
    </w:rPr>
    <w:pPr>
      <w:spacing w:before="240"/>
      <w:spacing w:after="120"/>
    </w:pPr>
  </w:style>
  <w:style w:type="paragraph" w:styleId="Heading3">
    <w:name w:val="标题 3"/>
    <w:qFormat/>
    <w:rPr>
      <w:sz w:val="26"/>
      <w:rFonts eastAsia="黑体" ascii="黑体" hAnsi="黑体"/>
      <w:b/>
    </w:rPr>
    <w:pPr>
      <w:spacing w:before="120"/>
      <w:spacing w:after="60"/>
    </w:pPr>
  </w:style>
</w:styles>
</file>

<file path=word/_rels/document.xml.rels><?xml version='1.0' encoding='UTF-8' standalone='yes'?>
<Relationships xmlns="http://schemas.openxmlformats.org/package/2006/relationships"><Relationship Id="rId1" Target="styles.xml" Type="http://schemas.openxmlformats.org/officeDocument/2006/relationships/styles"/></Relationships>
</file>