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  <w:jc w:val="center"/>
      </w:pPr>
      <w:r>
        <w:rPr>
          <w:rFonts w:ascii="宋体" w:hAnsi="宋体" w:eastAsia="宋体"/>
          <w:b/>
          <w:sz w:val="36"/>
        </w:rPr>
        <w:t>双移动机器人 Leader–Follower 实物跟踪实验总结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1. 实验任务说明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本实验在双移动机器人 Leader–Follower 场景中，记录并整理 Artstein-HPC 与 Artstein-LPC 的阶段性实物跟踪结果。评价半径固定为 1.0 m，所有统计均以该理想编队半径为唯一评价基准；距离误差定义为实际两车间距减去 1.0 m，表中的末帧误差为其绝对值。评价采用控制器 radius=1.0 m；recording.ideal_radius_m=2.0 为记录器历史配置，不参与本次误差计算。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2. 实物实验平台、数据流与控制方法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两台 mini_omni 全向移动机器人采用动捕状态源，Leader 的轨迹由速度命令驱动，Follower 依据相对编队误差输出速度命令。控制频率为 20 Hz，记录时长约 45 s。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Follower 的前向预测使用 Follower 当前动捕状态、最近输出命令和电机时间常数 tau 预测其短时状态，以补偿执行器响应。其原理是 Artstein 积分项将历史控制输入纳入状态，先补偿输入纯滞后，再将状态前向预测到控制时刻，使 HPC/LPC 针对预测状态而非滞后测量状态计算控制量；它与 Leader 命令速度前馈是两条不同支路。Leader 命令速度前馈为可选的 Leader cmd_vel 速度增量支路，直接叠加到控制输出，不是 Follower 前向预测的开关。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3521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ol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3521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1  实物跟踪控制与数据流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3. 实验过程与统一条件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四组有效记录均来自实物平台和动捕状态源。统计只使用条件表与指标表中理想半径为 1.0 m 的数据，不根据原始目录名或元数据中的控制器字符串重新推断前馈状态。共同配置：Leader /robot1；Follower /robot2；20 Hz；tau=0.43 s；Td=0.22 s。复现实验流程：准备机器人与动捕，核对状态话题和控制参数 → 启动 Follower 控制器与 Leader 轨迹 → 录制 45 s 并保存 raw.csv、metadata.yaml → 停止轨迹和控制器，确认两车停止。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5"/>
        <w:gridCol w:w="1725"/>
        <w:gridCol w:w="1725"/>
        <w:gridCol w:w="1725"/>
        <w:gridCol w:w="1725"/>
        <w:gridCol w:w="1725"/>
        <w:gridCol w:w="1725"/>
        <w:gridCol w:w="1725"/>
      </w:tblGrid>
      <w:tr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控制器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Leader 命令前馈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λ初值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Leader 速度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时长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状态源</w:t>
            </w:r>
          </w:p>
        </w:tc>
        <w:tc>
          <w:tcPr>
            <w:tcW w:type="dxa" w:w="172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评价半径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artstein_hpc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true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artstein_hpc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—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artstein_lpc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2.0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0.20 m/s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  <w:tr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artstein_lpc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false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2.5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0.25 m/s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45.0 s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mocap</w:t>
            </w:r>
          </w:p>
        </w:tc>
        <w:tc>
          <w:tcPr>
            <w:tcW w:type="dxa" w:w="172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1.0 m</w:t>
            </w:r>
          </w:p>
        </w:tc>
      </w:tr>
    </w:tbl>
    <w:p/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数据来源对照（目录相对于 homo_multirobot_formation_control；各目录使用 raw.csv 与 metadata.yaml；图表中的 A–D 对应下表）：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00"/>
        <w:gridCol w:w="4600"/>
        <w:gridCol w:w="4600"/>
      </w:tblGrid>
      <w:tr>
        <w:tc>
          <w:tcPr>
            <w:tcW w:type="dxa" w:w="567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来源</w:t>
            </w:r>
          </w:p>
        </w:tc>
        <w:tc>
          <w:tcPr>
            <w:tcW w:type="dxa" w:w="3402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10205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原始目录 / trial-ID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robot_traj/real/4d_artstein_forward_8traj_20260914_204226 / trial_02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B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robot_traj/real/4d_artstein_no_forward_8traj_20260914_204546 / trial_01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C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robot_traj/real/4d_artstein_lpc_20260915_104805 / trial_01</w:t>
            </w:r>
          </w:p>
        </w:tc>
      </w:tr>
      <w:tr>
        <w:tc>
          <w:tcPr>
            <w:tcW w:type="dxa" w:w="56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D</w:t>
            </w:r>
          </w:p>
        </w:tc>
        <w:tc>
          <w:tcPr>
            <w:tcW w:type="dxa" w:w="3402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10205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robot_traj/real/4d_artstein_lpc_20260915_105440 / trial_02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30"/>
        </w:rPr>
        <w:t>4. 实验一：Artstein-HPC 的 Leader 命令速度前馈开/关对比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在两组约 45 s、Leader 平均速度约 0.246 m/s 的 Artstein-HPC 实测记录中，开启 Leader 命令速度前馈的平均绝对距离误差为 0.1202 m、RMS 距离误差为 0.2791 m；关闭时分别为 0.1282 m 和 0.2895 m。开启组在这两个汇总指标上较低。末帧绝对距离误差则为 0.0355 m，高于关闭组的 0.0165 m。因此该组对比仅描述已记录的实测差异，不将其概括为所有指标的一致改善。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531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comparis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531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2  Artstein-HPC 前馈开/关轨迹对比（来源 A、B）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597173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edforward_distance_err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5971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3  Artstein-HPC 前馈开/关距离误差（来源 A、B）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0"/>
        <w:gridCol w:w="2760"/>
        <w:gridCol w:w="2760"/>
        <w:gridCol w:w="2760"/>
        <w:gridCol w:w="2760"/>
      </w:tblGrid>
      <w:tr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采样数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平均绝对误差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末帧绝对误差 (m)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0.1202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0.2791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0.0355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命令前馈：关）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0.1282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0.2895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0.0165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30"/>
        </w:rPr>
        <w:t>5. 实验二：Artstein-HPC 与 Artstein-LPC 的阶段性结果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LPC 两条有效记录的平均绝对距离误差分别为 0.4001 m 与 0.4144 m，RMS 距离误差分别为 0.4547 m 与 0.4771 m。对应的 initial_min_lambda 与 Leader 速度同时变化，结果只作为阶段性观察。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2034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trajector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2034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4  Artstein-HPC 与 Artstein-LPC 阶段性轨迹（来源 A、C、D）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100000" cy="3426923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pc_lpc_distance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100000" cy="3426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图 5  Artstein-HPC 与 Artstein-LPC 阶段性距离误差（来源 A、C、D）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60"/>
        <w:gridCol w:w="2760"/>
        <w:gridCol w:w="2760"/>
        <w:gridCol w:w="2760"/>
        <w:gridCol w:w="2760"/>
      </w:tblGrid>
      <w:tr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实验标签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采样数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平均绝对误差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RMS 误差 (m)</w:t>
            </w:r>
          </w:p>
        </w:tc>
        <w:tc>
          <w:tcPr>
            <w:tcW w:type="dxa" w:w="2760"/>
            <w:shd w:fill="D9EAF7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/>
                <w:sz w:val="16"/>
              </w:rPr>
              <w:t>末帧绝对误差 (m)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Artstein-HPC（Leader 命令前馈：开）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5455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0.1202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0.2791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0.0355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Artstein-LPC（λ初值=2.0，Leader 速度=0.20 m/s）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5456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0.4001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0.4547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0.6571</w:t>
            </w:r>
          </w:p>
        </w:tc>
      </w:tr>
      <w:tr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Artstein-LPC（λ初值=2.5，Leader 速度=0.25 m/s）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5456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0.4144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0.4771</w:t>
            </w:r>
          </w:p>
        </w:tc>
        <w:tc>
          <w:tcPr>
            <w:tcW w:type="dxa" w:w="2760"/>
            <w:vAlign w:val="center"/>
          </w:tcPr>
          <w:p>
            <w:pPr>
              <w:jc w:val="center"/>
            </w:pPr>
            <w:r>
              <w:rPr>
                <w:rFonts w:ascii="宋体" w:hAnsi="宋体" w:eastAsia="宋体"/>
                <w:b w:val="0"/>
                <w:sz w:val="15"/>
              </w:rPr>
              <w:t>0.1614</w:t>
            </w:r>
          </w:p>
        </w:tc>
      </w:tr>
    </w:tbl>
    <w:p/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LPC 在 initial_min_lambda=1.5、Leader 速度 0.25 m/s 的实物工况下发生碰撞，未形成可用于轨迹统计的有效记录。LPC 的 λ初值=2.0 记录同时将 Leader 速度降至 0.20 m/s；λ初值=2.5 记录使用 0.25 m/s。因此现有 HPC/LPC 结果用于说明阶段性可运行性和现象，不用于宣称严格单变量条件下的性能优劣。</w:t>
      </w:r>
    </w:p>
    <w:p>
      <w:pPr>
        <w:pStyle w:val="Heading1"/>
      </w:pPr>
      <w:r>
        <w:rPr>
          <w:rFonts w:ascii="宋体" w:hAnsi="宋体" w:eastAsia="宋体"/>
          <w:b/>
          <w:sz w:val="30"/>
        </w:rPr>
        <w:t>6. 阶段性成果、当前问题与下一步工作</w:t>
      </w:r>
    </w:p>
    <w:p>
      <w:pPr>
        <w:spacing w:after="100" w:line="300" w:lineRule="auto"/>
      </w:pPr>
      <w:r>
        <w:rPr>
          <w:rFonts w:ascii="宋体" w:hAnsi="宋体" w:eastAsia="宋体"/>
          <w:b w:val="0"/>
          <w:sz w:val="20"/>
        </w:rPr>
        <w:t>已形成统一的实物实验条件表、1.0 m 基准指标表和可复核的图表总结。下一步应在固定 Leader 速度、初始 λ 和其他运行条件后，补充可重复试验；同时继续核对前馈支路标注与原始实验配置的一致性。</w:t>
      </w:r>
    </w:p>
    <w:sectPr w:rsidR="00FC693F" w:rsidRPr="0006063C" w:rsidSect="00034616">
      <w:pgSz w:w="15840" w:h="12240" w:orient="landscape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