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F10B8" w14:textId="77777777" w:rsidR="00193B45" w:rsidRDefault="00000000">
      <w:pPr>
        <w:pStyle w:val="Heading1"/>
      </w:pPr>
      <w:r>
        <w:t>H2Ready Software Prototype Specification</w:t>
      </w:r>
    </w:p>
    <w:p w14:paraId="3BF110C6" w14:textId="77777777" w:rsidR="00193B45" w:rsidRDefault="00000000">
      <w:pPr>
        <w:pStyle w:val="Heading2"/>
      </w:pPr>
      <w:r>
        <w:t>1. Purpose</w:t>
      </w:r>
    </w:p>
    <w:p w14:paraId="2A1D6308" w14:textId="77777777" w:rsidR="00193B45" w:rsidRDefault="00000000">
      <w:r>
        <w:t>This document specifies the architecture, functional behaviour, data models, algorithms, deployment model and evolution roadmap for the H2Ready software platform. The specification supports prototype development and provides a defensible reference for innovation assessment, technical due diligence and future industrialisation.</w:t>
      </w:r>
    </w:p>
    <w:p w14:paraId="446D0159" w14:textId="77777777" w:rsidR="00193B45" w:rsidRDefault="00000000">
      <w:pPr>
        <w:pStyle w:val="Heading2"/>
      </w:pPr>
      <w:r>
        <w:t>2. Background &amp; Motivation</w:t>
      </w:r>
    </w:p>
    <w:p w14:paraId="24D98C33" w14:textId="6C56AD9A" w:rsidR="00193B45" w:rsidRDefault="00000000" w:rsidP="001C4DDD">
      <w:pPr>
        <w:jc w:val="both"/>
      </w:pPr>
      <w:r>
        <w:t xml:space="preserve">Natural gas transmission pipelines are being evaluated globally for </w:t>
      </w:r>
      <w:r w:rsidR="001C4DDD">
        <w:t>repurposing as hydrogen sources as part of decarbonization</w:t>
      </w:r>
      <w:r>
        <w:t xml:space="preserve"> and net-zero strategies. Hydrogen service introduces risks including hydrogen embrittlement, hydrogen-assisted cracking, hydrogen-enhanced fatigue crack growth, coating disbondment, CP overprotection effects, increased leakage propensity and significant uncertainty in legacy integrity datasets. Existing codes (e.g. ASME B31.12, DNV-RP-F104) provide criteria for materials and fracture toughness but do not offer a unified, digital readiness index for network-wide screening.</w:t>
      </w:r>
    </w:p>
    <w:p w14:paraId="48E44456" w14:textId="77777777" w:rsidR="00193B45" w:rsidRDefault="00000000">
      <w:r>
        <w:t>H2Ready addresses this gap by implementing a Hydrogen Readiness Index (HRI) framework and a software prototype that combines deterministic engineering rules, fracture mechanics gating, coatings and CP assessment, integrity data, environmental factors and operational controls into a single, auditable score.</w:t>
      </w:r>
    </w:p>
    <w:p w14:paraId="781E7FD7" w14:textId="77777777" w:rsidR="00193B45" w:rsidRDefault="00000000">
      <w:pPr>
        <w:pStyle w:val="Heading2"/>
      </w:pPr>
      <w:r>
        <w:t>3. Scope</w:t>
      </w:r>
    </w:p>
    <w:p w14:paraId="451B4AD3" w14:textId="77777777" w:rsidR="00193B45" w:rsidRDefault="00000000">
      <w:r>
        <w:t>The current specification covers the Level‑1 deterministic MVP of H2Ready.</w:t>
      </w:r>
    </w:p>
    <w:p w14:paraId="431253E6" w14:textId="77777777" w:rsidR="00193B45" w:rsidRDefault="00000000">
      <w:r>
        <w:t>In scope:</w:t>
      </w:r>
    </w:p>
    <w:p w14:paraId="312970D4" w14:textId="77777777" w:rsidR="00193B45" w:rsidRDefault="00000000">
      <w:pPr>
        <w:pStyle w:val="ListBullet"/>
      </w:pPr>
      <w:r>
        <w:t>Seven-pillar Hydrogen Readiness Framework (M, D, I, C, E, Q, O).</w:t>
      </w:r>
    </w:p>
    <w:p w14:paraId="1DDA396D" w14:textId="77777777" w:rsidR="00193B45" w:rsidRDefault="00000000">
      <w:pPr>
        <w:pStyle w:val="ListBullet"/>
      </w:pPr>
      <w:r>
        <w:t>Deterministic rules-based scoring engine with transparent penalties and weights.</w:t>
      </w:r>
    </w:p>
    <w:p w14:paraId="57D9DE37" w14:textId="77777777" w:rsidR="00193B45" w:rsidRDefault="00000000">
      <w:pPr>
        <w:pStyle w:val="ListBullet"/>
      </w:pPr>
      <w:r>
        <w:t>Fracture mechanics gating using K_I and K_TH.</w:t>
      </w:r>
    </w:p>
    <w:p w14:paraId="5C2ED918" w14:textId="77777777" w:rsidR="00193B45" w:rsidRDefault="00000000">
      <w:pPr>
        <w:pStyle w:val="ListBullet"/>
      </w:pPr>
      <w:r>
        <w:t>Integrity and data-quality gating.</w:t>
      </w:r>
    </w:p>
    <w:p w14:paraId="0C4B43E4" w14:textId="77777777" w:rsidR="00193B45" w:rsidRDefault="00000000">
      <w:pPr>
        <w:pStyle w:val="ListBullet"/>
      </w:pPr>
      <w:r>
        <w:t>Portfolio visualisations: pillar bar charts and segment heatmaps.</w:t>
      </w:r>
    </w:p>
    <w:p w14:paraId="3E7830F5" w14:textId="77777777" w:rsidR="00193B45" w:rsidRDefault="00000000">
      <w:pPr>
        <w:pStyle w:val="ListBullet"/>
      </w:pPr>
      <w:r>
        <w:t>RESTful API layer exposing scoring and data management.</w:t>
      </w:r>
    </w:p>
    <w:p w14:paraId="23FB0A83" w14:textId="77777777" w:rsidR="00193B45" w:rsidRDefault="00000000">
      <w:pPr>
        <w:pStyle w:val="ListBullet"/>
      </w:pPr>
      <w:r>
        <w:t>Streamlit-based front end, PostgreSQL database and Dockerised deployment.</w:t>
      </w:r>
    </w:p>
    <w:p w14:paraId="70CEFF74" w14:textId="77777777" w:rsidR="00193B45" w:rsidRDefault="00000000">
      <w:r>
        <w:t>Out of scope for this MVP (targeted for future releases):</w:t>
      </w:r>
    </w:p>
    <w:p w14:paraId="502B0A5D" w14:textId="77777777" w:rsidR="00193B45" w:rsidRDefault="00000000">
      <w:pPr>
        <w:pStyle w:val="ListBullet"/>
      </w:pPr>
      <w:r>
        <w:t>Supervised and multi-modal machine learning models (Level‑2 and Level‑3).</w:t>
      </w:r>
    </w:p>
    <w:p w14:paraId="1E396A21" w14:textId="77777777" w:rsidR="00193B45" w:rsidRDefault="00000000">
      <w:pPr>
        <w:pStyle w:val="ListBullet"/>
      </w:pPr>
      <w:r>
        <w:t>Cloud-native deployment, high-availability orchestration and security hardening.</w:t>
      </w:r>
    </w:p>
    <w:p w14:paraId="1BA92D63" w14:textId="77777777" w:rsidR="00193B45" w:rsidRDefault="00000000">
      <w:pPr>
        <w:pStyle w:val="ListBullet"/>
      </w:pPr>
      <w:r>
        <w:t>Automated ingestion from GIS, corporate historians and digital twin platforms.</w:t>
      </w:r>
    </w:p>
    <w:p w14:paraId="443EE7B0" w14:textId="77777777" w:rsidR="00193B45" w:rsidRDefault="00000000">
      <w:pPr>
        <w:pStyle w:val="Heading2"/>
      </w:pPr>
      <w:r>
        <w:lastRenderedPageBreak/>
        <w:t>4. Stakeholders</w:t>
      </w:r>
    </w:p>
    <w:tbl>
      <w:tblPr>
        <w:tblStyle w:val="TableGridLight"/>
        <w:tblW w:w="0" w:type="auto"/>
        <w:tblLook w:val="04A0" w:firstRow="1" w:lastRow="0" w:firstColumn="1" w:lastColumn="0" w:noHBand="0" w:noVBand="1"/>
      </w:tblPr>
      <w:tblGrid>
        <w:gridCol w:w="4320"/>
        <w:gridCol w:w="4320"/>
      </w:tblGrid>
      <w:tr w:rsidR="00193B45" w14:paraId="2250DE01" w14:textId="77777777" w:rsidTr="001C4DDD">
        <w:tc>
          <w:tcPr>
            <w:tcW w:w="4320" w:type="dxa"/>
          </w:tcPr>
          <w:p w14:paraId="3C4B11AC" w14:textId="77777777" w:rsidR="00193B45" w:rsidRPr="001C4DDD" w:rsidRDefault="00000000">
            <w:pPr>
              <w:rPr>
                <w:b/>
                <w:bCs/>
              </w:rPr>
            </w:pPr>
            <w:r w:rsidRPr="001C4DDD">
              <w:rPr>
                <w:b/>
                <w:bCs/>
              </w:rPr>
              <w:t>Stakeholder</w:t>
            </w:r>
          </w:p>
        </w:tc>
        <w:tc>
          <w:tcPr>
            <w:tcW w:w="4320" w:type="dxa"/>
          </w:tcPr>
          <w:p w14:paraId="26F1B8F2" w14:textId="77777777" w:rsidR="00193B45" w:rsidRPr="001C4DDD" w:rsidRDefault="00000000">
            <w:pPr>
              <w:rPr>
                <w:b/>
                <w:bCs/>
              </w:rPr>
            </w:pPr>
            <w:r w:rsidRPr="001C4DDD">
              <w:rPr>
                <w:b/>
                <w:bCs/>
              </w:rPr>
              <w:t>Interest</w:t>
            </w:r>
          </w:p>
        </w:tc>
      </w:tr>
      <w:tr w:rsidR="00193B45" w14:paraId="46548018" w14:textId="77777777" w:rsidTr="001C4DDD">
        <w:tc>
          <w:tcPr>
            <w:tcW w:w="4320" w:type="dxa"/>
          </w:tcPr>
          <w:p w14:paraId="136187C9" w14:textId="77777777" w:rsidR="00193B45" w:rsidRDefault="00000000">
            <w:r>
              <w:t>Pipeline Operators</w:t>
            </w:r>
          </w:p>
        </w:tc>
        <w:tc>
          <w:tcPr>
            <w:tcW w:w="4320" w:type="dxa"/>
          </w:tcPr>
          <w:p w14:paraId="1FA2DF12" w14:textId="77777777" w:rsidR="00193B45" w:rsidRDefault="00000000">
            <w:r>
              <w:t>Screening of existing assets for hydrogen readiness and investment planning.</w:t>
            </w:r>
          </w:p>
        </w:tc>
      </w:tr>
      <w:tr w:rsidR="00193B45" w14:paraId="5DFAE721" w14:textId="77777777" w:rsidTr="001C4DDD">
        <w:tc>
          <w:tcPr>
            <w:tcW w:w="4320" w:type="dxa"/>
          </w:tcPr>
          <w:p w14:paraId="32C2E84B" w14:textId="77777777" w:rsidR="00193B45" w:rsidRDefault="00000000">
            <w:r>
              <w:t>TSOs / DSOs</w:t>
            </w:r>
          </w:p>
        </w:tc>
        <w:tc>
          <w:tcPr>
            <w:tcW w:w="4320" w:type="dxa"/>
          </w:tcPr>
          <w:p w14:paraId="7A565B56" w14:textId="77777777" w:rsidR="00193B45" w:rsidRDefault="00000000">
            <w:r>
              <w:t>System-level hydrogen transition strategies and regulatory submissions.</w:t>
            </w:r>
          </w:p>
        </w:tc>
      </w:tr>
      <w:tr w:rsidR="00193B45" w14:paraId="736FB95B" w14:textId="77777777" w:rsidTr="001C4DDD">
        <w:tc>
          <w:tcPr>
            <w:tcW w:w="4320" w:type="dxa"/>
          </w:tcPr>
          <w:p w14:paraId="7D81C49C" w14:textId="77777777" w:rsidR="00193B45" w:rsidRDefault="00000000">
            <w:r>
              <w:t>EPC / Integrators</w:t>
            </w:r>
          </w:p>
        </w:tc>
        <w:tc>
          <w:tcPr>
            <w:tcW w:w="4320" w:type="dxa"/>
          </w:tcPr>
          <w:p w14:paraId="76609CE3" w14:textId="77777777" w:rsidR="00193B45" w:rsidRDefault="00000000">
            <w:r>
              <w:t>Feasibility of repurposing assets and design of mitigation packages.</w:t>
            </w:r>
          </w:p>
        </w:tc>
      </w:tr>
      <w:tr w:rsidR="00193B45" w14:paraId="672FE838" w14:textId="77777777" w:rsidTr="001C4DDD">
        <w:tc>
          <w:tcPr>
            <w:tcW w:w="4320" w:type="dxa"/>
          </w:tcPr>
          <w:p w14:paraId="2026D2DE" w14:textId="77777777" w:rsidR="00193B45" w:rsidRDefault="00000000">
            <w:r>
              <w:t>Regulators / Standards Bodies</w:t>
            </w:r>
          </w:p>
        </w:tc>
        <w:tc>
          <w:tcPr>
            <w:tcW w:w="4320" w:type="dxa"/>
          </w:tcPr>
          <w:p w14:paraId="0C745D67" w14:textId="77777777" w:rsidR="00193B45" w:rsidRDefault="00000000">
            <w:r>
              <w:t>Evidence-based acceptance of hydrogen-readiness methods.</w:t>
            </w:r>
          </w:p>
        </w:tc>
      </w:tr>
      <w:tr w:rsidR="00193B45" w14:paraId="528B6523" w14:textId="77777777" w:rsidTr="001C4DDD">
        <w:tc>
          <w:tcPr>
            <w:tcW w:w="4320" w:type="dxa"/>
          </w:tcPr>
          <w:p w14:paraId="33ECA834" w14:textId="77777777" w:rsidR="00193B45" w:rsidRDefault="00000000">
            <w:r>
              <w:t>Researchers / Academia</w:t>
            </w:r>
          </w:p>
        </w:tc>
        <w:tc>
          <w:tcPr>
            <w:tcW w:w="4320" w:type="dxa"/>
          </w:tcPr>
          <w:p w14:paraId="18FD9009" w14:textId="77777777" w:rsidR="00193B45" w:rsidRDefault="00000000">
            <w:r>
              <w:t>Benchmarking and validation against experimental data.</w:t>
            </w:r>
          </w:p>
        </w:tc>
      </w:tr>
      <w:tr w:rsidR="00193B45" w14:paraId="2A2B5A0B" w14:textId="77777777" w:rsidTr="001C4DDD">
        <w:tc>
          <w:tcPr>
            <w:tcW w:w="4320" w:type="dxa"/>
          </w:tcPr>
          <w:p w14:paraId="48B3CE93" w14:textId="77777777" w:rsidR="00193B45" w:rsidRDefault="00000000">
            <w:r>
              <w:t>Investors / Innovators</w:t>
            </w:r>
          </w:p>
        </w:tc>
        <w:tc>
          <w:tcPr>
            <w:tcW w:w="4320" w:type="dxa"/>
          </w:tcPr>
          <w:p w14:paraId="3508B598" w14:textId="77777777" w:rsidR="00193B45" w:rsidRDefault="00000000">
            <w:r>
              <w:t>Demonstration of digital innovation and IP for hydrogen integrity.</w:t>
            </w:r>
          </w:p>
        </w:tc>
      </w:tr>
    </w:tbl>
    <w:p w14:paraId="5C2A18F5" w14:textId="77777777" w:rsidR="00193B45" w:rsidRDefault="00000000">
      <w:pPr>
        <w:pStyle w:val="Heading2"/>
      </w:pPr>
      <w:r>
        <w:t>5. System Overview</w:t>
      </w:r>
    </w:p>
    <w:p w14:paraId="560C5B59" w14:textId="77777777" w:rsidR="00193B45" w:rsidRDefault="00000000">
      <w:r>
        <w:t>H2Ready is a digital decision-support toolkit that evaluates pipeline segments and computes a Hydrogen Readiness Index (HRI) from 0 to 100. The HRI aggregates seven engineering pillars, each capturing a different dimension of hydrogen compatibility and operational risk.</w:t>
      </w:r>
    </w:p>
    <w:p w14:paraId="33195833" w14:textId="77777777" w:rsidR="00193B45" w:rsidRDefault="00000000">
      <w:pPr>
        <w:pStyle w:val="ListBullet"/>
      </w:pPr>
      <w:r>
        <w:t>The seven pillars are:</w:t>
      </w:r>
    </w:p>
    <w:p w14:paraId="6E596175" w14:textId="77777777" w:rsidR="00193B45" w:rsidRDefault="00000000">
      <w:pPr>
        <w:pStyle w:val="ListBullet2"/>
      </w:pPr>
      <w:r>
        <w:rPr>
          <w:b/>
        </w:rPr>
        <w:t xml:space="preserve">M – Metallurgy: </w:t>
      </w:r>
      <w:r>
        <w:t>Steel grade, microstructure, HAZ hardness, seam history and fracture mechanics parameters (including K_I and K_TH).</w:t>
      </w:r>
    </w:p>
    <w:p w14:paraId="75FCC9E6" w14:textId="77777777" w:rsidR="00193B45" w:rsidRDefault="00000000">
      <w:pPr>
        <w:pStyle w:val="ListBullet2"/>
      </w:pPr>
      <w:r>
        <w:rPr>
          <w:b/>
        </w:rPr>
        <w:t xml:space="preserve">D – Design &amp; Operating Envelope: </w:t>
      </w:r>
      <w:r>
        <w:t>Stress ratio, pressure cycling, surge events, dp/dt and temperature ranges.</w:t>
      </w:r>
    </w:p>
    <w:p w14:paraId="7DDA7B41" w14:textId="77777777" w:rsidR="00193B45" w:rsidRDefault="00000000">
      <w:pPr>
        <w:pStyle w:val="ListBullet2"/>
      </w:pPr>
      <w:r>
        <w:rPr>
          <w:b/>
        </w:rPr>
        <w:t xml:space="preserve">I – Integrity &amp; Defects: </w:t>
      </w:r>
      <w:r>
        <w:t>Crack density and size, corrosion metal loss, and repair backlog.</w:t>
      </w:r>
    </w:p>
    <w:p w14:paraId="41B772CF" w14:textId="77777777" w:rsidR="00193B45" w:rsidRDefault="00000000">
      <w:pPr>
        <w:pStyle w:val="ListBullet2"/>
      </w:pPr>
      <w:r>
        <w:rPr>
          <w:b/>
        </w:rPr>
        <w:t xml:space="preserve">C – Coatings &amp; Cathodic Protection: </w:t>
      </w:r>
      <w:r>
        <w:t>Coating type and age, DCVG anomaly coverage, CP potentials and over‑protection.</w:t>
      </w:r>
    </w:p>
    <w:p w14:paraId="35BC5554" w14:textId="77777777" w:rsidR="00193B45" w:rsidRDefault="00000000">
      <w:pPr>
        <w:pStyle w:val="ListBullet2"/>
      </w:pPr>
      <w:r>
        <w:rPr>
          <w:b/>
        </w:rPr>
        <w:t xml:space="preserve">E – Environment: </w:t>
      </w:r>
      <w:r>
        <w:t>Soil resistivity, pH, MIC risk, moisture and stray current exposure.</w:t>
      </w:r>
    </w:p>
    <w:p w14:paraId="15224119" w14:textId="77777777" w:rsidR="00193B45" w:rsidRDefault="00000000">
      <w:pPr>
        <w:pStyle w:val="ListBullet2"/>
      </w:pPr>
      <w:r>
        <w:rPr>
          <w:b/>
        </w:rPr>
        <w:t xml:space="preserve">Q – Data Quality: </w:t>
      </w:r>
      <w:r>
        <w:t>ILI coverage, survey recency, SCADA uptime and missing field percentages.</w:t>
      </w:r>
    </w:p>
    <w:p w14:paraId="5E281DCB" w14:textId="77777777" w:rsidR="00193B45" w:rsidRDefault="00000000">
      <w:pPr>
        <w:pStyle w:val="ListBullet2"/>
      </w:pPr>
      <w:r>
        <w:rPr>
          <w:b/>
        </w:rPr>
        <w:t xml:space="preserve">O – Operational Controls: </w:t>
      </w:r>
      <w:r>
        <w:t>Hydrogen transition planning, monitoring, procedures, leak detection and training.</w:t>
      </w:r>
    </w:p>
    <w:p w14:paraId="440BDA0D" w14:textId="77777777" w:rsidR="00193B45" w:rsidRDefault="00000000">
      <w:pPr>
        <w:pStyle w:val="Heading2"/>
      </w:pPr>
      <w:r>
        <w:t>6. Hydrogen Readiness Scoring Framework</w:t>
      </w:r>
    </w:p>
    <w:p w14:paraId="15B8EE61" w14:textId="43F0CC55" w:rsidR="00193B45" w:rsidRDefault="00000000">
      <w:r>
        <w:t xml:space="preserve">Each pillar P_p is scored on a normalised scale from 0.0 (unacceptable) to 1.0 (ideal). The </w:t>
      </w:r>
      <w:r w:rsidR="001C4DDD">
        <w:t>ungated</w:t>
      </w:r>
      <w:r>
        <w:t xml:space="preserve"> Hydrogen Readiness Index is computed as a weighted sum:</w:t>
      </w:r>
    </w:p>
    <w:p w14:paraId="729DC7EA" w14:textId="77777777" w:rsidR="00193B45" w:rsidRDefault="00000000">
      <w:r>
        <w:t>HRI = 100 × Σ ( w_p × P_p )</w:t>
      </w:r>
    </w:p>
    <w:p w14:paraId="2A0B638E" w14:textId="77777777" w:rsidR="00193B45" w:rsidRDefault="00000000">
      <w:r>
        <w:t>In the MVP configuration the default weights are: M = 0.25, D = 0.20, I = 0.20, C = 0.15, E = 0.10, Q = 0.05, O = 0.05. Weights are stored in a YAML configuration file and can be adjusted with governance approval.</w:t>
      </w:r>
    </w:p>
    <w:p w14:paraId="11F708B1" w14:textId="77777777" w:rsidR="00193B45" w:rsidRDefault="00000000">
      <w:pPr>
        <w:pStyle w:val="Heading3"/>
      </w:pPr>
      <w:r>
        <w:lastRenderedPageBreak/>
        <w:t>6.1 Pillar Penalty Logic</w:t>
      </w:r>
    </w:p>
    <w:p w14:paraId="4D153A6D" w14:textId="77777777" w:rsidR="00193B45" w:rsidRDefault="00000000">
      <w:r>
        <w:t>Each pillar begins with a nominal score of 1.0. Penalties derived from engineering thresholds are applied based on the input data. For example:</w:t>
      </w:r>
    </w:p>
    <w:p w14:paraId="426F566B" w14:textId="77777777" w:rsidR="00193B45" w:rsidRDefault="00000000">
      <w:pPr>
        <w:pStyle w:val="ListBullet"/>
      </w:pPr>
      <w:r>
        <w:t>Metallurgy: HAZ hardness above 275 HV or high Y/T ratios incur step penalties.</w:t>
      </w:r>
    </w:p>
    <w:p w14:paraId="44531326" w14:textId="77777777" w:rsidR="00193B45" w:rsidRDefault="00000000">
      <w:pPr>
        <w:pStyle w:val="ListBullet"/>
      </w:pPr>
      <w:r>
        <w:t>Design &amp; Operating Envelope: high hoop stress ratios, frequent large pressure cycles and large dp/dt values attract penalties.</w:t>
      </w:r>
    </w:p>
    <w:p w14:paraId="42126F32" w14:textId="77777777" w:rsidR="00193B45" w:rsidRDefault="00000000">
      <w:pPr>
        <w:pStyle w:val="ListBullet"/>
      </w:pPr>
      <w:r>
        <w:t>Integrity: higher crack density, extreme crack sizes, deep corrosion and high repair backlog reduce the Integrity pillar.</w:t>
      </w:r>
    </w:p>
    <w:p w14:paraId="5840BB90" w14:textId="77777777" w:rsidR="00193B45" w:rsidRDefault="00000000">
      <w:pPr>
        <w:pStyle w:val="ListBullet"/>
      </w:pPr>
      <w:r>
        <w:t>Coatings &amp; CP: old tapes or coal‑tar coatings, large DCVG anomaly coverage and sustained CP over‑protection are penalised.</w:t>
      </w:r>
    </w:p>
    <w:p w14:paraId="46685A74" w14:textId="77777777" w:rsidR="00193B45" w:rsidRDefault="00000000">
      <w:pPr>
        <w:pStyle w:val="ListBullet"/>
      </w:pPr>
      <w:r>
        <w:t>Environment: low soil resistivity, extreme pH, high MIC risk, high moisture and stray current risk contribute penalties.</w:t>
      </w:r>
    </w:p>
    <w:p w14:paraId="2C62F77F" w14:textId="77777777" w:rsidR="00193B45" w:rsidRDefault="00000000">
      <w:pPr>
        <w:pStyle w:val="ListBullet"/>
      </w:pPr>
      <w:r>
        <w:t>Data Quality: low ILI coverage, stale CP survey data, low SCADA uptime and high missing‑field percentages reduce the Q pillar.</w:t>
      </w:r>
    </w:p>
    <w:p w14:paraId="6BBD976E" w14:textId="52108AAC" w:rsidR="00193B45" w:rsidRDefault="00000000">
      <w:pPr>
        <w:pStyle w:val="ListBullet"/>
      </w:pPr>
      <w:r>
        <w:t>Operational Controls: absence of hydrogen transition plans, H2 monitoring, updated procedures, enhanced leak detection</w:t>
      </w:r>
      <w:r w:rsidR="001C4DDD">
        <w:t>,</w:t>
      </w:r>
      <w:r>
        <w:t xml:space="preserve"> or training reduces the O pillar.</w:t>
      </w:r>
    </w:p>
    <w:p w14:paraId="63673E0F" w14:textId="77777777" w:rsidR="00193B45" w:rsidRDefault="00000000">
      <w:r>
        <w:t>Penalties are defined in a structured YAML file (penalties.yaml) to support transparent governance and version control. The rules implement the Recommended Practice (RP) thresholds and can be tuned as new evidence emerges.</w:t>
      </w:r>
    </w:p>
    <w:p w14:paraId="0AC4C342" w14:textId="77777777" w:rsidR="00193B45" w:rsidRDefault="00000000">
      <w:pPr>
        <w:pStyle w:val="Heading3"/>
      </w:pPr>
      <w:r>
        <w:t>6.2 Gating Logic</w:t>
      </w:r>
    </w:p>
    <w:p w14:paraId="39836D7B" w14:textId="77777777" w:rsidR="00193B45" w:rsidRDefault="00000000">
      <w:r>
        <w:t>Three safety gates are implemented to enforce conservative decision‑making:</w:t>
      </w:r>
    </w:p>
    <w:p w14:paraId="020BCB7F" w14:textId="17FBD9C8" w:rsidR="00193B45" w:rsidRDefault="00000000">
      <w:pPr>
        <w:pStyle w:val="ListNumber"/>
      </w:pPr>
      <w:r>
        <w:t xml:space="preserve">Fracture Mechanics Gate: if K_I exceeds K_TH, the Metallurgy pillar is capped (M ≤ 0.30) and the overall HRI is capped at 40. This ensures that </w:t>
      </w:r>
      <w:r w:rsidR="001C4DDD">
        <w:t xml:space="preserve">other </w:t>
      </w:r>
      <w:proofErr w:type="spellStart"/>
      <w:r w:rsidR="001C4DDD">
        <w:t>favourable</w:t>
      </w:r>
      <w:proofErr w:type="spellEnd"/>
      <w:r w:rsidR="001C4DDD">
        <w:t xml:space="preserve"> pillars cannot compensate </w:t>
      </w:r>
      <w:r w:rsidR="0098256E">
        <w:t xml:space="preserve">for </w:t>
      </w:r>
      <w:r w:rsidR="001C4DDD">
        <w:t>fracture toughness constraints</w:t>
      </w:r>
      <w:r>
        <w:t>.</w:t>
      </w:r>
    </w:p>
    <w:p w14:paraId="198A8960" w14:textId="77777777" w:rsidR="00193B45" w:rsidRDefault="00000000">
      <w:pPr>
        <w:pStyle w:val="ListNumber"/>
      </w:pPr>
      <w:r>
        <w:t>Integrity Gate: if the Integrity pillar I falls below 0.30, the HRI is capped at 40 until defects are characterised and remediated.</w:t>
      </w:r>
    </w:p>
    <w:p w14:paraId="72C4F13B" w14:textId="55F92380" w:rsidR="00193B45" w:rsidRDefault="00000000">
      <w:pPr>
        <w:pStyle w:val="ListNumber"/>
      </w:pPr>
      <w:r>
        <w:t xml:space="preserve">Data Quality Gate: if the Data Quality pillar Q falls below 0.40, the HRI is capped at 50 until sufficient data coverage and recency </w:t>
      </w:r>
      <w:r w:rsidR="0098256E">
        <w:t>are</w:t>
      </w:r>
      <w:r>
        <w:t xml:space="preserve"> demonstrated.</w:t>
      </w:r>
    </w:p>
    <w:p w14:paraId="08674E9C" w14:textId="77777777" w:rsidR="00193B45" w:rsidRDefault="00000000">
      <w:pPr>
        <w:pStyle w:val="Heading3"/>
      </w:pPr>
      <w:r>
        <w:t>6.3 Readiness Classes</w:t>
      </w:r>
    </w:p>
    <w:p w14:paraId="7E3F78FB" w14:textId="77777777" w:rsidR="00193B45" w:rsidRDefault="00000000">
      <w:r>
        <w:t>The final HRI is mapped to readiness classes:</w:t>
      </w:r>
    </w:p>
    <w:tbl>
      <w:tblPr>
        <w:tblStyle w:val="TableGridLight"/>
        <w:tblW w:w="0" w:type="auto"/>
        <w:tblLook w:val="04A0" w:firstRow="1" w:lastRow="0" w:firstColumn="1" w:lastColumn="0" w:noHBand="0" w:noVBand="1"/>
      </w:tblPr>
      <w:tblGrid>
        <w:gridCol w:w="4320"/>
        <w:gridCol w:w="4320"/>
      </w:tblGrid>
      <w:tr w:rsidR="00193B45" w14:paraId="2AB0067E" w14:textId="77777777" w:rsidTr="0098256E">
        <w:tc>
          <w:tcPr>
            <w:tcW w:w="4320" w:type="dxa"/>
          </w:tcPr>
          <w:p w14:paraId="64112BDE" w14:textId="77777777" w:rsidR="00193B45" w:rsidRPr="0098256E" w:rsidRDefault="00000000">
            <w:pPr>
              <w:rPr>
                <w:b/>
                <w:bCs/>
              </w:rPr>
            </w:pPr>
            <w:r w:rsidRPr="0098256E">
              <w:rPr>
                <w:b/>
                <w:bCs/>
              </w:rPr>
              <w:t>HRI Range</w:t>
            </w:r>
          </w:p>
        </w:tc>
        <w:tc>
          <w:tcPr>
            <w:tcW w:w="4320" w:type="dxa"/>
          </w:tcPr>
          <w:p w14:paraId="01CCD911" w14:textId="77777777" w:rsidR="00193B45" w:rsidRPr="0098256E" w:rsidRDefault="00000000">
            <w:pPr>
              <w:rPr>
                <w:b/>
                <w:bCs/>
              </w:rPr>
            </w:pPr>
            <w:r w:rsidRPr="0098256E">
              <w:rPr>
                <w:b/>
                <w:bCs/>
              </w:rPr>
              <w:t>Readiness Class</w:t>
            </w:r>
          </w:p>
        </w:tc>
      </w:tr>
      <w:tr w:rsidR="00193B45" w14:paraId="29805CD6" w14:textId="77777777" w:rsidTr="0098256E">
        <w:tc>
          <w:tcPr>
            <w:tcW w:w="4320" w:type="dxa"/>
          </w:tcPr>
          <w:p w14:paraId="3DF5D4C9" w14:textId="77777777" w:rsidR="00193B45" w:rsidRDefault="00000000">
            <w:r>
              <w:t>0–39</w:t>
            </w:r>
          </w:p>
        </w:tc>
        <w:tc>
          <w:tcPr>
            <w:tcW w:w="4320" w:type="dxa"/>
          </w:tcPr>
          <w:p w14:paraId="1AF0F8AA" w14:textId="77777777" w:rsidR="00193B45" w:rsidRDefault="00000000">
            <w:r>
              <w:t>Not Ready</w:t>
            </w:r>
          </w:p>
        </w:tc>
      </w:tr>
      <w:tr w:rsidR="00193B45" w14:paraId="4B2025A5" w14:textId="77777777" w:rsidTr="0098256E">
        <w:tc>
          <w:tcPr>
            <w:tcW w:w="4320" w:type="dxa"/>
          </w:tcPr>
          <w:p w14:paraId="3C7657BB" w14:textId="77777777" w:rsidR="00193B45" w:rsidRDefault="00000000">
            <w:r>
              <w:t>40–69</w:t>
            </w:r>
          </w:p>
        </w:tc>
        <w:tc>
          <w:tcPr>
            <w:tcW w:w="4320" w:type="dxa"/>
          </w:tcPr>
          <w:p w14:paraId="2310808B" w14:textId="77777777" w:rsidR="00193B45" w:rsidRDefault="00000000">
            <w:r>
              <w:t>Conditionally Ready</w:t>
            </w:r>
          </w:p>
        </w:tc>
      </w:tr>
      <w:tr w:rsidR="00193B45" w14:paraId="2C4EFBC3" w14:textId="77777777" w:rsidTr="0098256E">
        <w:tc>
          <w:tcPr>
            <w:tcW w:w="4320" w:type="dxa"/>
          </w:tcPr>
          <w:p w14:paraId="2B50F9EB" w14:textId="77777777" w:rsidR="00193B45" w:rsidRDefault="00000000">
            <w:r>
              <w:t>70–84</w:t>
            </w:r>
          </w:p>
        </w:tc>
        <w:tc>
          <w:tcPr>
            <w:tcW w:w="4320" w:type="dxa"/>
          </w:tcPr>
          <w:p w14:paraId="5C907114" w14:textId="77777777" w:rsidR="00193B45" w:rsidRDefault="00000000">
            <w:r>
              <w:t>Ready with Controls</w:t>
            </w:r>
          </w:p>
        </w:tc>
      </w:tr>
      <w:tr w:rsidR="00193B45" w14:paraId="7CE45CE0" w14:textId="77777777" w:rsidTr="0098256E">
        <w:tc>
          <w:tcPr>
            <w:tcW w:w="4320" w:type="dxa"/>
          </w:tcPr>
          <w:p w14:paraId="6D1D261A" w14:textId="77777777" w:rsidR="00193B45" w:rsidRDefault="00000000">
            <w:r>
              <w:t>85–100</w:t>
            </w:r>
          </w:p>
        </w:tc>
        <w:tc>
          <w:tcPr>
            <w:tcW w:w="4320" w:type="dxa"/>
          </w:tcPr>
          <w:p w14:paraId="124BB17A" w14:textId="77777777" w:rsidR="00193B45" w:rsidRDefault="00000000">
            <w:r>
              <w:t>Fully Ready</w:t>
            </w:r>
          </w:p>
        </w:tc>
      </w:tr>
    </w:tbl>
    <w:p w14:paraId="5FCBE91F" w14:textId="77777777" w:rsidR="00193B45" w:rsidRDefault="00000000">
      <w:pPr>
        <w:pStyle w:val="Heading2"/>
      </w:pPr>
      <w:r>
        <w:lastRenderedPageBreak/>
        <w:t>7. Data Maturity Levels</w:t>
      </w:r>
    </w:p>
    <w:p w14:paraId="2CBB2BE5" w14:textId="77777777" w:rsidR="00193B45" w:rsidRDefault="00000000">
      <w:r>
        <w:t>The H2Ready framework is designed to support progressive data maturity and analytics sophistication, aligned with the Recommended Practice.</w:t>
      </w:r>
    </w:p>
    <w:p w14:paraId="238FBDAB" w14:textId="77777777" w:rsidR="00193B45" w:rsidRDefault="00000000">
      <w:pPr>
        <w:pStyle w:val="ListBullet"/>
      </w:pPr>
      <w:r>
        <w:t>Level 1 – Deterministic domain model (MVP): rules‑based scoring using engineering thresholds, as implemented in this prototype.</w:t>
      </w:r>
    </w:p>
    <w:p w14:paraId="5C6C1BEA" w14:textId="77777777" w:rsidR="00193B45" w:rsidRDefault="00000000">
      <w:pPr>
        <w:pStyle w:val="ListBullet"/>
      </w:pPr>
      <w:r>
        <w:t>Level 2 – Hybrid Machine Learning: supervised models trained on curated datasets to refine pillar scores and interpolate in sparse regions.</w:t>
      </w:r>
    </w:p>
    <w:p w14:paraId="3A77D532" w14:textId="77777777" w:rsidR="00193B45" w:rsidRDefault="00000000">
      <w:pPr>
        <w:pStyle w:val="ListBullet"/>
      </w:pPr>
      <w:r>
        <w:t>Level 3 – Multi‑modal &amp; Uncertainty‑aware ML: integration of ILI signals, CP waveforms and SCADA time series with graph and sequence models, providing probabilistic HRIs and confidence intervals.</w:t>
      </w:r>
    </w:p>
    <w:p w14:paraId="223ABC4D" w14:textId="77777777" w:rsidR="00193B45" w:rsidRDefault="00000000">
      <w:pPr>
        <w:pStyle w:val="Heading2"/>
      </w:pPr>
      <w:r>
        <w:t>8. Functional Requirements</w:t>
      </w:r>
    </w:p>
    <w:p w14:paraId="4256A758" w14:textId="77777777" w:rsidR="00193B45" w:rsidRDefault="00000000">
      <w:r>
        <w:t>Key functional requirements for the MVP are summarised below.</w:t>
      </w:r>
    </w:p>
    <w:p w14:paraId="115EBEDA" w14:textId="77777777" w:rsidR="00193B45" w:rsidRDefault="00000000">
      <w:pPr>
        <w:pStyle w:val="ListBullet"/>
      </w:pPr>
      <w:r>
        <w:t>FR1 – Pipeline &amp; Segment Management: users can create, list and manage pipelines and associated segments.</w:t>
      </w:r>
    </w:p>
    <w:p w14:paraId="7ACC698A" w14:textId="4C1419B9" w:rsidR="00193B45" w:rsidRDefault="00000000">
      <w:pPr>
        <w:pStyle w:val="ListBullet"/>
      </w:pPr>
      <w:r>
        <w:t xml:space="preserve">FR2 – Input Capture: users can enter and update all required inputs for the seven pillars at </w:t>
      </w:r>
      <w:r w:rsidR="0098256E">
        <w:t xml:space="preserve">the </w:t>
      </w:r>
      <w:r>
        <w:t>segment level.</w:t>
      </w:r>
    </w:p>
    <w:p w14:paraId="0EF9C3C1" w14:textId="77777777" w:rsidR="00193B45" w:rsidRDefault="00000000">
      <w:pPr>
        <w:pStyle w:val="ListBullet"/>
      </w:pPr>
      <w:r>
        <w:t>FR3 – Deterministic Scoring: the system computes an HRI and per‑pillar scores using the configured rules.</w:t>
      </w:r>
    </w:p>
    <w:p w14:paraId="1ED776E4" w14:textId="77777777" w:rsidR="00193B45" w:rsidRDefault="00000000">
      <w:pPr>
        <w:pStyle w:val="ListBullet"/>
      </w:pPr>
      <w:r>
        <w:t>FR4 – Gating Enforcement: fracture mechanics, integrity and data‑quality gating rules are automatically applied.</w:t>
      </w:r>
    </w:p>
    <w:p w14:paraId="4AF8D002" w14:textId="77777777" w:rsidR="00193B45" w:rsidRDefault="00000000">
      <w:pPr>
        <w:pStyle w:val="ListBullet"/>
      </w:pPr>
      <w:r>
        <w:t>FR5 – Visualisation: users can view per‑segment scores, pillar bar graphs and a segment heatmap.</w:t>
      </w:r>
    </w:p>
    <w:p w14:paraId="4650CBFF" w14:textId="77777777" w:rsidR="00193B45" w:rsidRDefault="00000000">
      <w:pPr>
        <w:pStyle w:val="ListBullet"/>
      </w:pPr>
      <w:r>
        <w:t>FR6 – Narrative Explanations: the UI generates human‑readable statements highlighting weak pillars and recommended areas of improvement.</w:t>
      </w:r>
    </w:p>
    <w:p w14:paraId="24AEC55D" w14:textId="77777777" w:rsidR="00193B45" w:rsidRDefault="00000000">
      <w:pPr>
        <w:pStyle w:val="ListBullet"/>
      </w:pPr>
      <w:r>
        <w:t>FR7 – Audit Trail: each scoring event is stored with timestamp, model version and key drivers.</w:t>
      </w:r>
    </w:p>
    <w:p w14:paraId="5FD63E73" w14:textId="77777777" w:rsidR="00193B45" w:rsidRDefault="00000000">
      <w:pPr>
        <w:pStyle w:val="ListBullet"/>
      </w:pPr>
      <w:r>
        <w:t>FR8 – API Access: external systems can query scores and push inputs using a documented REST API.</w:t>
      </w:r>
    </w:p>
    <w:p w14:paraId="3926AE6D" w14:textId="77777777" w:rsidR="00193B45" w:rsidRDefault="00000000">
      <w:pPr>
        <w:pStyle w:val="Heading2"/>
      </w:pPr>
      <w:r>
        <w:t>9. Non‑Functional Requirements</w:t>
      </w:r>
    </w:p>
    <w:p w14:paraId="1BFE4D9D" w14:textId="77777777" w:rsidR="00193B45" w:rsidRDefault="00000000">
      <w:pPr>
        <w:pStyle w:val="ListBullet"/>
      </w:pPr>
      <w:r>
        <w:t>Explainability – scoring and penalties must be transparent and directly traceable to input fields.</w:t>
      </w:r>
    </w:p>
    <w:p w14:paraId="05F4347D" w14:textId="77777777" w:rsidR="00193B45" w:rsidRDefault="00000000">
      <w:pPr>
        <w:pStyle w:val="ListBullet"/>
      </w:pPr>
      <w:r>
        <w:t>Auditability – historical scores and key drivers must be persisted.</w:t>
      </w:r>
    </w:p>
    <w:p w14:paraId="048E5896" w14:textId="77777777" w:rsidR="00193B45" w:rsidRDefault="00000000">
      <w:pPr>
        <w:pStyle w:val="ListBullet"/>
      </w:pPr>
      <w:r>
        <w:t>Portability – the solution must run on any Docker‑enabled host with minimal setup.</w:t>
      </w:r>
    </w:p>
    <w:p w14:paraId="63E9164E" w14:textId="77777777" w:rsidR="00193B45" w:rsidRDefault="00000000">
      <w:pPr>
        <w:pStyle w:val="ListBullet"/>
      </w:pPr>
      <w:r>
        <w:t>Extensibility – the scoring rules and weights must be configurable without modifying application code.</w:t>
      </w:r>
    </w:p>
    <w:p w14:paraId="0009A7CD" w14:textId="77777777" w:rsidR="00193B45" w:rsidRDefault="00000000">
      <w:pPr>
        <w:pStyle w:val="ListBullet"/>
      </w:pPr>
      <w:r>
        <w:t>Performance – scoring latency per segment should be well below one second for typical portfolios.</w:t>
      </w:r>
    </w:p>
    <w:p w14:paraId="0D770173" w14:textId="77777777" w:rsidR="00193B45" w:rsidRDefault="00000000">
      <w:pPr>
        <w:pStyle w:val="Heading2"/>
      </w:pPr>
      <w:r>
        <w:lastRenderedPageBreak/>
        <w:t>10. System Architecture</w:t>
      </w:r>
    </w:p>
    <w:p w14:paraId="297F3F12" w14:textId="77777777" w:rsidR="00193B45" w:rsidRDefault="00000000">
      <w:r>
        <w:t>The prototype adopts a three‑tier, containerised architecture orchestrated with Docker Compose. It consists of a Streamlit front end, a FastAPI back end (scoring engine and REST API) and a PostgreSQL database for persistence.</w:t>
      </w:r>
    </w:p>
    <w:p w14:paraId="11A34FB5" w14:textId="77777777" w:rsidR="00193B45" w:rsidRDefault="00000000">
      <w:pPr>
        <w:pStyle w:val="Heading3"/>
      </w:pPr>
      <w:r>
        <w:t>10.1 Logical Architecture</w:t>
      </w:r>
    </w:p>
    <w:p w14:paraId="41357C90" w14:textId="77777777" w:rsidR="00193B45" w:rsidRDefault="00000000">
      <w:r>
        <w:t>The logical layers are:</w:t>
      </w:r>
      <w:r>
        <w:br/>
        <w:t>• UI Layer: Streamlit application for user interaction, input capture and dashboards.</w:t>
      </w:r>
      <w:r>
        <w:br/>
        <w:t>• API Layer: FastAPI service exposing CRUD and scoring endpoints.</w:t>
      </w:r>
      <w:r>
        <w:br/>
        <w:t>• Data Layer: PostgreSQL database accessed via SQLAlchemy ORM.</w:t>
      </w:r>
      <w:r>
        <w:br/>
        <w:t>• Configuration Layer: YAML files defining pillar weights and penalty rules.</w:t>
      </w:r>
    </w:p>
    <w:p w14:paraId="3BF887CA" w14:textId="77777777" w:rsidR="00193B45" w:rsidRDefault="00000000">
      <w:pPr>
        <w:pStyle w:val="Heading3"/>
      </w:pPr>
      <w:r>
        <w:t>10.2 Deployment Architecture</w:t>
      </w:r>
    </w:p>
    <w:p w14:paraId="487E244D" w14:textId="77777777" w:rsidR="00193B45" w:rsidRDefault="00000000">
      <w:r>
        <w:t>Docker Compose defines three services: db (PostgreSQL), backend (FastAPI) and frontend (Streamlit). The containers communicate over a private Docker network. Local ports are exposed as follows: 5432 (PostgreSQL), 8000 (API) and 8501 (UI).</w:t>
      </w:r>
    </w:p>
    <w:p w14:paraId="2A438899" w14:textId="77777777" w:rsidR="00193B45" w:rsidRDefault="00000000">
      <w:pPr>
        <w:pStyle w:val="Heading2"/>
      </w:pPr>
      <w:r>
        <w:t>11. Technology Stack</w:t>
      </w:r>
    </w:p>
    <w:p w14:paraId="7BDC1B43" w14:textId="77777777" w:rsidR="00193B45" w:rsidRDefault="00000000">
      <w:pPr>
        <w:pStyle w:val="ListBullet"/>
      </w:pPr>
      <w:r>
        <w:t>Language: Python 3.11</w:t>
      </w:r>
    </w:p>
    <w:p w14:paraId="460ED6B2" w14:textId="77777777" w:rsidR="00193B45" w:rsidRDefault="00000000">
      <w:pPr>
        <w:pStyle w:val="ListBullet"/>
      </w:pPr>
      <w:r>
        <w:t>Backend: FastAPI, SQLAlchemy, Pydantic</w:t>
      </w:r>
    </w:p>
    <w:p w14:paraId="424F4028" w14:textId="77777777" w:rsidR="00193B45" w:rsidRDefault="00000000">
      <w:pPr>
        <w:pStyle w:val="ListBullet"/>
      </w:pPr>
      <w:r>
        <w:t>Frontend: Streamlit, Altair</w:t>
      </w:r>
    </w:p>
    <w:p w14:paraId="755D2208" w14:textId="77777777" w:rsidR="00193B45" w:rsidRDefault="00000000">
      <w:pPr>
        <w:pStyle w:val="ListBullet"/>
      </w:pPr>
      <w:r>
        <w:t>Database: PostgreSQL</w:t>
      </w:r>
    </w:p>
    <w:p w14:paraId="10EF9581" w14:textId="77777777" w:rsidR="00193B45" w:rsidRDefault="00000000">
      <w:pPr>
        <w:pStyle w:val="ListBullet"/>
      </w:pPr>
      <w:r>
        <w:t>Infrastructure: Docker, Docker Compose</w:t>
      </w:r>
    </w:p>
    <w:p w14:paraId="52472E6F" w14:textId="77777777" w:rsidR="00193B45" w:rsidRDefault="00000000">
      <w:pPr>
        <w:pStyle w:val="ListBullet"/>
      </w:pPr>
      <w:r>
        <w:t>Configuration: YAML for penalties and weights</w:t>
      </w:r>
    </w:p>
    <w:p w14:paraId="0FCD377D" w14:textId="77777777" w:rsidR="00193B45" w:rsidRDefault="00000000">
      <w:pPr>
        <w:pStyle w:val="Heading2"/>
      </w:pPr>
      <w:r>
        <w:t>12. Data Model</w:t>
      </w:r>
    </w:p>
    <w:p w14:paraId="4ED65DBF" w14:textId="77777777" w:rsidR="00193B45" w:rsidRDefault="00000000">
      <w:pPr>
        <w:pStyle w:val="Heading3"/>
      </w:pPr>
      <w:r>
        <w:t>12.1 Pipeline</w:t>
      </w:r>
    </w:p>
    <w:p w14:paraId="10D75017" w14:textId="77777777" w:rsidR="00193B45" w:rsidRDefault="00000000">
      <w:r>
        <w:t>Represents a logical pipeline asset under a single operator.</w:t>
      </w:r>
    </w:p>
    <w:tbl>
      <w:tblPr>
        <w:tblStyle w:val="TableGridLight"/>
        <w:tblW w:w="0" w:type="auto"/>
        <w:tblLook w:val="04A0" w:firstRow="1" w:lastRow="0" w:firstColumn="1" w:lastColumn="0" w:noHBand="0" w:noVBand="1"/>
      </w:tblPr>
      <w:tblGrid>
        <w:gridCol w:w="4320"/>
        <w:gridCol w:w="4320"/>
      </w:tblGrid>
      <w:tr w:rsidR="00193B45" w14:paraId="0612CC40" w14:textId="77777777" w:rsidTr="00C32F6D">
        <w:tc>
          <w:tcPr>
            <w:tcW w:w="4320" w:type="dxa"/>
          </w:tcPr>
          <w:p w14:paraId="2F2844D1" w14:textId="77777777" w:rsidR="00193B45" w:rsidRDefault="00000000">
            <w:r>
              <w:t>Field</w:t>
            </w:r>
          </w:p>
        </w:tc>
        <w:tc>
          <w:tcPr>
            <w:tcW w:w="4320" w:type="dxa"/>
          </w:tcPr>
          <w:p w14:paraId="36E4E430" w14:textId="77777777" w:rsidR="00193B45" w:rsidRDefault="00000000">
            <w:r>
              <w:t>Description</w:t>
            </w:r>
          </w:p>
        </w:tc>
      </w:tr>
      <w:tr w:rsidR="00193B45" w14:paraId="48C87C7C" w14:textId="77777777" w:rsidTr="00C32F6D">
        <w:tc>
          <w:tcPr>
            <w:tcW w:w="4320" w:type="dxa"/>
          </w:tcPr>
          <w:p w14:paraId="1A325951" w14:textId="77777777" w:rsidR="00193B45" w:rsidRDefault="00000000">
            <w:r>
              <w:t>id</w:t>
            </w:r>
          </w:p>
        </w:tc>
        <w:tc>
          <w:tcPr>
            <w:tcW w:w="4320" w:type="dxa"/>
          </w:tcPr>
          <w:p w14:paraId="18993665" w14:textId="77777777" w:rsidR="00193B45" w:rsidRDefault="00000000">
            <w:r>
              <w:t>Unique string identifier for the pipeline.</w:t>
            </w:r>
          </w:p>
        </w:tc>
      </w:tr>
      <w:tr w:rsidR="00193B45" w14:paraId="0E60DEF3" w14:textId="77777777" w:rsidTr="00C32F6D">
        <w:tc>
          <w:tcPr>
            <w:tcW w:w="4320" w:type="dxa"/>
          </w:tcPr>
          <w:p w14:paraId="4E5C78F0" w14:textId="77777777" w:rsidR="00193B45" w:rsidRDefault="00000000">
            <w:r>
              <w:t>name</w:t>
            </w:r>
          </w:p>
        </w:tc>
        <w:tc>
          <w:tcPr>
            <w:tcW w:w="4320" w:type="dxa"/>
          </w:tcPr>
          <w:p w14:paraId="4C986B80" w14:textId="77777777" w:rsidR="00193B45" w:rsidRDefault="00000000">
            <w:r>
              <w:t>Human</w:t>
            </w:r>
            <w:r>
              <w:rPr>
                <w:rFonts w:ascii="Cambria Math" w:hAnsi="Cambria Math" w:cs="Cambria Math"/>
              </w:rPr>
              <w:t>‑</w:t>
            </w:r>
            <w:r>
              <w:t>readable pipeline name.</w:t>
            </w:r>
          </w:p>
        </w:tc>
      </w:tr>
      <w:tr w:rsidR="00193B45" w14:paraId="221FA197" w14:textId="77777777" w:rsidTr="00C32F6D">
        <w:tc>
          <w:tcPr>
            <w:tcW w:w="4320" w:type="dxa"/>
          </w:tcPr>
          <w:p w14:paraId="3555D4C3" w14:textId="77777777" w:rsidR="00193B45" w:rsidRDefault="00000000">
            <w:r>
              <w:t>operator</w:t>
            </w:r>
          </w:p>
        </w:tc>
        <w:tc>
          <w:tcPr>
            <w:tcW w:w="4320" w:type="dxa"/>
          </w:tcPr>
          <w:p w14:paraId="38D0176E" w14:textId="77777777" w:rsidR="00193B45" w:rsidRDefault="00000000">
            <w:r>
              <w:t>Operating company.</w:t>
            </w:r>
          </w:p>
        </w:tc>
      </w:tr>
      <w:tr w:rsidR="00193B45" w14:paraId="7A5F3E70" w14:textId="77777777" w:rsidTr="00C32F6D">
        <w:tc>
          <w:tcPr>
            <w:tcW w:w="4320" w:type="dxa"/>
          </w:tcPr>
          <w:p w14:paraId="3286F466" w14:textId="77777777" w:rsidR="00193B45" w:rsidRDefault="00000000">
            <w:r>
              <w:t>region</w:t>
            </w:r>
          </w:p>
        </w:tc>
        <w:tc>
          <w:tcPr>
            <w:tcW w:w="4320" w:type="dxa"/>
          </w:tcPr>
          <w:p w14:paraId="7E5ABF06" w14:textId="77777777" w:rsidR="00193B45" w:rsidRDefault="00000000">
            <w:r>
              <w:t>Geographical region or network zone.</w:t>
            </w:r>
          </w:p>
        </w:tc>
      </w:tr>
    </w:tbl>
    <w:p w14:paraId="32EB593B" w14:textId="77777777" w:rsidR="00193B45" w:rsidRDefault="00000000">
      <w:pPr>
        <w:pStyle w:val="Heading3"/>
      </w:pPr>
      <w:r>
        <w:t>12.2 Segment</w:t>
      </w:r>
    </w:p>
    <w:p w14:paraId="09CB00BB" w14:textId="77777777" w:rsidR="00193B45" w:rsidRDefault="00000000">
      <w:r>
        <w:t>Represents a hydraulically and mechanically coherent section of a pipeline.</w:t>
      </w:r>
    </w:p>
    <w:tbl>
      <w:tblPr>
        <w:tblStyle w:val="TableGridLight"/>
        <w:tblW w:w="0" w:type="auto"/>
        <w:tblLook w:val="04A0" w:firstRow="1" w:lastRow="0" w:firstColumn="1" w:lastColumn="0" w:noHBand="0" w:noVBand="1"/>
      </w:tblPr>
      <w:tblGrid>
        <w:gridCol w:w="4320"/>
        <w:gridCol w:w="4320"/>
      </w:tblGrid>
      <w:tr w:rsidR="00193B45" w14:paraId="23ADDBF7" w14:textId="77777777" w:rsidTr="00C32F6D">
        <w:tc>
          <w:tcPr>
            <w:tcW w:w="4320" w:type="dxa"/>
          </w:tcPr>
          <w:p w14:paraId="4BE7C6AC" w14:textId="77777777" w:rsidR="00193B45" w:rsidRDefault="00000000" w:rsidP="00C32F6D">
            <w:r>
              <w:t>Field</w:t>
            </w:r>
          </w:p>
        </w:tc>
        <w:tc>
          <w:tcPr>
            <w:tcW w:w="4320" w:type="dxa"/>
          </w:tcPr>
          <w:p w14:paraId="15BD8BEE" w14:textId="77777777" w:rsidR="00193B45" w:rsidRDefault="00000000">
            <w:r>
              <w:t>Description</w:t>
            </w:r>
          </w:p>
        </w:tc>
      </w:tr>
      <w:tr w:rsidR="00193B45" w14:paraId="0C1DF9A8" w14:textId="77777777" w:rsidTr="00C32F6D">
        <w:tc>
          <w:tcPr>
            <w:tcW w:w="4320" w:type="dxa"/>
          </w:tcPr>
          <w:p w14:paraId="5FDC568A" w14:textId="77777777" w:rsidR="00193B45" w:rsidRDefault="00000000">
            <w:r>
              <w:t>id</w:t>
            </w:r>
          </w:p>
        </w:tc>
        <w:tc>
          <w:tcPr>
            <w:tcW w:w="4320" w:type="dxa"/>
          </w:tcPr>
          <w:p w14:paraId="22F0D4BC" w14:textId="77777777" w:rsidR="00193B45" w:rsidRDefault="00000000">
            <w:r>
              <w:t>Unique string identifier for the segment.</w:t>
            </w:r>
          </w:p>
        </w:tc>
      </w:tr>
      <w:tr w:rsidR="00193B45" w14:paraId="33F2D9C0" w14:textId="77777777" w:rsidTr="00C32F6D">
        <w:tc>
          <w:tcPr>
            <w:tcW w:w="4320" w:type="dxa"/>
          </w:tcPr>
          <w:p w14:paraId="74FF4ED6" w14:textId="77777777" w:rsidR="00193B45" w:rsidRDefault="00000000">
            <w:r>
              <w:t>pipeline_id</w:t>
            </w:r>
          </w:p>
        </w:tc>
        <w:tc>
          <w:tcPr>
            <w:tcW w:w="4320" w:type="dxa"/>
          </w:tcPr>
          <w:p w14:paraId="0180596A" w14:textId="77777777" w:rsidR="00193B45" w:rsidRDefault="00000000">
            <w:r>
              <w:t>Foreign key linking to Pipeline.</w:t>
            </w:r>
          </w:p>
        </w:tc>
      </w:tr>
      <w:tr w:rsidR="00193B45" w14:paraId="2A5DE009" w14:textId="77777777" w:rsidTr="00C32F6D">
        <w:tc>
          <w:tcPr>
            <w:tcW w:w="4320" w:type="dxa"/>
          </w:tcPr>
          <w:p w14:paraId="069874F8" w14:textId="77777777" w:rsidR="00193B45" w:rsidRDefault="00000000">
            <w:r>
              <w:t>start_km</w:t>
            </w:r>
          </w:p>
        </w:tc>
        <w:tc>
          <w:tcPr>
            <w:tcW w:w="4320" w:type="dxa"/>
          </w:tcPr>
          <w:p w14:paraId="21CC0162" w14:textId="77777777" w:rsidR="00193B45" w:rsidRDefault="00000000">
            <w:r>
              <w:t>Start chainage in kilometres.</w:t>
            </w:r>
          </w:p>
        </w:tc>
      </w:tr>
      <w:tr w:rsidR="00193B45" w14:paraId="67313A82" w14:textId="77777777" w:rsidTr="00C32F6D">
        <w:tc>
          <w:tcPr>
            <w:tcW w:w="4320" w:type="dxa"/>
          </w:tcPr>
          <w:p w14:paraId="6E6889C7" w14:textId="77777777" w:rsidR="00193B45" w:rsidRDefault="00000000">
            <w:r>
              <w:t>end_km</w:t>
            </w:r>
          </w:p>
        </w:tc>
        <w:tc>
          <w:tcPr>
            <w:tcW w:w="4320" w:type="dxa"/>
          </w:tcPr>
          <w:p w14:paraId="3B7A8AF2" w14:textId="77777777" w:rsidR="00193B45" w:rsidRDefault="00000000">
            <w:r>
              <w:t>End chainage in kilometres.</w:t>
            </w:r>
          </w:p>
        </w:tc>
      </w:tr>
    </w:tbl>
    <w:p w14:paraId="669E69D6" w14:textId="77777777" w:rsidR="00193B45" w:rsidRDefault="00000000">
      <w:pPr>
        <w:pStyle w:val="Heading3"/>
      </w:pPr>
      <w:r>
        <w:lastRenderedPageBreak/>
        <w:t>12.3 SegmentInputs</w:t>
      </w:r>
    </w:p>
    <w:p w14:paraId="664F2410" w14:textId="76A5A5B6" w:rsidR="00193B45" w:rsidRDefault="00000000">
      <w:r>
        <w:t xml:space="preserve">Stores all input attributes required to score each pillar at </w:t>
      </w:r>
      <w:r w:rsidR="00C32F6D">
        <w:t xml:space="preserve">the </w:t>
      </w:r>
      <w:r>
        <w:t>segment level, including K_I, K_TH, hardness, crack statistics, coating information, environmental descriptors, data quality metrics and operational controls.</w:t>
      </w:r>
    </w:p>
    <w:p w14:paraId="0527542E" w14:textId="77777777" w:rsidR="00193B45" w:rsidRDefault="00000000">
      <w:pPr>
        <w:pStyle w:val="Heading3"/>
      </w:pPr>
      <w:r>
        <w:t>12.4 HRIScore</w:t>
      </w:r>
    </w:p>
    <w:p w14:paraId="50D51E6F" w14:textId="77777777" w:rsidR="00193B45" w:rsidRDefault="00000000">
      <w:r>
        <w:t>Stores the results of each scoring run, including the overall HRI, readiness class, individual pillar scores and a serialised list of driver statements.</w:t>
      </w:r>
    </w:p>
    <w:p w14:paraId="1AFD6B3B" w14:textId="77777777" w:rsidR="00193B45" w:rsidRDefault="00000000">
      <w:pPr>
        <w:pStyle w:val="Heading2"/>
      </w:pPr>
      <w:r>
        <w:t>13. User Interface</w:t>
      </w:r>
    </w:p>
    <w:p w14:paraId="07078749" w14:textId="77777777" w:rsidR="00193B45" w:rsidRDefault="00000000">
      <w:r>
        <w:t>The UI is organised into three tabs: Setup, Inputs and Score &amp; Dashboard.</w:t>
      </w:r>
    </w:p>
    <w:p w14:paraId="46DDAE9F" w14:textId="77777777" w:rsidR="00193B45" w:rsidRDefault="00000000">
      <w:pPr>
        <w:pStyle w:val="ListBullet"/>
      </w:pPr>
      <w:r>
        <w:t>Setup Tab – create pipelines and segments; view lists of configured assets.</w:t>
      </w:r>
    </w:p>
    <w:p w14:paraId="4180DEF5" w14:textId="77777777" w:rsidR="00193B45" w:rsidRDefault="00000000">
      <w:pPr>
        <w:pStyle w:val="ListBullet"/>
      </w:pPr>
      <w:r>
        <w:t>Inputs Tab – capture inputs for all seven pillars using dedicated sub‑tabs (M, D, I, C, E, Q, O).</w:t>
      </w:r>
    </w:p>
    <w:p w14:paraId="07F624A4" w14:textId="77777777" w:rsidR="00193B45" w:rsidRDefault="00000000">
      <w:pPr>
        <w:pStyle w:val="ListBullet"/>
      </w:pPr>
      <w:r>
        <w:t>Score &amp; Dashboard Tab – run scoring, view HRI and pillars, see gating messages, drivers and a mini segment heatmap.</w:t>
      </w:r>
    </w:p>
    <w:p w14:paraId="08E84D92" w14:textId="77777777" w:rsidR="00193B45" w:rsidRDefault="00000000">
      <w:pPr>
        <w:pStyle w:val="Heading2"/>
      </w:pPr>
      <w:r>
        <w:t>14. API Endpoints</w:t>
      </w:r>
    </w:p>
    <w:p w14:paraId="52F49109" w14:textId="77777777" w:rsidR="00193B45" w:rsidRDefault="00000000">
      <w:r>
        <w:t>Key REST endpoints exposed by the FastAPI service include:</w:t>
      </w:r>
    </w:p>
    <w:p w14:paraId="0B6CEC8D" w14:textId="77777777" w:rsidR="00193B45" w:rsidRDefault="00000000">
      <w:pPr>
        <w:pStyle w:val="ListBullet"/>
      </w:pPr>
      <w:r>
        <w:t>GET /pipelines – list pipelines.</w:t>
      </w:r>
    </w:p>
    <w:p w14:paraId="6CBB8E60" w14:textId="77777777" w:rsidR="00193B45" w:rsidRDefault="00000000">
      <w:pPr>
        <w:pStyle w:val="ListBullet"/>
      </w:pPr>
      <w:r>
        <w:t>POST /pipelines – create pipeline.</w:t>
      </w:r>
    </w:p>
    <w:p w14:paraId="7251D8B5" w14:textId="77777777" w:rsidR="00193B45" w:rsidRDefault="00000000">
      <w:pPr>
        <w:pStyle w:val="ListBullet"/>
      </w:pPr>
      <w:r>
        <w:t>GET /segments – list segments.</w:t>
      </w:r>
    </w:p>
    <w:p w14:paraId="48F37DE2" w14:textId="77777777" w:rsidR="00193B45" w:rsidRDefault="00000000">
      <w:pPr>
        <w:pStyle w:val="ListBullet"/>
      </w:pPr>
      <w:r>
        <w:t>POST /segments – create segment.</w:t>
      </w:r>
    </w:p>
    <w:p w14:paraId="403110C2" w14:textId="77777777" w:rsidR="00193B45" w:rsidRDefault="00000000">
      <w:pPr>
        <w:pStyle w:val="ListBullet"/>
      </w:pPr>
      <w:r>
        <w:t>GET /segments/{segment_id}/inputs – retrieve inputs for a segment.</w:t>
      </w:r>
    </w:p>
    <w:p w14:paraId="355CAB28" w14:textId="77777777" w:rsidR="00193B45" w:rsidRDefault="00000000">
      <w:pPr>
        <w:pStyle w:val="ListBullet"/>
      </w:pPr>
      <w:r>
        <w:t>POST /segments/{segment_id}/inputs – upsert inputs for a segment.</w:t>
      </w:r>
    </w:p>
    <w:p w14:paraId="3F1EFEB7" w14:textId="77777777" w:rsidR="00193B45" w:rsidRDefault="00000000">
      <w:pPr>
        <w:pStyle w:val="ListBullet"/>
      </w:pPr>
      <w:r>
        <w:t>POST /segments/{segment_id}/hri/compute – compute HRI and store score.</w:t>
      </w:r>
    </w:p>
    <w:p w14:paraId="231E7C83" w14:textId="77777777" w:rsidR="00193B45" w:rsidRDefault="00000000">
      <w:pPr>
        <w:pStyle w:val="ListBullet"/>
      </w:pPr>
      <w:r>
        <w:t>GET /scores/latest – retrieve latest HRI per segment for dashboard visualisation.</w:t>
      </w:r>
    </w:p>
    <w:p w14:paraId="639B72BF" w14:textId="77777777" w:rsidR="00193B45" w:rsidRDefault="00000000">
      <w:pPr>
        <w:pStyle w:val="Heading2"/>
      </w:pPr>
      <w:r>
        <w:t>15. Future Machine Learning Extensions</w:t>
      </w:r>
    </w:p>
    <w:p w14:paraId="5D8DFC53" w14:textId="77777777" w:rsidR="00193B45" w:rsidRDefault="00000000">
      <w:r>
        <w:t>Beyond the deterministic MVP, H2Ready is designed for integration with machine learning datasets and models. Supervised regression models may be trained on curated hydrogen test data to adjust pillar scores or directly estimate HRI. Graph neural networks and sequence models could ingest pipeline topology, ILI signals, CP stress histories and SCADA time series, with uncertainty quantification layers providing confidence intervals around HRI outputs.</w:t>
      </w:r>
    </w:p>
    <w:p w14:paraId="2B15EE6B" w14:textId="77777777" w:rsidR="00193B45" w:rsidRDefault="00000000">
      <w:pPr>
        <w:pStyle w:val="Heading2"/>
      </w:pPr>
      <w:r>
        <w:t>16. Risks and Constraints</w:t>
      </w:r>
    </w:p>
    <w:p w14:paraId="036858CA" w14:textId="77777777" w:rsidR="00193B45" w:rsidRDefault="00000000">
      <w:pPr>
        <w:pStyle w:val="ListBullet"/>
      </w:pPr>
      <w:r>
        <w:t>Limited availability of high‑fidelity hydrogen test data for certain steel grades.</w:t>
      </w:r>
    </w:p>
    <w:p w14:paraId="5522EFA9" w14:textId="77777777" w:rsidR="00193B45" w:rsidRDefault="00000000">
      <w:pPr>
        <w:pStyle w:val="ListBullet"/>
      </w:pPr>
      <w:r>
        <w:t>Uncertainty in legacy pipeline records and incomplete inspection coverage.</w:t>
      </w:r>
    </w:p>
    <w:p w14:paraId="3850FBAA" w14:textId="77777777" w:rsidR="00193B45" w:rsidRDefault="00000000">
      <w:pPr>
        <w:pStyle w:val="ListBullet"/>
      </w:pPr>
      <w:r>
        <w:t>Need for conservative assumptions and gates to maintain safety where data are sparse.</w:t>
      </w:r>
    </w:p>
    <w:p w14:paraId="15D3775C" w14:textId="77777777" w:rsidR="00193B45" w:rsidRDefault="00000000">
      <w:pPr>
        <w:pStyle w:val="Heading2"/>
      </w:pPr>
      <w:r>
        <w:lastRenderedPageBreak/>
        <w:t>17. References</w:t>
      </w:r>
    </w:p>
    <w:p w14:paraId="6C96CCA6" w14:textId="77777777" w:rsidR="00193B45" w:rsidRDefault="00000000">
      <w:r>
        <w:t>This specification draws on the Hydrogen Readiness Recommended Practice document, the H2Ready white paper and associated technical notes and source code. External reference standards include ASME B31.12, DNV-RP-F104 and industry guidance on hydrogen embrittlement and fracture mechanics for pipelines.</w:t>
      </w:r>
    </w:p>
    <w:sectPr w:rsidR="00193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332251">
    <w:abstractNumId w:val="8"/>
  </w:num>
  <w:num w:numId="2" w16cid:durableId="1407024510">
    <w:abstractNumId w:val="6"/>
  </w:num>
  <w:num w:numId="3" w16cid:durableId="495536424">
    <w:abstractNumId w:val="5"/>
  </w:num>
  <w:num w:numId="4" w16cid:durableId="1338657630">
    <w:abstractNumId w:val="4"/>
  </w:num>
  <w:num w:numId="5" w16cid:durableId="216667418">
    <w:abstractNumId w:val="7"/>
  </w:num>
  <w:num w:numId="6" w16cid:durableId="1439330279">
    <w:abstractNumId w:val="3"/>
  </w:num>
  <w:num w:numId="7" w16cid:durableId="1325401853">
    <w:abstractNumId w:val="2"/>
  </w:num>
  <w:num w:numId="8" w16cid:durableId="527836061">
    <w:abstractNumId w:val="1"/>
  </w:num>
  <w:num w:numId="9" w16cid:durableId="184054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B45"/>
    <w:rsid w:val="001C4DDD"/>
    <w:rsid w:val="00263FE3"/>
    <w:rsid w:val="0029639D"/>
    <w:rsid w:val="00326F90"/>
    <w:rsid w:val="0098256E"/>
    <w:rsid w:val="00AA1D8D"/>
    <w:rsid w:val="00B47730"/>
    <w:rsid w:val="00C32F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22B35"/>
  <w14:defaultImageDpi w14:val="300"/>
  <w15:docId w15:val="{225A4320-808C-45E8-88C4-0A0EE812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1C4D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Owuamanam</cp:lastModifiedBy>
  <cp:revision>2</cp:revision>
  <dcterms:created xsi:type="dcterms:W3CDTF">2013-12-23T23:15:00Z</dcterms:created>
  <dcterms:modified xsi:type="dcterms:W3CDTF">2026-01-15T19:12:00Z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422882ae-3701-45f3-953a-3f6ea1c3c9dc</vt:lpwstr>
  </property>
</Properties>
</file>