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t xml:space="preserve">Davis Cerniglia</w:t>
      </w:r>
    </w:p>
    <w:p>
      <w:pPr>
        <w:spacing w:after="0" w:line="240"/>
      </w:pPr>
      <w:r>
        <w:t xml:space="preserve">Amy Barnickel</w:t>
      </w:r>
    </w:p>
    <w:p>
      <w:pPr>
        <w:spacing w:after="0" w:line="240"/>
      </w:pPr>
      <w:r>
        <w:t xml:space="preserve">ENC 1102</w:t>
      </w:r>
    </w:p>
    <w:p>
      <w:pPr>
        <w:spacing w:after="0" w:line="240"/>
      </w:pPr>
      <w:r>
        <w:t xml:space="preserve">31 May 2026</w:t>
      </w:r>
    </w:p>
    <w:p>
      <w:pPr>
        <w:spacing w:after="0" w:line="240"/>
        <w:jc w:val="center"/>
      </w:pPr>
      <w:r>
        <w:rPr>
          <w:b/>
          <w:bCs/>
        </w:rPr>
        <w:t xml:space="preserve">Annotated Bibliography</w:t>
      </w:r>
    </w:p>
    <w:p>
      <w:pPr>
        <w:spacing w:after="0" w:line="240"/>
      </w:pPr>
      <w:r>
        <w:t xml:space="preserve">Citation Style: MLA</w:t>
      </w:r>
    </w:p>
    <w:p>
      <w:pPr>
        <w:spacing w:after="0" w:line="240"/>
      </w:pPr>
      <w:r>
        <w:rPr>
          <w:b/>
          <w:bCs/>
        </w:rPr>
        <w:t xml:space="preserve">Research question: </w:t>
      </w:r>
      <w:r>
        <w:t xml:space="preserve">How do the visual and rhetorical elements of MrBeast-style “$1 vs $X” YouTube thumbnails and titles attract the attention of American teens between 2019 and 2025?</w:t>
      </w:r>
    </w:p>
    <w:p>
      <w:pPr>
        <w:spacing w:after="0" w:line="240"/>
      </w:pPr>
      <w:r>
        <w:t xml:space="preserve"/>
      </w:r>
    </w:p>
    <w:p>
      <w:pPr>
        <w:spacing w:after="0" w:before="0" w:line="240"/>
        <w:ind w:left="720" w:hanging="720"/>
      </w:pPr>
      <w:r>
        <w:t xml:space="preserve">Clary-Lemon, Jennifer, Derek Mueller, and Kate Pantelides. “Research and the Rhetorical Forms It Takes.” </w:t>
      </w:r>
      <w:r>
        <w:rPr>
          <w:i w:val="false"/>
          <w:iCs w:val="false"/>
        </w:rPr>
        <w:t xml:space="preserve">Try This: Research Methods for Writers</w:t>
      </w:r>
      <w:r>
        <w:t xml:space="preserve">, The WAC Clearinghouse / University Press of Colorado, 2022, pp. 155–165.</w:t>
      </w:r>
    </w:p>
    <w:p>
      <w:pPr>
        <w:spacing w:after="0" w:line="240"/>
      </w:pPr>
      <w:r>
        <w:rPr>
          <w:b/>
          <w:bCs/>
        </w:rPr>
        <w:t xml:space="preserve">Summary: </w:t>
      </w:r>
      <w:r>
        <w:t xml:space="preserve">This text reframes the classical rhetorical canon of delivery as circulation, examining how research and texts move through the world and get re-composed by audiences. It introduces Ridolfo and DeVoss’s concept of rhetorical velocity, strategically anticipating how a text may be recomposed and recirculated by third parties, and surveys forms for delivering research, including reports, short-form presentations, posters, and “multimodal transformation” across media.</w:t>
      </w:r>
    </w:p>
    <w:p>
      <w:pPr>
        <w:spacing w:after="0" w:line="240"/>
      </w:pPr>
      <w:r>
        <w:rPr>
          <w:b/>
          <w:bCs/>
        </w:rPr>
        <w:t xml:space="preserve">Connection: </w:t>
      </w:r>
      <w:r>
        <w:t xml:space="preserve">Rhetorical velocity connects with this project’s object: MrBeast thumbnails are engineered to be screenshotted, parodied, and remade into reaction content, so “designed for recirculation” would be a great way to describe his titles and thumbnails.</w:t>
      </w:r>
    </w:p>
    <w:p>
      <w:pPr>
        <w:spacing w:after="0" w:line="240"/>
      </w:pPr>
      <w:r>
        <w:t xml:space="preserve"/>
      </w:r>
    </w:p>
    <w:p>
      <w:pPr>
        <w:spacing w:after="0" w:before="0" w:line="240"/>
        <w:ind w:left="720" w:hanging="720"/>
      </w:pPr>
      <w:r>
        <w:t xml:space="preserve">Jung, Anna-Katharina, et al. “Click Me…! The Influence of Clickbait on User Engagement in Social Media and the Role of Digital Nudging.” </w:t>
      </w:r>
      <w:r>
        <w:rPr>
          <w:i w:val="false"/>
          <w:iCs w:val="false"/>
        </w:rPr>
        <w:t xml:space="preserve">PLOS ONE</w:t>
      </w:r>
      <w:r>
        <w:t xml:space="preserve">, vol. 17, no. 6, 2022, e0266743, https://doi.org/10.1371/journal.pone.0266743.</w:t>
      </w:r>
    </w:p>
    <w:p>
      <w:pPr>
        <w:spacing w:after="0" w:line="240"/>
      </w:pPr>
      <w:r>
        <w:rPr>
          <w:b/>
          <w:bCs/>
        </w:rPr>
        <w:t xml:space="preserve">Summary: </w:t>
      </w:r>
      <w:r>
        <w:t xml:space="preserve">This article analyzes more than 4,400 Facebook posts from ten reputable and tabloid U.S. and U.K. news sources, using negative binomial regression to test which clickbait features drive reactions, shares, and comments. Some features increase engagement while others suppress it; notably, unusual punctuation in a headline predicted up to 2.5 times more interaction, and the authors reframe these tactics through digital-nudging theory.</w:t>
      </w:r>
    </w:p>
    <w:p>
      <w:pPr>
        <w:spacing w:after="0" w:line="240"/>
      </w:pPr>
      <w:r>
        <w:rPr>
          <w:b/>
          <w:bCs/>
        </w:rPr>
        <w:t xml:space="preserve">Connection: </w:t>
      </w:r>
      <w:r>
        <w:t xml:space="preserve">This article connects perfectly as it tested some of the tactics that MrBeast titles utilize and how these tactics increased engagement. The “$1 vs $1,000,000” formula relies on the numerals, punctuation, and curiosity-gap phrasing this study quantifies, enabling the analysis to argue that title features are statistically related to engagement rather than merely stylistic.</w:t>
      </w:r>
    </w:p>
    <w:p>
      <w:pPr>
        <w:spacing w:after="0" w:line="240"/>
      </w:pPr>
      <w:r>
        <w:t xml:space="preserve"/>
      </w:r>
    </w:p>
    <w:p>
      <w:pPr>
        <w:spacing w:after="0" w:before="0" w:line="240"/>
        <w:ind w:left="720" w:hanging="720"/>
      </w:pPr>
      <w:r>
        <w:t xml:space="preserve">Kjeldsen, Jens E. “Visual Rhetoric and the Power of Imagery: A Brief Lesson in the Rhetorical Power of Images and the Need for Phronesis and Krisis in the Teaching of Visual Rhetoric.” </w:t>
      </w:r>
      <w:r>
        <w:rPr>
          <w:i w:val="false"/>
          <w:iCs w:val="false"/>
        </w:rPr>
        <w:t xml:space="preserve">Video Journal of Education and Pedagogy</w:t>
      </w:r>
      <w:r>
        <w:t xml:space="preserve">, vol. 6, no. 1, 2021, pp. 1–11, https://doi.org/10.1163/23644583-bja10021.</w:t>
      </w:r>
    </w:p>
    <w:p>
      <w:pPr>
        <w:spacing w:after="0" w:line="240"/>
      </w:pPr>
      <w:r>
        <w:rPr>
          <w:b/>
          <w:bCs/>
        </w:rPr>
        <w:t xml:space="preserve">Summary: </w:t>
      </w:r>
      <w:r>
        <w:t xml:space="preserve">Argues that images themselves are not inherently powerful nor powerless; their persuasive force depends on the rhetorical situation, culture, and the viewer’s existing beliefs. It locates visual power in epideictic rhetoric, imagery that reinforces existing attitudes and values rather than advocating change, and calls for teaching audiences to interpret and evaluate images, not merely decode them.</w:t>
      </w:r>
    </w:p>
    <w:p>
      <w:pPr>
        <w:spacing w:after="0" w:line="240"/>
      </w:pPr>
      <w:r>
        <w:rPr>
          <w:b/>
          <w:bCs/>
        </w:rPr>
        <w:t xml:space="preserve">Connection: </w:t>
      </w:r>
      <w:r>
        <w:t xml:space="preserve">It provides useful theoretical caution: MrBeast thumbnails persuade in part because they confirm what a teen audience values (wealth spectacle, extremes, winning). The epideictic frame encourages reading thumbnails as reaffirming existing aspirational values, while emphasizing critical interpretation offers a media-literacy lens.</w:t>
      </w:r>
    </w:p>
    <w:p>
      <w:pPr>
        <w:spacing w:after="0" w:line="240"/>
      </w:pPr>
      <w:r>
        <w:t xml:space="preserve"/>
      </w:r>
    </w:p>
    <w:p>
      <w:pPr>
        <w:spacing w:after="0" w:before="0" w:line="240"/>
        <w:ind w:left="720" w:hanging="720"/>
      </w:pPr>
      <w:r>
        <w:t xml:space="preserve">Peterson, Matthew O. “Aspects of Visual Metaphor: An Operational Typology of Visual Rhetoric for Research in Advertising.” </w:t>
      </w:r>
      <w:r>
        <w:rPr>
          <w:i w:val="false"/>
          <w:iCs w:val="false"/>
        </w:rPr>
        <w:t xml:space="preserve">International Journal of Advertising</w:t>
      </w:r>
      <w:r>
        <w:t xml:space="preserve">, vol. 38, no. 1, 2019, pp. 67–96, https://doi.org/10.1080/02650487.2018.1447760.</w:t>
      </w:r>
    </w:p>
    <w:p>
      <w:pPr>
        <w:spacing w:after="0" w:line="240"/>
      </w:pPr>
      <w:r>
        <w:rPr>
          <w:b/>
          <w:bCs/>
        </w:rPr>
        <w:t xml:space="preserve">Summary: </w:t>
      </w:r>
      <w:r>
        <w:t xml:space="preserve">Adapts and expands Phillips and McQuarrie’s typology of visual rhetoric to analyze variation in advertisement visual metaphors, organizing an ad by visual structure (fusion, replacement, juxtaposition) crossed with meaning operations, and proposes how viewers decode these features.</w:t>
      </w:r>
    </w:p>
    <w:p>
      <w:pPr>
        <w:spacing w:after="0" w:line="240"/>
      </w:pPr>
      <w:r>
        <w:rPr>
          <w:b/>
          <w:bCs/>
        </w:rPr>
        <w:t xml:space="preserve">Connection: </w:t>
      </w:r>
      <w:r>
        <w:t xml:space="preserve">The “$1 vs $X” thumbnail serves as a textbook case of juxtaposition, two opposing items arranged side by side to elicit a comparison, so the typology provides language to analyze thumbnail composition, and for the discussion of how the repetition of layouts is a function of rhetorical figures, not random design choices.</w:t>
      </w:r>
    </w:p>
    <w:p>
      <w:pPr>
        <w:spacing w:after="0" w:line="240"/>
      </w:pPr>
      <w:r>
        <w:t xml:space="preserve"/>
      </w:r>
    </w:p>
    <w:p>
      <w:pPr>
        <w:spacing w:after="0" w:before="0" w:line="240"/>
        <w:ind w:left="720" w:hanging="720"/>
      </w:pPr>
      <w:r>
        <w:t xml:space="preserve">Porter, James E. “Intertextuality and the Discourse Community.” </w:t>
      </w:r>
      <w:r>
        <w:rPr>
          <w:i w:val="false"/>
          <w:iCs w:val="false"/>
        </w:rPr>
        <w:t xml:space="preserve">Rhetoric Review</w:t>
      </w:r>
      <w:r>
        <w:t xml:space="preserve">, vol. 5, no. 1, 1986, pp. 34–47.</w:t>
      </w:r>
    </w:p>
    <w:p>
      <w:pPr>
        <w:spacing w:after="0" w:line="240"/>
      </w:pPr>
      <w:r>
        <w:rPr>
          <w:b/>
          <w:bCs/>
        </w:rPr>
        <w:t xml:space="preserve">Summary: </w:t>
      </w:r>
      <w:r>
        <w:t xml:space="preserve">It argues that all texts are interdependent, woven from “traces” of prior texts, and distinguishes two types of intertextuality: iterability (the repeated fragments, conventions, and clichés that a text absorbs) and presupposition (the premises that a text makes in regard to its audience and its environment). It ties this to discourse community and suggests forum analysis, considering a community’s conventions and expectations as opposed to an audience profile.</w:t>
      </w:r>
    </w:p>
    <w:p>
      <w:pPr>
        <w:spacing w:after="0" w:line="240"/>
      </w:pPr>
      <w:r>
        <w:rPr>
          <w:b/>
          <w:bCs/>
        </w:rPr>
        <w:t xml:space="preserve">Connection: </w:t>
      </w:r>
      <w:r>
        <w:t xml:space="preserve">This is the conceptual anchor for the project. A MrBeast thumbnail is very intertextual: the shocked open-mouth face, the red arrows, and the stacks of cash are all aspects that make it a recognizable YouTube-thumbnail genre, and they work through presupposition by relying on what teen viewers already expect. Forum analysis shifts the study toward the conventions of the thumbnail discourse community, not just viewer demographics.</w:t>
      </w:r>
    </w:p>
    <w:p>
      <w:pPr>
        <w:spacing w:after="0" w:line="240"/>
      </w:pPr>
      <w:r>
        <w:t xml:space="preserve"/>
      </w:r>
    </w:p>
    <w:p>
      <w:pPr>
        <w:spacing w:after="0" w:before="0" w:line="240"/>
        <w:ind w:left="720" w:hanging="720"/>
      </w:pPr>
      <w:r>
        <w:t xml:space="preserve">Salojärvi, Virpi, et al. “Protecting the Future ‘Us’: A Rhetoric-Performative Multimodal Analysis of the Polarising Far-Right YouTube Campaign Videos in Finland.” </w:t>
      </w:r>
      <w:r>
        <w:rPr>
          <w:i w:val="false"/>
          <w:iCs w:val="false"/>
        </w:rPr>
        <w:t xml:space="preserve">Visual Studies</w:t>
      </w:r>
      <w:r>
        <w:t xml:space="preserve">, vol. 38, no. 5, 2023, pp. 851–866, https://doi.org/10.1080/1472586X.2023.2249430.</w:t>
      </w:r>
    </w:p>
    <w:p>
      <w:pPr>
        <w:spacing w:after="0" w:line="240"/>
      </w:pPr>
      <w:r>
        <w:rPr>
          <w:b/>
          <w:bCs/>
        </w:rPr>
        <w:t xml:space="preserve">Summary: </w:t>
      </w:r>
      <w:r>
        <w:t xml:space="preserve">Establishes a rhetorical-performative multimodal analysis of audiovisual material on YouTube, comparing campaign videos of two far-right Finnish parties, and demonstrates how affective appeals make a common “us” through nostalgia, shared myths, and aesthetics, focusing on spatial signifiers.</w:t>
      </w:r>
    </w:p>
    <w:p>
      <w:pPr>
        <w:spacing w:after="0" w:line="240"/>
      </w:pPr>
      <w:r>
        <w:rPr>
          <w:b/>
          <w:bCs/>
        </w:rPr>
        <w:t xml:space="preserve">Connection: </w:t>
      </w:r>
      <w:r>
        <w:t xml:space="preserve">Although it’s about politics, the study demonstrates how one could study YouTube-specific persuasive media, as well as how specific affective appeals promote an in-group identity with a target audience, which to me can be used when examining how MrBeast thumbnails build an aspirational “you could win this too” identity for teens.</w:t>
      </w:r>
    </w:p>
    <w:p>
      <w:pPr>
        <w:spacing w:after="0" w:line="240"/>
      </w:pPr>
      <w:r>
        <w:t xml:space="preserve"/>
      </w:r>
    </w:p>
    <w:p>
      <w:pPr>
        <w:spacing w:after="0" w:before="0" w:line="240"/>
        <w:ind w:left="720" w:hanging="720"/>
      </w:pPr>
      <w:r>
        <w:t xml:space="preserve">Shrestha, Ankit, et al. “‘It Is Luring You to Click on the Link with False Advertising’: Mental Models of Clickbait and Its Impact on User’s Perceptions and Behavior towards Clickbait Warnings.” </w:t>
      </w:r>
      <w:r>
        <w:rPr>
          <w:i w:val="false"/>
          <w:iCs w:val="false"/>
        </w:rPr>
        <w:t xml:space="preserve">International Journal of Human–Computer Interaction</w:t>
      </w:r>
      <w:r>
        <w:t xml:space="preserve">, vol. 41, no. 4, 2025, pp. 2352–2370, https://doi.org/10.1080/10447318.2024.2323248.</w:t>
      </w:r>
    </w:p>
    <w:p>
      <w:pPr>
        <w:spacing w:after="0" w:line="240"/>
      </w:pPr>
      <w:r>
        <w:rPr>
          <w:b/>
          <w:bCs/>
        </w:rPr>
        <w:t xml:space="preserve">Summary: </w:t>
      </w:r>
      <w:r>
        <w:t xml:space="preserve">Based on an online survey of 770 U.S./Canada respondents, the article reaches six “mental models” about the way users perceive clickbait. They organize how it works compared to what it purports to do. Most users maintain a basic model that underestimates the risks of clickbait; its attraction is driven mostly by the curiosity and/or information gap; and clickbait usually operates by exaggerating the thumbnail or the headline.</w:t>
      </w:r>
    </w:p>
    <w:p>
      <w:pPr>
        <w:spacing w:after="0" w:line="240"/>
      </w:pPr>
      <w:r>
        <w:rPr>
          <w:b/>
          <w:bCs/>
        </w:rPr>
        <w:t xml:space="preserve">Connection: </w:t>
      </w:r>
      <w:r>
        <w:t xml:space="preserve">This is one of the few sources to name the thumbnail itself as a tool for sensationalization, which supports the project’s dual focus on image and text. Its curiosity-gap mechanism explains the pull of MrBeast’s withheld payoff, while its finding that less-aware viewers underestimate manipulation helps position teens as an especially receptive audience.</w:t>
      </w:r>
    </w:p>
    <w:p>
      <w:pPr>
        <w:spacing w:after="0" w:line="240"/>
      </w:pPr>
      <w:r>
        <w:t xml:space="preserve"/>
      </w:r>
    </w:p>
    <w:p>
      <w:pPr>
        <w:spacing w:after="0" w:before="0" w:line="240"/>
        <w:ind w:left="720" w:hanging="720"/>
      </w:pPr>
      <w:r>
        <w:t xml:space="preserve">Tseronis, Assimakis. “From Visual Rhetoric to Multimodal Argumentation: Analyzing the Rhetorical and Argumentative Significance of Multimodal Figures on the Covers of </w:t>
      </w:r>
      <w:r>
        <w:rPr>
          <w:i w:val="false"/>
          <w:iCs w:val="false"/>
        </w:rPr>
        <w:t xml:space="preserve">The Economist</w:t>
      </w:r>
      <w:r>
        <w:t xml:space="preserve">.” </w:t>
      </w:r>
      <w:r>
        <w:rPr>
          <w:i w:val="false"/>
          <w:iCs w:val="false"/>
        </w:rPr>
        <w:t xml:space="preserve">Visual Communication</w:t>
      </w:r>
      <w:r>
        <w:t xml:space="preserve">, vol. 20, no. 3, 2021, pp. 374–396.</w:t>
      </w:r>
    </w:p>
    <w:p>
      <w:pPr>
        <w:spacing w:after="0" w:line="240"/>
      </w:pPr>
      <w:r>
        <w:rPr>
          <w:b/>
          <w:bCs/>
        </w:rPr>
        <w:t xml:space="preserve">Summary: </w:t>
      </w:r>
      <w:r>
        <w:t xml:space="preserve">Examines 563 covers of The Economist (2009–2019), analyzing how metaphor, antithesis, and allusion are visually or verbo-visually cued. It treats the cover as a multimodal argument that invites readers to purchase the issue, while warning against thinking of the verbal–visual interaction as an argument.</w:t>
      </w:r>
    </w:p>
    <w:p>
      <w:pPr>
        <w:spacing w:after="0" w:line="240"/>
      </w:pPr>
      <w:r>
        <w:rPr>
          <w:b/>
          <w:bCs/>
        </w:rPr>
        <w:t xml:space="preserve">Connection: </w:t>
      </w:r>
      <w:r>
        <w:t xml:space="preserve">The strongest methodological principle: a YouTube thumbnail is like a magazine cover, a small “choose this” pitch incorporating image and text. Tseronis’s distinction between rhetorical relevance and argumentative relevance allows the analysis to inquire whether a thumbnail just has to catch your eye or whether it is making an implicit argument, and his antithesis category maps right to the “$1 vs $X” oppositional framework.</w:t>
      </w:r>
    </w:p>
    <w:p>
      <w:pPr>
        <w:spacing w:after="0" w:line="2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3</cp:revision>
  <dcterms:created xsi:type="dcterms:W3CDTF">2026-05-29T16:10:00Z</dcterms:created>
  <dcterms:modified xsi:type="dcterms:W3CDTF">2026-05-31T22:38:00Z</dcterms:modified>
</cp:coreProperties>
</file>

<file path=docProps/custom.xml><?xml version="1.0" encoding="utf-8"?>
<Properties xmlns="http://schemas.openxmlformats.org/officeDocument/2006/custom-properties" xmlns:vt="http://schemas.openxmlformats.org/officeDocument/2006/docPropsVTypes"/>
</file>