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Davis Cerniglia</w:t>
      </w:r>
    </w:p>
    <w:p>
      <w:pPr>
        <w:spacing w:after="0" w:line="480"/>
      </w:pPr>
      <w:r>
        <w:t xml:space="preserve">Amy Barnickel</w:t>
      </w:r>
    </w:p>
    <w:p>
      <w:pPr>
        <w:spacing w:after="0" w:line="480"/>
      </w:pPr>
      <w:r>
        <w:t xml:space="preserve">ENC 1102</w:t>
      </w:r>
    </w:p>
    <w:p>
      <w:pPr>
        <w:spacing w:after="0" w:line="480"/>
      </w:pPr>
      <w:r>
        <w:t xml:space="preserve">22 June 2026</w:t>
      </w:r>
    </w:p>
    <w:p>
      <w:pPr>
        <w:spacing w:after="0" w:line="480"/>
        <w:jc w:val="center"/>
      </w:pPr>
      <w:r>
        <w:rPr>
          <w:b/>
          <w:bCs/>
        </w:rPr>
        <w:t xml:space="preserve">Cover Letter</w:t>
      </w:r>
    </w:p>
    <w:p>
      <w:pPr>
        <w:spacing w:after="0" w:line="480"/>
        <w:ind w:firstLine="720"/>
      </w:pPr>
      <w:r>
        <w:t xml:space="preserve">Welcome to my ENC 1102 portfolio. I came into this class as a programmer who saw writing courses as something to get through efficiently, not as a place I’d build anything I cared about. Now in the final days of this semester I have a research project that I am very proud of, an analysis of how MrBeast-style “$1 vs $X” YouTube thumbnails and titles are designed to grab a teen audience, and everything in between that shows the process that got me here. My argument for this portfolio is simple: across the semester my writing moved from guessing at what research is to actually doing it, and the six course outcomes are the clearest way to see that change. The artifacts I’ve chosen aren’t just proof I finished the assignments; lined up, they trace a research process, from a first messy question, to sources, to a coding method, to a drafted and revised paper, and each stage maps onto an outcome I can point to and show.</w:t>
      </w:r>
    </w:p>
    <w:p>
      <w:pPr>
        <w:spacing w:after="0" w:line="480"/>
        <w:ind w:firstLine="720"/>
      </w:pPr>
      <w:r>
        <w:t xml:space="preserve">The course outcome for Generating Inquiry asks students to “generate and explore genuine lines of inquiry related to writing, language, literacy, and/or rhetoric,” and the artifact that shows me learning what that means is my research question, which sits in the Research Project section next to the genre analysis that started it. My first version asked how effective the MrBeast clickbait style was at raising viewership across age groups. Dr. Barnickel pointed out that this wasn’t really researchable for the course, I was chasing an outcome I had no way to measure. I reworked it into “how do the rhetorical and visual features of MrBeast-style ‘$1 vs $X’ YouTube thumbnails and titles work to capture the attention of American teens between 2019 and 2025?” That swap, from a question about effects to a question about the text itself, is the whole outcome in one move: a genuine line of inquiry is one where the answer isn’t already baked in and where I can actually go look. I kept the weak first version in my portfolio on purpose, because the distance between those two questions is the clearest evidence I have that I learned this.</w:t>
      </w:r>
    </w:p>
    <w:p>
      <w:pPr>
        <w:spacing w:after="0" w:line="480"/>
        <w:ind w:firstLine="720"/>
      </w:pPr>
      <w:r>
        <w:t xml:space="preserve">Information Literacy, the outcome about evaluating “relevance, credibility, and ethics when gathering, analyzing, and presenting primary and secondary source materials,” is the one my annotated bibliography demonstrates most directly. Early on I basically treated anything on the internet as usable. Building the bibliography pushed me past that. I pulled eight sources through UCF’s library databases, and the work wasn’t just finding them, it was sorting real peer-reviewed articles from books, dissertations, and reference entries, then asking of each one what the author’s angle was and how it connected to what everyone else had said, instead of only whether it was “trustworthy.” The ethics half showed up in the citation discipline it took to present those sources honestly. Presenting sources accurately turned out to be as much a part of this outcome as picking good ones.</w:t>
      </w:r>
    </w:p>
    <w:p>
      <w:pPr>
        <w:spacing w:after="0" w:line="480"/>
        <w:ind w:firstLine="720"/>
      </w:pPr>
      <w:r>
        <w:t xml:space="preserve">Research Genre Production asks for writing that shows I can “navigate choices and constraints in a variety of public and/or academic research genres that matter to specific communities.” My portfolio is basically a tour of those genres: reading responses, a genre analysis, the annotated bibliography, a coding-practice assignment, claim drafts, a multimodal discussion post, and the full research paper. Each one runs on different rules. The reading responses are loose and exploratory; the annotated bibliography is rigid, with strict citation formatting and a fixed summary-then-connection structure; the research paper, “A Dollar Against a Fortune,” had to organize eight sources into three clusters and hold an academic argument balancing and utilizing these sources. The hardest constraint was one specific to my project: Dr. Barnickel kept flagging “effectiveness language,” any time I claimed the format “works” or was “perfected to grab” attention. Staying in what I started calling the rhetorical-design lane, describing what the thumbnails are built to do rather than claiming what they achieve, shaped almost every sentence of that paper. Learning to write inside that limit is the clearest sign I can navigate a genre’s rules instead of just filling in a template.</w:t>
      </w:r>
    </w:p>
    <w:p>
      <w:pPr>
        <w:spacing w:after="0" w:line="480"/>
        <w:ind w:firstLine="720"/>
      </w:pPr>
      <w:r>
        <w:t xml:space="preserve">Multiple Ways of Writing is about purposefully integrating “multimodality, multiple languages, and/or multiliteracies into writing products to support their goals,” and it runs through more of my work than I expected when I first defined it as just not being a robot and tossing in an image. My intro discussion post made the point early, it was built around a meme, and I had to think about what an image could say that a paragraph couldn’t. The research project takes that further, because the whole object of study is multimodal: I’m analyzing how a thumbnail’s image and a title’s text combine to make meaning, and my appendix marks up each thumbnail with a color key so a reader can see the conventions I’m naming. And the portfolio you’re reading is itself the multimodal product, where the layout, the navigation, and the writing all have to work together. The progress here is that I stopped treating modes as decoration and started choosing them for what they actually do.</w:t>
      </w:r>
    </w:p>
    <w:p>
      <w:pPr>
        <w:spacing w:after="0" w:line="480"/>
        <w:ind w:firstLine="720"/>
      </w:pPr>
      <w:r>
        <w:t xml:space="preserve">Contributing Knowledge, or drawing “conclusions based on analysis and interpretation of primary evidence” and placing that work “in conversation with other source materials,” is the outcome my research paper exists to demonstrate. My primary evidence is the thumbnails and titles themselves, four of them, coded against a consistent set of criteria I built in my coding-practice assignment. The conclusions are mine: that the format runs on a small core of conventions, a fixed price-contrast title formula, an exaggerated surprised face, and a bright, gold-saturated version of an expensive-looking product. Then I put that in conversation with James Porter’s idea of iterability and discourse communities, applying it to a genre Porter never wrote about, and with the visual-rhetoric sources from my bibliography. That’s the part that finally felt like contributing instead of summarizing, taking someone’s framework and using it to say something about evidence they never looked at.</w:t>
      </w:r>
    </w:p>
    <w:p>
      <w:pPr>
        <w:spacing w:after="0" w:line="480"/>
        <w:ind w:firstLine="720"/>
      </w:pPr>
      <w:r>
        <w:t xml:space="preserve">Revision, the outcome about acting “with intention on feedback from readers when drafting, revising, and editing,” is the one I changed my mind about the most. I used to think revision meant fixing typos and tightening sentences. This semester taught me it can happen at the level of a whole idea. The clearest case is the research-question rewrite, that wasn’t editing, it was rethinking the entire project after Dr. Barnickel’s feedback. In my coding-practice assignment, Dr. Barnickel pointed out that I was making claims without showing evidence, so I went back, expanded my sample from three thumbnails to four, and marked up the actual images so every present-or-absent call had documented proof behind it. And late in the project, when I added a fourth creator and two of the four turned out to share the same collective, my earlier claim that they were “unrelated creators” stopped being true; instead of deleting it I reframed it into a stronger point about a convention that travels both across strangers and inside a group. Each of those was me negotiating a difference, between what I’d written and what the evidence or the feedback was telling me, and choosing to act on it on purpose. My drafts keep the before and after so that negotiation stays visible.</w:t>
      </w:r>
    </w:p>
    <w:p>
      <w:pPr>
        <w:spacing w:after="0" w:line="480"/>
        <w:ind w:firstLine="720"/>
      </w:pPr>
      <w:r>
        <w:t xml:space="preserve">Looking back, the through-line of this portfolio is that I stopped treating research as something you assert and started treating it as something you build and defend. That isn’t a writing-class-only skill. I’m a programmer, and the habits this project drilled, asking a question I can actually investigate, checking my sources before I trust them, staying honest about what my evidence does and doesn’t show, and revising the whole structure when something underneath it changes, are the same habits that separate a real technical write-up, design doc, or postmortem from a pile of claims. Whether I end up documenting a system, writing up a game-development project, or making a case to a team, I’ll be doing a version of what I did here. The MrBeast thumbnails were the excuse; learning to think and write like this was the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3</cp:revision>
  <dcterms:created xsi:type="dcterms:W3CDTF">2026-06-22T15:00:00Z</dcterms:created>
  <dcterms:modified xsi:type="dcterms:W3CDTF">2026-06-23T18:00:00Z</dcterms:modified>
</cp:coreProperties>
</file>

<file path=docProps/custom.xml><?xml version="1.0" encoding="utf-8"?>
<Properties xmlns="http://schemas.openxmlformats.org/officeDocument/2006/custom-properties" xmlns:vt="http://schemas.openxmlformats.org/officeDocument/2006/docPropsVTypes"/>
</file>