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4A19" w14:textId="77777777" w:rsidR="004B128D" w:rsidRDefault="00000000">
      <w:r>
        <w:t>Davis Cerniglia</w:t>
      </w:r>
    </w:p>
    <w:p w14:paraId="7C539465" w14:textId="77777777" w:rsidR="004B128D" w:rsidRDefault="00000000">
      <w:r>
        <w:t>Amy Barnickel</w:t>
      </w:r>
    </w:p>
    <w:p w14:paraId="2D70D583" w14:textId="77777777" w:rsidR="004B128D" w:rsidRDefault="00000000">
      <w:r>
        <w:t>ENC 1102</w:t>
      </w:r>
    </w:p>
    <w:p w14:paraId="5CBBCEF1" w14:textId="77777777" w:rsidR="004B128D" w:rsidRDefault="00000000">
      <w:r>
        <w:t>10 June 2026</w:t>
      </w:r>
    </w:p>
    <w:p w14:paraId="2BFED0EA" w14:textId="77777777" w:rsidR="004B128D" w:rsidRDefault="00000000">
      <w:pPr>
        <w:jc w:val="center"/>
      </w:pPr>
      <w:r>
        <w:t>A Dollar Against a Fortune: Reading the “$1 vs $X” Thumbnail as Genre</w:t>
      </w:r>
    </w:p>
    <w:p w14:paraId="69A160EB" w14:textId="77777777" w:rsidR="004B128D" w:rsidRDefault="00000000">
      <w:pPr>
        <w:keepNext/>
      </w:pPr>
      <w:r>
        <w:rPr>
          <w:b/>
          <w:bCs/>
        </w:rPr>
        <w:t>Introduction</w:t>
      </w:r>
    </w:p>
    <w:p w14:paraId="6F101540" w14:textId="35F3956F" w:rsidR="004B128D" w:rsidRDefault="00000000">
      <w:pPr>
        <w:ind w:firstLine="720"/>
      </w:pPr>
      <w:r>
        <w:t xml:space="preserve">Open up YouTube and you immediately get a grid of thumbnails that are all shouting for the same click. Since around 2019, there has been a certain look that has been seen over and over taking over the grid of videos. The MrBeast-style “$1 vs $X” format has been built to grab the attention of young American teens following the same formula nearly every time: a title built on the “$1 vs $(large number), (object/product)!” structure, the creator of the video with an extremely exaggerated facial expression and behind them a bright, gold-drenched, or over saturated version of whatever the video is about. Some thumbnails will throw a washed-out cheap version of the object or product as well to show a split-screen contrast and make the gold side pop more. The constant is the loud product and the even louder face. This format repeats so reliably and shows up so relentlessly across the platform that it’s worth studying instead of writing off as noise. My research question: how do the rhetorical and visual features of MrBeast-style “$1 vs $X” YouTube thumbnails and titles work to capture the attention of American teens between 2019 and 2025? Plenty of scholarship covers clickbait’s effects and how images persuade, but almost none of it looks at this specific format of thumbnail. My working thesis is that MrBeast-style “$1 vs $X” thumbnails and titles capture the attention of American teens through three recurring conventions: a fixed price-contrast title formula, an exaggerated surprised facial expression, and a bright, gold and saturated display of an expensive-looking </w:t>
        <w:lastRenderedPageBreak/>
        <w:t>version of the product. This is worth doing because teens are exactly who this format is built for, and being able to name what a thumbnail is doing is the first step to reading it instead of just clicking. That kind of media literacy matters for the viewers, for the creators copying the format, and for anyone trying to teach either one. Before I get to the videos themselves, though, I need to lay out the conversation this study is stepping into.</w:t>
      </w:r>
    </w:p>
    <w:p w14:paraId="570C1815" w14:textId="77777777" w:rsidR="004B128D" w:rsidRDefault="00000000">
      <w:pPr>
        <w:keepNext/>
      </w:pPr>
      <w:r>
        <w:rPr>
          <w:b/>
          <w:bCs/>
        </w:rPr>
        <w:t>Literature Review</w:t>
      </w:r>
    </w:p>
    <w:p w14:paraId="0604C3C3" w14:textId="77777777" w:rsidR="004B128D" w:rsidRDefault="00000000">
      <w:pPr>
        <w:ind w:firstLine="720"/>
      </w:pPr>
      <w:r>
        <w:t>The scholarship I’m working from falls into three groups: research on clickbait, methods from visual rhetoric, and the genre-and-discourse-community frame that ties them together, and each one gets me part of the way to this format without quite arriving at it.</w:t>
      </w:r>
    </w:p>
    <w:p w14:paraId="7FD6B30D" w14:textId="77777777" w:rsidR="004B128D" w:rsidRPr="00F422D2" w:rsidRDefault="00000000">
      <w:pPr>
        <w:keepNext/>
        <w:rPr>
          <w:b/>
          <w:bCs/>
        </w:rPr>
      </w:pPr>
      <w:r>
        <w:rPr>
          <w:b/>
          <w:bCs/>
        </w:rPr>
        <w:t>The Clickbait Conversation</w:t>
      </w:r>
    </w:p>
    <w:p w14:paraId="6AA00829" w14:textId="5373B86E" w:rsidR="004B128D" w:rsidRDefault="00000000">
      <w:pPr>
        <w:ind w:firstLine="720"/>
      </w:pPr>
      <w:r>
        <w:t xml:space="preserve">Most research on clickbait treats it like something to measure, not something to read. Jung et al. took the features everyone assumes pull clicks, like weird punctuation, stock phrases, question titles, and emotional wording, and tested them against engagement on around 4,400 Facebook posts. What they found is kind of surprising. A lot of those “classic” clickbait moves actually lowered engagement instead of raising it, and the same cue could cut both ways depending on where it sat. Unusual punctuation in a headline boosted engagement, but the same punctuation buried in the body text fell flat. So certain clickbait strategies can actually hurt engagement unless they’re used in the right place and the right way. That’s interesting for my project, because the “$1 vs $X” format puts its punctuation and formula right in the title, exactly the slot Jung points to as the high-impact one. The one thing Jung never does is pin down a fixed formula like “$1 vs $X” itself. Shrestha et al. come at it from the other side. Instead of the features, they look at how over 720 users think clickbait works, and they find that most people operate on a thin understanding of the format, they recognize it and act on it without really </w:t>
        <w:lastRenderedPageBreak/>
        <w:t>getting how it works or why it’s risky. To me that shows how normalized and familiar the formulas of clickbait have become; people read it on autopilot. That loops back to Porter, because a convention people recognize and respond to without really understanding it is exactly what a shared discourse-community convention looks like. Put together, the two land on opposite ends of the same conversation. Jung asks which features actually work, and Shrestha asks what users believe is happening to them. But both stay focused on what clickbait does to the audience.</w:t>
      </w:r>
    </w:p>
    <w:p w14:paraId="1865F246" w14:textId="77777777" w:rsidR="004B128D" w:rsidRPr="00F422D2" w:rsidRDefault="00000000">
      <w:pPr>
        <w:keepNext/>
        <w:rPr>
          <w:b/>
          <w:bCs/>
        </w:rPr>
      </w:pPr>
      <w:r>
        <w:rPr>
          <w:b/>
          <w:bCs/>
        </w:rPr>
        <w:t>The Visual Rhetoric Toolkit</w:t>
      </w:r>
    </w:p>
    <w:p w14:paraId="1A0C380E" w14:textId="5297B22E" w:rsidR="004B128D" w:rsidRDefault="00000000">
      <w:pPr>
        <w:ind w:firstLine="720"/>
      </w:pPr>
      <w:r>
        <w:t xml:space="preserve">The clickbait studies measure clickbait by looking at which features land and how users react to them. They never read the thumbnail itself as a designed image. To do that I have to lean on visual-rhetoric research. None of it was built for thumbnails, but the tools still carry over. Kjeldsen argues that how much power an image has really depends on its audience. Images mostly reinforce what a viewer already feels instead of talking a skeptic into something new. That changes how I read the shocked face and the exaggerated product behind it. They’re probably not arguing a teen into being curious so much as switching on an appetite that’s already there. Aimed at American teens specifically, that appetite is part wealth fantasy, part curiosity. That’s Kjeldsen’s whole point: the thumbnail isn’t building that desire from nothing, it’s flipping on something the audience already walked in with. Peterson moves from what images do to how they do it. He lays out a whole typology for reading the parts of a visual figure in ads, things like incongruity, source and target, and the space between what’s implied and what’s actually said. Where Kjeldsen tells me images mostly confirm, Peterson hands me an actual vocabulary for taking apart a single image. In his terms, the gold, expensive-looking version of the product reads as a fusion: an everyday object like a movie theater or a Lego house merged with the visual language of extreme wealth. And in the thumbnails that do use a split screen, the cheap side set </w:t>
        <w:lastRenderedPageBreak/>
        <w:t xml:space="preserve">against the gold side is a juxtaposition in Peterson’s terms, two versions of the same thing placed side by side, so the viewer begins to ask themselves questions about the video and grow their curiosity. The fact that the fusion is there every time while the split screen only shows up sometimes tells me the gold, expensive version is the convention the genre can’t drop, and the split-screen contrast is just a bonus that sharpens it when it’s used. Having that label means I’m not just calling the thumbnail “exaggerated,” I can name the exact move it’s making. </w:t>
      </w:r>
    </w:p>
    <w:p w14:paraId="61CF35A5" w14:textId="209B7D28" w:rsidR="004B128D" w:rsidRDefault="00000000">
      <w:pPr>
        <w:ind w:firstLine="720"/>
      </w:pPr>
      <w:r>
        <w:t xml:space="preserve">Tseronis is the piece that connects the two. He separates an image’s rhetorical relevance, which it always has, from its argumentative relevance, which only kicks in when the genre invites it. A visual contrast is just a contrast until the genre makes it mean something. That’s what lets a price gap, or the dull-versus-gold split in the thumbnails that use one, land as a loaded comparison instead of random clutter. Salojärvi et al. then take the same multimodal approach straight onto YouTube. They build a method for how videos combine their visual and audio pieces into emotional meaning and shape the audience they’re aimed at. Line all four up and you’ve basically got a working toolkit: images confirm (Kjeldsen), figures have parts (Peterson), the genre makes those parts argue (Tseronis), and the method moves onto YouTube (Salojärvi). The one thing none of them does is point that toolkit at a clickbait thumbnail. Their subjects are print ads, magazine covers, press photos, and political campaign videos. </w:t>
      </w:r>
    </w:p>
    <w:p w14:paraId="6549DC7F" w14:textId="77777777" w:rsidR="004B128D" w:rsidRPr="00F422D2" w:rsidRDefault="00000000">
      <w:pPr>
        <w:keepNext/>
        <w:rPr>
          <w:b/>
          <w:bCs/>
        </w:rPr>
      </w:pPr>
      <w:r>
        <w:rPr>
          <w:b/>
          <w:bCs/>
        </w:rPr>
        <w:t>The Intertextual Frame</w:t>
      </w:r>
    </w:p>
    <w:p w14:paraId="5D9CE102" w14:textId="77777777" w:rsidR="004B128D" w:rsidRDefault="00000000">
      <w:pPr>
        <w:ind w:firstLine="720"/>
      </w:pPr>
      <w:r>
        <w:t xml:space="preserve">My last two sources give me the frame that holds everything else together. Porter argues that no text really stands on its own. Every text is built out of pieces of earlier texts, and a text gets accepted inside a discourse community by using that community’s shared convention. If you point that at the format of the titles, it’s basically the engine of my whole project. The repeated title formula and the recycled thumbnail layout work through what Porter calls iterability, which </w:t>
        <w:lastRenderedPageBreak/>
        <w:t>is his term for the way a recognizable form gets lifted from one text and reused in the next. The creators are running the same playbook. MrBeast plus everyone copying him make up a discourse community that shares one convention. Clary-Lemon, Mueller, and Pantelides take that same convention-logic and point it at research itself. They argue that scholarly work travels through its own set of genres, like the literature review, the coding schema, and the research poster, and each one is just a familiar response to a situation that keeps coming up. Between the two sources I get a double move. I can treat the “$1 vs $X” thumbnail and title as a genre worth coding, and I can treat my own coded analysis as a real, recognized research form. The catch is that both of them stay at the level of general theory. Porter never actually looks at YouTube, and the Try This chapter is about the genres research takes, not clickbait. So whether the discourse-community frame actually fits the MrBeast-style format is the thing my study has to test, not just assume.</w:t>
      </w:r>
    </w:p>
    <w:p w14:paraId="6670E0A4" w14:textId="77777777" w:rsidR="004B128D" w:rsidRPr="00F422D2" w:rsidRDefault="00000000">
      <w:pPr>
        <w:keepNext/>
        <w:rPr>
          <w:b/>
          <w:bCs/>
        </w:rPr>
      </w:pPr>
      <w:r>
        <w:rPr>
          <w:b/>
          <w:bCs/>
        </w:rPr>
        <w:t>Closing</w:t>
      </w:r>
    </w:p>
    <w:p w14:paraId="1366E865" w14:textId="0A101B24" w:rsidR="004B128D" w:rsidRDefault="00000000">
      <w:pPr>
        <w:ind w:firstLine="720"/>
      </w:pPr>
      <w:r>
        <w:t xml:space="preserve">Across all three groups of sources, the same hole keeps showing up. The clickbait research measures clickbait and how people respond to it, but it never reads the artifact itself as rhetoric. The visual-rhetoric research knows how to read an image as rhetoric, but none of it ever looks at thumbnails. And the genre-and-discourse-community frame explains why a repeated form counts as a genre, but it never tests that idea on this one. Each of these hands me a piece of what I need for my research. The clickbait studies show me how clickbait works and how people respond, the visual-rhetoric studies give me a method for reading the image, and the intertextuality work gives me a theory of convention. But every one of them stops just short of the MrBeast-style “$1 vs $X” thumbnail and title. That’s exactly where my study comes in. It points the visual-rhetoric toolkit at the format as a genre, using the discourse-community frame, </w:t>
        <w:lastRenderedPageBreak/>
        <w:t>to see whether its attention-grabbing work really lives in the three conventions my thesis names: the price-contrast title formula, the surprised face, and the gold-saturated product. What’s left is to hold those three conventions up against the videos themselves and see what they’re really doing.</w:t>
      </w:r>
    </w:p>
    <w:p w14:paraId="6DEE24FC" w14:textId="77777777" w:rsidR="004B128D" w:rsidRDefault="00000000">
      <w:pPr>
        <w:keepNext/>
      </w:pPr>
      <w:r>
        <w:rPr>
          <w:b/>
          <w:bCs/>
        </w:rPr>
        <w:t>Methods</w:t>
      </w:r>
    </w:p>
    <w:p w14:paraId="640DBD86" w14:textId="77777777" w:rsidR="004B128D" w:rsidRDefault="00000000">
      <w:pPr>
        <w:ind w:firstLine="720"/>
      </w:pPr>
      <w:r>
        <w:t>This study is a qualitative analysis of the thumbnails and titles of four “$1 vs $X” YouTube videos. Because my research question asks how the format’s rhetorical and visual features are built, not how viewers respond to them, I treated each thumbnail and title as a designed text to be read, not as a stimulus tested on an audience. There were no human participants; all of my primary data is publicly available media drawn directly from YouTube. Because the data is publicly available media rather than interviews or surveys, the study falls outside the consent-form and transcript requirements that apply to human-subjects research.</w:t>
      </w:r>
    </w:p>
    <w:p w14:paraId="7E2C9FC2" w14:textId="77777777" w:rsidR="004B128D" w:rsidRDefault="00000000">
      <w:pPr>
        <w:ind w:firstLine="720"/>
      </w:pPr>
      <w:r>
        <w:t xml:space="preserve">I found my corpus through a single YouTube search for “1 vs 1000000,” the format’s signature phrasing, and selected four videos from the results: MrBeast’s “$1 vs $500,000 Plane Ticket!”, Jeremy Hutchins’ “$1 vs $100,000 Lego House Tour!”, Unspeakable’s “$1 vs $1,000,000 Movie Theater!”, and Ben Azelart’s “$1 vs $100,000 Theme Park!”. I chose four creators on purpose, so that any shared conventions would show up across the genre rather than reflecting one channel’s house style, and I left the price ceilings varied ($100,000 to $1,000,000) instead of matching them. Two of the four, Hutchins and Ben Azelart, are part of the same Amp World collective, so they aren’t fully independent of each other. I kept both on purpose instead of dropping one, since having two creators from one group plus two with no connection to them or each other lets me check whether the formula holds across both independent channels and a shared-brand group, not just inside one cluster. I also deliberately kept videos whose thumbnails </w:t>
        <w:lastRenderedPageBreak/>
        <w:t>differ from the others rather than screening them out: MrBeast’s and Ben Azelart’s thumbnails stage a side-by-side cheap-versus-expensive split, while Hutchins’s and Unspeakable’s each show a single expensive-looking version without the split. Keeping that variation in, instead of stacking the corpus with four near-identical thumbnails, lets the coding show which conventions appear in every example and which are optional. For each video I captured the thumbnail image and the full title text as they appeared on the watch page, the first three on 29 May 2026 and the Ben Azelart video on 12 June 2026, saving a screenshot of each so the coded versions could be marked up afterward.</w:t>
      </w:r>
    </w:p>
    <w:p w14:paraId="10F9CCC4" w14:textId="77777777" w:rsidR="004B128D" w:rsidRDefault="00000000">
      <w:pPr>
        <w:ind w:firstLine="720"/>
      </w:pPr>
      <w:r>
        <w:t>The unit I analyzed was the thumbnail-and-title pair for each video. Rather than describe each one freely, I applied the same three codes to all four videos, so the comparison stayed consistent across creators instead of drifting into loose description. The three codes come from the conventions my project identifies:</w:t>
      </w:r>
    </w:p>
    <w:p w14:paraId="5A313545" w14:textId="77777777" w:rsidR="004B128D" w:rsidRDefault="00000000">
      <w:pPr>
        <w:pStyle w:val="ListParagraph"/>
        <w:numPr>
          <w:ilvl w:val="0"/>
          <w:numId w:val="2"/>
        </w:numPr>
      </w:pPr>
      <w:r>
        <w:rPr>
          <w:i/>
          <w:iCs/>
        </w:rPr>
        <w:t>Title formula</w:t>
      </w:r>
      <w:r>
        <w:t>: whether the title follows the “$1 vs $(high amount), (object)!” structure, recorded by its parts: the $1 floor, the high dollar amount, the object noun, the punctuation, and the use of numerals and dollar signs rather than spelled-out words.</w:t>
      </w:r>
    </w:p>
    <w:p w14:paraId="2CD58F81" w14:textId="77777777" w:rsidR="004B128D" w:rsidRDefault="00000000">
      <w:pPr>
        <w:pStyle w:val="ListParagraph"/>
        <w:numPr>
          <w:ilvl w:val="0"/>
          <w:numId w:val="2"/>
        </w:numPr>
      </w:pPr>
      <w:r>
        <w:rPr>
          <w:i/>
          <w:iCs/>
        </w:rPr>
        <w:t>Split-screen contrast</w:t>
      </w:r>
      <w:r>
        <w:t>: whether the thumbnail stages a cheap, dull side against an expensive, desirable side, marked present or absent for each video. A thumbnail was marked present if it stages a distinct cheap or dull version against an expensive or desirable one in a divided or side-by-side composition, and absent if it shows only a single expensive-looking version with no contrasting counterpart.</w:t>
      </w:r>
    </w:p>
    <w:p w14:paraId="17EF0FDF" w14:textId="77777777" w:rsidR="004B128D" w:rsidRDefault="00000000">
      <w:pPr>
        <w:pStyle w:val="ListParagraph"/>
        <w:numPr>
          <w:ilvl w:val="0"/>
          <w:numId w:val="2"/>
        </w:numPr>
      </w:pPr>
      <w:r>
        <w:rPr>
          <w:i/>
          <w:iCs/>
        </w:rPr>
        <w:t>Youth-coded signals</w:t>
      </w:r>
      <w:r>
        <w:t xml:space="preserve">: relatable or aspirational objects, exaggerated facial expressions, and bright, saturated colors aimed at a teen audience. The specific cues I counted </w:t>
        <w:lastRenderedPageBreak/>
        <w:t>were an exaggerated or expressive facial expression, bright saturated color, an expensive-looking version of the product, a relatable or aspirational object, and a theme prop tied to the product.</w:t>
      </w:r>
    </w:p>
    <w:p w14:paraId="4940A6D7" w14:textId="77777777" w:rsidR="004B128D" w:rsidRDefault="00000000">
      <w:pPr>
        <w:ind w:firstLine="720"/>
      </w:pPr>
      <w:r>
        <w:t>I applied each code to each video in turn and recorded the results in a coding table, marking each code present or absent and noting the specific form it took: the exact title string, the layout, and the particular signals. I followed the consistent-criteria coding approach described by Denny and Clark, applying the same defined codes to every case rather than describing each thumbnail freely. Applying the same three criteria across all four videos let me compare them on the same terms. The fully coded thumbnails appear in Appendix A, each marked up with a color key for the three codes.</w:t>
      </w:r>
    </w:p>
    <w:p w14:paraId="504D7539" w14:textId="77777777" w:rsidR="004B128D" w:rsidRDefault="00000000">
      <w:pPr>
        <w:ind w:firstLine="720"/>
      </w:pPr>
      <w:r>
        <w:t>This section records only what data I collected and how I coded it; the analysis of what the codes revealed follows in the Results section.</w:t>
      </w:r>
    </w:p>
    <w:p w14:paraId="4696F3DB" w14:textId="77777777" w:rsidR="004B128D" w:rsidRDefault="00000000">
      <w:pPr>
        <w:keepNext/>
      </w:pPr>
      <w:r>
        <w:rPr>
          <w:b/>
          <w:bCs/>
        </w:rPr>
        <w:t>Results</w:t>
      </w:r>
    </w:p>
    <w:p w14:paraId="281604D5" w14:textId="77777777" w:rsidR="004B128D" w:rsidRDefault="00000000">
      <w:pPr>
        <w:ind w:firstLine="720"/>
      </w:pPr>
      <w:r>
        <w:t>All four thumbnail-and-title pairs were coded against every criterion, and Table 1 records the results. Read code by code, the patterns come apart cleanly.</w:t>
      </w:r>
    </w:p>
    <w:p w14:paraId="6FC424E9" w14:textId="77777777" w:rsidR="004B128D" w:rsidRDefault="00000000">
      <w:pPr>
        <w:spacing w:before="120" w:after="60" w:line="240" w:lineRule="auto"/>
      </w:pPr>
      <w:r>
        <w:rPr>
          <w:b/>
          <w:bCs/>
        </w:rPr>
        <w:t xml:space="preserve">Table 1. </w:t>
      </w:r>
      <w:r>
        <w:t>Coding of the Four “$1 vs $X” Thumbnails and Titles Across All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4B128D" w14:paraId="1BF4C857" w14:textId="77777777">
        <w:tblPrEx>
          <w:tblCellMar>
            <w:top w:w="0" w:type="dxa"/>
            <w:bottom w:w="0" w:type="dxa"/>
          </w:tblCellMar>
        </w:tblPrEx>
        <w:trPr>
          <w:tblHeader/>
        </w:trPr>
        <w:tc>
          <w:tcPr>
            <w:tcW w:w="2760" w:type="dxa"/>
            <w:tcBorders>
              <w:top w:val="single" w:sz="1" w:space="0" w:color="BBBBBB"/>
              <w:left w:val="single" w:sz="1" w:space="0" w:color="BBBBBB"/>
              <w:bottom w:val="single" w:sz="1" w:space="0" w:color="BBBBBB"/>
              <w:right w:val="single" w:sz="1" w:space="0" w:color="BBBBBB"/>
            </w:tcBorders>
            <w:shd w:val="clear" w:color="auto" w:fill="D9D9D9"/>
            <w:tcMar>
              <w:top w:w="40" w:type="dxa"/>
              <w:left w:w="100" w:type="dxa"/>
              <w:bottom w:w="40" w:type="dxa"/>
              <w:right w:w="100" w:type="dxa"/>
            </w:tcMar>
            <w:vAlign w:val="center"/>
          </w:tcPr>
          <w:p w14:paraId="52C8EE10" w14:textId="77777777" w:rsidR="004B128D" w:rsidRDefault="00000000">
            <w:pPr>
              <w:spacing w:line="240" w:lineRule="auto"/>
            </w:pPr>
            <w:r>
              <w:rPr>
                <w:b/>
                <w:bCs/>
                <w:sz w:val="22"/>
                <w:szCs w:val="22"/>
              </w:rPr>
              <w:t>Criterion</w:t>
            </w:r>
          </w:p>
        </w:tc>
        <w:tc>
          <w:tcPr>
            <w:tcW w:w="1650" w:type="dxa"/>
            <w:tcBorders>
              <w:top w:val="single" w:sz="1" w:space="0" w:color="BBBBBB"/>
              <w:left w:val="single" w:sz="1" w:space="0" w:color="BBBBBB"/>
              <w:bottom w:val="single" w:sz="1" w:space="0" w:color="BBBBBB"/>
              <w:right w:val="single" w:sz="1" w:space="0" w:color="BBBBBB"/>
            </w:tcBorders>
            <w:shd w:val="clear" w:color="auto" w:fill="D9D9D9"/>
            <w:tcMar>
              <w:top w:w="40" w:type="dxa"/>
              <w:left w:w="100" w:type="dxa"/>
              <w:bottom w:w="40" w:type="dxa"/>
              <w:right w:w="100" w:type="dxa"/>
            </w:tcMar>
            <w:vAlign w:val="center"/>
          </w:tcPr>
          <w:p w14:paraId="0161B98D" w14:textId="77777777" w:rsidR="004B128D" w:rsidRDefault="00000000">
            <w:pPr>
              <w:spacing w:line="240" w:lineRule="auto"/>
            </w:pPr>
            <w:r>
              <w:rPr>
                <w:b/>
                <w:bCs/>
                <w:sz w:val="22"/>
                <w:szCs w:val="22"/>
              </w:rPr>
              <w:t>MrBeast ($500K Plane Ticket)</w:t>
            </w:r>
          </w:p>
        </w:tc>
        <w:tc>
          <w:tcPr>
            <w:tcW w:w="1650" w:type="dxa"/>
            <w:tcBorders>
              <w:top w:val="single" w:sz="1" w:space="0" w:color="BBBBBB"/>
              <w:left w:val="single" w:sz="1" w:space="0" w:color="BBBBBB"/>
              <w:bottom w:val="single" w:sz="1" w:space="0" w:color="BBBBBB"/>
              <w:right w:val="single" w:sz="1" w:space="0" w:color="BBBBBB"/>
            </w:tcBorders>
            <w:shd w:val="clear" w:color="auto" w:fill="D9D9D9"/>
            <w:tcMar>
              <w:top w:w="40" w:type="dxa"/>
              <w:left w:w="100" w:type="dxa"/>
              <w:bottom w:w="40" w:type="dxa"/>
              <w:right w:w="100" w:type="dxa"/>
            </w:tcMar>
            <w:vAlign w:val="center"/>
          </w:tcPr>
          <w:p w14:paraId="1D18129E" w14:textId="77777777" w:rsidR="004B128D" w:rsidRDefault="00000000">
            <w:pPr>
              <w:spacing w:line="240" w:lineRule="auto"/>
            </w:pPr>
            <w:r>
              <w:rPr>
                <w:b/>
                <w:bCs/>
                <w:sz w:val="22"/>
                <w:szCs w:val="22"/>
              </w:rPr>
              <w:t>Hutchins ($100K Lego House)</w:t>
            </w:r>
          </w:p>
        </w:tc>
        <w:tc>
          <w:tcPr>
            <w:tcW w:w="1650" w:type="dxa"/>
            <w:tcBorders>
              <w:top w:val="single" w:sz="1" w:space="0" w:color="BBBBBB"/>
              <w:left w:val="single" w:sz="1" w:space="0" w:color="BBBBBB"/>
              <w:bottom w:val="single" w:sz="1" w:space="0" w:color="BBBBBB"/>
              <w:right w:val="single" w:sz="1" w:space="0" w:color="BBBBBB"/>
            </w:tcBorders>
            <w:shd w:val="clear" w:color="auto" w:fill="D9D9D9"/>
            <w:tcMar>
              <w:top w:w="40" w:type="dxa"/>
              <w:left w:w="100" w:type="dxa"/>
              <w:bottom w:w="40" w:type="dxa"/>
              <w:right w:w="100" w:type="dxa"/>
            </w:tcMar>
            <w:vAlign w:val="center"/>
          </w:tcPr>
          <w:p w14:paraId="3F8EFA50" w14:textId="77777777" w:rsidR="004B128D" w:rsidRDefault="00000000">
            <w:pPr>
              <w:spacing w:line="240" w:lineRule="auto"/>
            </w:pPr>
            <w:r>
              <w:rPr>
                <w:b/>
                <w:bCs/>
                <w:sz w:val="22"/>
                <w:szCs w:val="22"/>
              </w:rPr>
              <w:t>Unspeakable ($1M Movie Theater)</w:t>
            </w:r>
          </w:p>
        </w:tc>
        <w:tc>
          <w:tcPr>
            <w:tcW w:w="1650" w:type="dxa"/>
            <w:tcBorders>
              <w:top w:val="single" w:sz="1" w:space="0" w:color="BBBBBB"/>
              <w:left w:val="single" w:sz="1" w:space="0" w:color="BBBBBB"/>
              <w:bottom w:val="single" w:sz="1" w:space="0" w:color="BBBBBB"/>
              <w:right w:val="single" w:sz="1" w:space="0" w:color="BBBBBB"/>
            </w:tcBorders>
            <w:shd w:val="clear" w:color="auto" w:fill="D9D9D9"/>
            <w:tcMar>
              <w:top w:w="40" w:type="dxa"/>
              <w:left w:w="100" w:type="dxa"/>
              <w:bottom w:w="40" w:type="dxa"/>
              <w:right w:w="100" w:type="dxa"/>
            </w:tcMar>
            <w:vAlign w:val="center"/>
          </w:tcPr>
          <w:p w14:paraId="6B2595E8" w14:textId="77777777" w:rsidR="004B128D" w:rsidRDefault="00000000">
            <w:pPr>
              <w:spacing w:line="240" w:lineRule="auto"/>
            </w:pPr>
            <w:r>
              <w:rPr>
                <w:b/>
                <w:bCs/>
                <w:sz w:val="22"/>
                <w:szCs w:val="22"/>
              </w:rPr>
              <w:t>Ben Azelart ($100K Theme Park)</w:t>
            </w:r>
          </w:p>
        </w:tc>
      </w:tr>
      <w:tr w:rsidR="004B128D" w14:paraId="29141F82" w14:textId="77777777">
        <w:tblPrEx>
          <w:tblCellMar>
            <w:top w:w="0" w:type="dxa"/>
            <w:bottom w:w="0" w:type="dxa"/>
          </w:tblCellMar>
        </w:tblPrEx>
        <w:tc>
          <w:tcPr>
            <w:tcW w:w="9360" w:type="dxa"/>
            <w:gridSpan w:val="5"/>
            <w:tcBorders>
              <w:top w:val="single" w:sz="1" w:space="0" w:color="BBBBBB"/>
              <w:left w:val="single" w:sz="1" w:space="0" w:color="BBBBBB"/>
              <w:bottom w:val="single" w:sz="1" w:space="0" w:color="BBBBBB"/>
              <w:right w:val="single" w:sz="1" w:space="0" w:color="BBBBBB"/>
            </w:tcBorders>
            <w:shd w:val="clear" w:color="auto" w:fill="F2F2F2"/>
            <w:tcMar>
              <w:top w:w="40" w:type="dxa"/>
              <w:left w:w="100" w:type="dxa"/>
              <w:bottom w:w="40" w:type="dxa"/>
              <w:right w:w="100" w:type="dxa"/>
            </w:tcMar>
            <w:vAlign w:val="center"/>
          </w:tcPr>
          <w:p w14:paraId="18B66A2E" w14:textId="77777777" w:rsidR="004B128D" w:rsidRDefault="00000000">
            <w:pPr>
              <w:spacing w:line="240" w:lineRule="auto"/>
            </w:pPr>
            <w:r>
              <w:rPr>
                <w:b/>
                <w:bCs/>
                <w:sz w:val="22"/>
                <w:szCs w:val="22"/>
              </w:rPr>
              <w:t>Title formula</w:t>
            </w:r>
          </w:p>
        </w:tc>
      </w:tr>
      <w:tr w:rsidR="004B128D" w14:paraId="70084BF0"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4098BEE" w14:textId="77777777" w:rsidR="004B128D" w:rsidRDefault="00000000">
            <w:pPr>
              <w:spacing w:line="240" w:lineRule="auto"/>
            </w:pPr>
            <w:r>
              <w:rPr>
                <w:sz w:val="22"/>
                <w:szCs w:val="22"/>
              </w:rPr>
              <w:t>$1 floor</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7D49EACC"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7C17CF0"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74E2BB28"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932E1AC" w14:textId="77777777" w:rsidR="004B128D" w:rsidRDefault="00000000">
            <w:pPr>
              <w:spacing w:line="240" w:lineRule="auto"/>
            </w:pPr>
            <w:r>
              <w:rPr>
                <w:sz w:val="22"/>
                <w:szCs w:val="22"/>
              </w:rPr>
              <w:t>Yes</w:t>
            </w:r>
          </w:p>
        </w:tc>
      </w:tr>
      <w:tr w:rsidR="004B128D" w14:paraId="0B0A2042"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95628D5" w14:textId="77777777" w:rsidR="004B128D" w:rsidRDefault="00000000">
            <w:pPr>
              <w:spacing w:line="240" w:lineRule="auto"/>
            </w:pPr>
            <w:r>
              <w:rPr>
                <w:sz w:val="22"/>
                <w:szCs w:val="22"/>
              </w:rPr>
              <w:t>High ceiling</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969238F" w14:textId="77777777" w:rsidR="004B128D" w:rsidRDefault="00000000">
            <w:pPr>
              <w:spacing w:line="240" w:lineRule="auto"/>
            </w:pPr>
            <w:r>
              <w:rPr>
                <w:sz w:val="22"/>
                <w:szCs w:val="22"/>
              </w:rPr>
              <w:t>$500,000</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185F6EB" w14:textId="77777777" w:rsidR="004B128D" w:rsidRDefault="00000000">
            <w:pPr>
              <w:spacing w:line="240" w:lineRule="auto"/>
            </w:pPr>
            <w:r>
              <w:rPr>
                <w:sz w:val="22"/>
                <w:szCs w:val="22"/>
              </w:rPr>
              <w:t>$100,000</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B5E8AA2" w14:textId="77777777" w:rsidR="004B128D" w:rsidRDefault="00000000">
            <w:pPr>
              <w:spacing w:line="240" w:lineRule="auto"/>
            </w:pPr>
            <w:r>
              <w:rPr>
                <w:sz w:val="22"/>
                <w:szCs w:val="22"/>
              </w:rPr>
              <w:t>$1,000,000</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4F94CF5" w14:textId="77777777" w:rsidR="004B128D" w:rsidRDefault="00000000">
            <w:pPr>
              <w:spacing w:line="240" w:lineRule="auto"/>
            </w:pPr>
            <w:r>
              <w:rPr>
                <w:sz w:val="22"/>
                <w:szCs w:val="22"/>
              </w:rPr>
              <w:t>$100,000</w:t>
            </w:r>
          </w:p>
        </w:tc>
      </w:tr>
      <w:tr w:rsidR="004B128D" w14:paraId="2ADDAF43"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E8441DF" w14:textId="77777777" w:rsidR="004B128D" w:rsidRDefault="00000000">
            <w:pPr>
              <w:spacing w:line="240" w:lineRule="auto"/>
            </w:pPr>
            <w:r>
              <w:rPr>
                <w:sz w:val="22"/>
                <w:szCs w:val="22"/>
              </w:rPr>
              <w:t>Object noun</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2DFBCD6" w14:textId="77777777" w:rsidR="004B128D" w:rsidRDefault="00000000">
            <w:pPr>
              <w:spacing w:line="240" w:lineRule="auto"/>
            </w:pPr>
            <w:r>
              <w:rPr>
                <w:sz w:val="22"/>
                <w:szCs w:val="22"/>
              </w:rPr>
              <w:t>Plane Ticket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C5C39C0" w14:textId="77777777" w:rsidR="004B128D" w:rsidRDefault="00000000">
            <w:pPr>
              <w:spacing w:line="240" w:lineRule="auto"/>
            </w:pPr>
            <w:r>
              <w:rPr>
                <w:sz w:val="22"/>
                <w:szCs w:val="22"/>
              </w:rPr>
              <w:t>Lego House</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9207D0D" w14:textId="77777777" w:rsidR="004B128D" w:rsidRDefault="00000000">
            <w:pPr>
              <w:spacing w:line="240" w:lineRule="auto"/>
            </w:pPr>
            <w:r>
              <w:rPr>
                <w:sz w:val="22"/>
                <w:szCs w:val="22"/>
              </w:rPr>
              <w:t>Movie Theater</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E6A30C4" w14:textId="77777777" w:rsidR="004B128D" w:rsidRDefault="00000000">
            <w:pPr>
              <w:spacing w:line="240" w:lineRule="auto"/>
            </w:pPr>
            <w:r>
              <w:rPr>
                <w:sz w:val="22"/>
                <w:szCs w:val="22"/>
              </w:rPr>
              <w:t>Theme Park</w:t>
            </w:r>
          </w:p>
        </w:tc>
      </w:tr>
      <w:tr w:rsidR="004B128D" w14:paraId="7342C723"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59971F0" w14:textId="77777777" w:rsidR="004B128D" w:rsidRDefault="00000000">
            <w:pPr>
              <w:spacing w:line="240" w:lineRule="auto"/>
            </w:pPr>
            <w:r>
              <w:rPr>
                <w:sz w:val="22"/>
                <w:szCs w:val="22"/>
              </w:rPr>
              <w:t>Single “!”</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AB4BA70"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26121A5"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354914F"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7E57396B" w14:textId="77777777" w:rsidR="004B128D" w:rsidRDefault="00000000">
            <w:pPr>
              <w:spacing w:line="240" w:lineRule="auto"/>
            </w:pPr>
            <w:r>
              <w:rPr>
                <w:sz w:val="22"/>
                <w:szCs w:val="22"/>
              </w:rPr>
              <w:t>Yes</w:t>
            </w:r>
          </w:p>
        </w:tc>
      </w:tr>
      <w:tr w:rsidR="004B128D" w14:paraId="3F15B229"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3DE80ED" w14:textId="77777777" w:rsidR="004B128D" w:rsidRDefault="00000000">
            <w:pPr>
              <w:spacing w:line="240" w:lineRule="auto"/>
            </w:pPr>
            <w:r>
              <w:rPr>
                <w:sz w:val="22"/>
                <w:szCs w:val="22"/>
              </w:rPr>
              <w:t>Numerals + $ (not spelled out)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A04DDA2"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7B79260"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87756C0"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547D07A" w14:textId="77777777" w:rsidR="004B128D" w:rsidRDefault="00000000">
            <w:pPr>
              <w:spacing w:line="240" w:lineRule="auto"/>
            </w:pPr>
            <w:r>
              <w:rPr>
                <w:sz w:val="22"/>
                <w:szCs w:val="22"/>
              </w:rPr>
              <w:t>Yes</w:t>
            </w:r>
          </w:p>
        </w:tc>
      </w:tr>
      <w:tr w:rsidR="004B128D" w14:paraId="30FFBE40"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E60A091" w14:textId="77777777" w:rsidR="004B128D" w:rsidRDefault="00000000">
            <w:pPr>
              <w:spacing w:line="240" w:lineRule="auto"/>
            </w:pPr>
            <w:r>
              <w:rPr>
                <w:sz w:val="22"/>
                <w:szCs w:val="22"/>
              </w:rPr>
              <w:t>Fits formula</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BFCB411"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894BE67"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D59412D"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42600F6" w14:textId="77777777" w:rsidR="004B128D" w:rsidRDefault="00000000">
            <w:pPr>
              <w:spacing w:line="240" w:lineRule="auto"/>
            </w:pPr>
            <w:r>
              <w:rPr>
                <w:sz w:val="22"/>
                <w:szCs w:val="22"/>
              </w:rPr>
              <w:t>Yes</w:t>
            </w:r>
          </w:p>
        </w:tc>
      </w:tr>
      <w:tr w:rsidR="004B128D" w14:paraId="50436835" w14:textId="77777777">
        <w:tblPrEx>
          <w:tblCellMar>
            <w:top w:w="0" w:type="dxa"/>
            <w:bottom w:w="0" w:type="dxa"/>
          </w:tblCellMar>
        </w:tblPrEx>
        <w:tc>
          <w:tcPr>
            <w:tcW w:w="9360" w:type="dxa"/>
            <w:gridSpan w:val="5"/>
            <w:tcBorders>
              <w:top w:val="single" w:sz="1" w:space="0" w:color="BBBBBB"/>
              <w:left w:val="single" w:sz="1" w:space="0" w:color="BBBBBB"/>
              <w:bottom w:val="single" w:sz="1" w:space="0" w:color="BBBBBB"/>
              <w:right w:val="single" w:sz="1" w:space="0" w:color="BBBBBB"/>
            </w:tcBorders>
            <w:shd w:val="clear" w:color="auto" w:fill="F2F2F2"/>
            <w:tcMar>
              <w:top w:w="40" w:type="dxa"/>
              <w:left w:w="100" w:type="dxa"/>
              <w:bottom w:w="40" w:type="dxa"/>
              <w:right w:w="100" w:type="dxa"/>
            </w:tcMar>
            <w:vAlign w:val="center"/>
          </w:tcPr>
          <w:p w14:paraId="5E3271C5" w14:textId="77777777" w:rsidR="004B128D" w:rsidRDefault="00000000">
            <w:pPr>
              <w:spacing w:line="240" w:lineRule="auto"/>
            </w:pPr>
            <w:r>
              <w:rPr>
                <w:b/>
                <w:bCs/>
                <w:sz w:val="22"/>
                <w:szCs w:val="22"/>
              </w:rPr>
              <w:t>Split-screen contrast</w:t>
            </w:r>
          </w:p>
        </w:tc>
      </w:tr>
      <w:tr w:rsidR="004B128D" w14:paraId="0FFB15C1"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501AAB2" w14:textId="77777777" w:rsidR="004B128D" w:rsidRDefault="00000000">
            <w:pPr>
              <w:spacing w:line="240" w:lineRule="auto"/>
            </w:pPr>
            <w:r>
              <w:rPr>
                <w:sz w:val="22"/>
                <w:szCs w:val="22"/>
              </w:rPr>
              <w:t>Cheap-vs-expensive split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BFE48A7" w14:textId="77777777" w:rsidR="004B128D" w:rsidRDefault="00000000">
            <w:pPr>
              <w:spacing w:line="240" w:lineRule="auto"/>
            </w:pPr>
            <w:r>
              <w:rPr>
                <w:sz w:val="22"/>
                <w:szCs w:val="22"/>
              </w:rPr>
              <w:t>Present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5360E48" w14:textId="77777777" w:rsidR="004B128D" w:rsidRDefault="00000000">
            <w:pPr>
              <w:spacing w:line="240" w:lineRule="auto"/>
            </w:pPr>
            <w:r>
              <w:rPr>
                <w:sz w:val="22"/>
                <w:szCs w:val="22"/>
              </w:rPr>
              <w:t>Absent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5CE8AF0" w14:textId="77777777" w:rsidR="004B128D" w:rsidRDefault="00000000">
            <w:pPr>
              <w:spacing w:line="240" w:lineRule="auto"/>
            </w:pPr>
            <w:r>
              <w:rPr>
                <w:sz w:val="22"/>
                <w:szCs w:val="22"/>
              </w:rPr>
              <w:t>Absent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FB50E86" w14:textId="77777777" w:rsidR="004B128D" w:rsidRDefault="00000000">
            <w:pPr>
              <w:spacing w:line="240" w:lineRule="auto"/>
            </w:pPr>
            <w:r>
              <w:rPr>
                <w:sz w:val="22"/>
                <w:szCs w:val="22"/>
              </w:rPr>
              <w:t>Present</w:t>
            </w:r>
          </w:p>
        </w:tc>
      </w:tr>
      <w:tr w:rsidR="004B128D" w14:paraId="3FC24D06" w14:textId="77777777">
        <w:tblPrEx>
          <w:tblCellMar>
            <w:top w:w="0" w:type="dxa"/>
            <w:bottom w:w="0" w:type="dxa"/>
          </w:tblCellMar>
        </w:tblPrEx>
        <w:tc>
          <w:tcPr>
            <w:tcW w:w="9360" w:type="dxa"/>
            <w:gridSpan w:val="5"/>
            <w:tcBorders>
              <w:top w:val="single" w:sz="1" w:space="0" w:color="BBBBBB"/>
              <w:left w:val="single" w:sz="1" w:space="0" w:color="BBBBBB"/>
              <w:bottom w:val="single" w:sz="1" w:space="0" w:color="BBBBBB"/>
              <w:right w:val="single" w:sz="1" w:space="0" w:color="BBBBBB"/>
            </w:tcBorders>
            <w:shd w:val="clear" w:color="auto" w:fill="F2F2F2"/>
            <w:tcMar>
              <w:top w:w="40" w:type="dxa"/>
              <w:left w:w="100" w:type="dxa"/>
              <w:bottom w:w="40" w:type="dxa"/>
              <w:right w:w="100" w:type="dxa"/>
            </w:tcMar>
            <w:vAlign w:val="center"/>
          </w:tcPr>
          <w:p w14:paraId="2E7E5652" w14:textId="77777777" w:rsidR="004B128D" w:rsidRDefault="00000000">
            <w:pPr>
              <w:spacing w:line="240" w:lineRule="auto"/>
            </w:pPr>
            <w:r>
              <w:rPr>
                <w:b/>
                <w:bCs/>
                <w:sz w:val="22"/>
                <w:szCs w:val="22"/>
              </w:rPr>
              <w:lastRenderedPageBreak/>
              <w:t>Youth-coded signals</w:t>
            </w:r>
          </w:p>
        </w:tc>
      </w:tr>
      <w:tr w:rsidR="004B128D" w14:paraId="10C26063"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C11B2BA" w14:textId="77777777" w:rsidR="004B128D" w:rsidRDefault="00000000">
            <w:pPr>
              <w:spacing w:line="240" w:lineRule="auto"/>
            </w:pPr>
            <w:r>
              <w:rPr>
                <w:sz w:val="22"/>
                <w:szCs w:val="22"/>
              </w:rPr>
              <w:t>Exaggerated/expressive face</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E025159"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9F7C3FB"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1266FBD"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A9993A8" w14:textId="77777777" w:rsidR="004B128D" w:rsidRDefault="00000000">
            <w:pPr>
              <w:spacing w:line="240" w:lineRule="auto"/>
            </w:pPr>
            <w:r>
              <w:rPr>
                <w:sz w:val="22"/>
                <w:szCs w:val="22"/>
              </w:rPr>
              <w:t>Yes</w:t>
            </w:r>
          </w:p>
        </w:tc>
      </w:tr>
      <w:tr w:rsidR="004B128D" w14:paraId="0658D760"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BF86CF7" w14:textId="77777777" w:rsidR="004B128D" w:rsidRDefault="00000000">
            <w:pPr>
              <w:spacing w:line="240" w:lineRule="auto"/>
            </w:pPr>
            <w:r>
              <w:rPr>
                <w:sz w:val="22"/>
                <w:szCs w:val="22"/>
              </w:rPr>
              <w:t>Bright/saturated color</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478FFA5"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0F43475"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738D4C56"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EB6654C" w14:textId="77777777" w:rsidR="004B128D" w:rsidRDefault="00000000">
            <w:pPr>
              <w:spacing w:line="240" w:lineRule="auto"/>
            </w:pPr>
            <w:r>
              <w:rPr>
                <w:sz w:val="22"/>
                <w:szCs w:val="22"/>
              </w:rPr>
              <w:t>Yes</w:t>
            </w:r>
          </w:p>
        </w:tc>
      </w:tr>
      <w:tr w:rsidR="004B128D" w14:paraId="7D07920D"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194B2B49" w14:textId="77777777" w:rsidR="004B128D" w:rsidRDefault="00000000">
            <w:pPr>
              <w:spacing w:line="240" w:lineRule="auto"/>
            </w:pPr>
            <w:r>
              <w:rPr>
                <w:sz w:val="22"/>
                <w:szCs w:val="22"/>
              </w:rPr>
              <w:t>Expensive-looking version</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73C845D7"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52C3D64"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D3C21EE"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6EEAA49" w14:textId="77777777" w:rsidR="004B128D" w:rsidRDefault="00000000">
            <w:pPr>
              <w:spacing w:line="240" w:lineRule="auto"/>
            </w:pPr>
            <w:r>
              <w:rPr>
                <w:sz w:val="22"/>
                <w:szCs w:val="22"/>
              </w:rPr>
              <w:t>Yes</w:t>
            </w:r>
          </w:p>
        </w:tc>
      </w:tr>
      <w:tr w:rsidR="004B128D" w14:paraId="56D137B5"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67AED44" w14:textId="77777777" w:rsidR="004B128D" w:rsidRDefault="00000000">
            <w:pPr>
              <w:spacing w:line="240" w:lineRule="auto"/>
            </w:pPr>
            <w:r>
              <w:rPr>
                <w:sz w:val="22"/>
                <w:szCs w:val="22"/>
              </w:rPr>
              <w:t>Relatable/aspirational object</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54ED1CF3"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77C688D"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AC3ADA1" w14:textId="77777777" w:rsidR="004B128D" w:rsidRDefault="00000000">
            <w:pPr>
              <w:spacing w:line="240" w:lineRule="auto"/>
            </w:pPr>
            <w:r>
              <w:rPr>
                <w:sz w:val="22"/>
                <w:szCs w:val="22"/>
              </w:rPr>
              <w:t>Yes</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6FE8F378" w14:textId="77777777" w:rsidR="004B128D" w:rsidRDefault="00000000">
            <w:pPr>
              <w:spacing w:line="240" w:lineRule="auto"/>
            </w:pPr>
            <w:r>
              <w:rPr>
                <w:sz w:val="22"/>
                <w:szCs w:val="22"/>
              </w:rPr>
              <w:t>Yes</w:t>
            </w:r>
          </w:p>
        </w:tc>
      </w:tr>
      <w:tr w:rsidR="004B128D" w14:paraId="10EB7A38"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3352F0FF" w14:textId="77777777" w:rsidR="004B128D" w:rsidRDefault="00000000">
            <w:pPr>
              <w:spacing w:line="240" w:lineRule="auto"/>
            </w:pPr>
            <w:r>
              <w:rPr>
                <w:sz w:val="22"/>
                <w:szCs w:val="22"/>
              </w:rPr>
              <w:t>Theme prop</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0FF4431A" w14:textId="77777777" w:rsidR="004B128D" w:rsidRDefault="00000000">
            <w:pPr>
              <w:spacing w:line="240" w:lineRule="auto"/>
            </w:pPr>
            <w:r>
              <w:rPr>
                <w:sz w:val="22"/>
                <w:szCs w:val="22"/>
              </w:rPr>
              <w:t>Yes (golden sundae)</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28BEF578" w14:textId="77777777" w:rsidR="004B128D" w:rsidRDefault="00000000">
            <w:pPr>
              <w:spacing w:line="240" w:lineRule="auto"/>
            </w:pPr>
            <w:r>
              <w:rPr>
                <w:sz w:val="22"/>
                <w:szCs w:val="22"/>
              </w:rPr>
              <w:t>No</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0DBB8D6" w14:textId="77777777" w:rsidR="004B128D" w:rsidRDefault="00000000">
            <w:pPr>
              <w:spacing w:line="240" w:lineRule="auto"/>
            </w:pPr>
            <w:r>
              <w:rPr>
                <w:sz w:val="22"/>
                <w:szCs w:val="22"/>
              </w:rPr>
              <w:t>Yes (popcorn)</w:t>
            </w:r>
          </w:p>
        </w:tc>
        <w:tc>
          <w:tcPr>
            <w:tcW w:w="165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vAlign w:val="center"/>
          </w:tcPr>
          <w:p w14:paraId="484EC514" w14:textId="77777777" w:rsidR="004B128D" w:rsidRDefault="00000000">
            <w:pPr>
              <w:spacing w:line="240" w:lineRule="auto"/>
            </w:pPr>
            <w:r>
              <w:rPr>
                <w:sz w:val="22"/>
                <w:szCs w:val="22"/>
              </w:rPr>
              <w:t>Yes (golden roller coaster)</w:t>
            </w:r>
          </w:p>
        </w:tc>
      </w:tr>
    </w:tbl>
    <w:p w14:paraId="34BC63AD" w14:textId="77777777" w:rsidR="004B128D" w:rsidRDefault="00000000">
      <w:pPr>
        <w:ind w:firstLine="720"/>
      </w:pPr>
      <w:r>
        <w:t>All four titles run the same formula. Each one opens with a $1 floor, jumps to a much larger dollar amount, names the object the video is about, and closes with a single exclamation point, and all four write the numbers as numerals with dollar signs instead of spelling them out. The only thing that changes from one title to the next is the size of the high number: Hutchins and Ben Azelart sit at $100,000, MrBeast at $500,000, and Unspeakable at $1,000,000. Every other part of the structure holds, which makes the title-formula codes a clean four-for-four (see Table 1).</w:t>
      </w:r>
    </w:p>
    <w:p w14:paraId="3A48B991" w14:textId="77777777" w:rsidR="004B128D" w:rsidRDefault="00000000">
      <w:pPr>
        <w:ind w:firstLine="720"/>
      </w:pPr>
      <w:r>
        <w:t>The split-screen contrast is the code that holds up the least. MrBeast’s and Ben Azelart’s thumbnails stage the cheap side against the expensive side, while Hutchins and Unspeakable each show a single expensive-looking version with no dull counterpart, which puts the split at two-for-four. Going in I figured a side-by-side price contrast would be the center of any “$1 vs $X” thumbnail, so it’s worth noting that it only turns up in half of them. It’s the lowest-frequency code in the set, present enough to count as part of the format, but the first thing creators drop.</w:t>
      </w:r>
    </w:p>
    <w:p w14:paraId="1303C1BA" w14:textId="77777777" w:rsidR="004B128D" w:rsidRDefault="00000000">
      <w:pPr>
        <w:ind w:firstLine="720"/>
      </w:pPr>
      <w:r>
        <w:t xml:space="preserve">The youth-coded signals mostly hold, with one exception. The exaggerated or expressive face, the bright saturated color, and the expensive-looking version of the product all show up in every thumbnail, and the relatable or aspirational object does too, four signals at four-for-four. The only one that does not appear across the board is the theme prop: MrBeast has the golden </w:t>
        <w:lastRenderedPageBreak/>
        <w:t>sundae, Unspeakable has the popcorn, and Ben Azelart has the golden roller coaster, but Hutchins has none, which leaves the prop at three-for-four.</w:t>
      </w:r>
    </w:p>
    <w:p w14:paraId="122BAC14" w14:textId="77777777" w:rsidR="004B128D" w:rsidRDefault="00000000">
      <w:pPr>
        <w:ind w:firstLine="720"/>
      </w:pPr>
      <w:r>
        <w:t>Lined up, the codes fall into three tiers. Five criteria appear in every thumbnail: the full title formula, the expressive face, the saturated color, the expensive-looking version, and the aspirational object, landing at four-for-four. The theme prop sits a step below at three-for-four. The split-screen contrast sits lowest at two-for-four. What the codes show, then, is a hard core of conventions that every example shares and a thin outer layer that some carry and some drop. What that split between core and optional means for the format is the work of the next section.</w:t>
      </w:r>
    </w:p>
    <w:p w14:paraId="307534E3" w14:textId="77777777" w:rsidR="004B128D" w:rsidRDefault="00000000">
      <w:pPr>
        <w:keepNext/>
      </w:pPr>
      <w:r>
        <w:rPr>
          <w:b/>
          <w:bCs/>
        </w:rPr>
        <w:t>Discussion</w:t>
      </w:r>
    </w:p>
    <w:p w14:paraId="1B7AB618" w14:textId="77777777" w:rsidR="004B128D" w:rsidRDefault="00000000">
      <w:pPr>
        <w:ind w:firstLine="720"/>
      </w:pPr>
      <w:r>
        <w:t>This study entered a conversation that runs through three bodies of work: research on clickbait, methods from visual rhetoric, and the genre-and-discourse-community frame that ties them together. The research question asked how the rhetorical and visual features of MrBeast-style “$1 vs $X” thumbnails and titles work to capture the attention of American teens between 2019 and 2025, and the claim was that they do it through three recurring conventions: a fixed price-contrast title formula, an exaggerated surprised face, and a bright, gold-saturated version of an expensive-looking product. The codes give a way to answer that question by reading those conventions as design moves rather than measuring what they do to a viewer.</w:t>
      </w:r>
    </w:p>
    <w:p w14:paraId="4DA87116" w14:textId="77777777" w:rsidR="004B128D" w:rsidRDefault="00000000">
      <w:pPr>
        <w:ind w:firstLine="720"/>
      </w:pPr>
      <w:r>
        <w:t xml:space="preserve">The title formula is the clearest case. All four creators lock into the identical structure down to the single exclamation point, with only the ceiling number changing. I should be straight about one thing here: two of them, Hutchins and Ben Azelart, both belong to the Amp World collective, so they aren’t fully independent of each other. But that doesn’t sink the point, if anything it sharpens it. MrBeast and Unspeakable have no connection to Amp World or to each other, and they still run the exact same formula, so the structure shows up both across creators </w:t>
        <w:lastRenderedPageBreak/>
        <w:t>with zero ties between them and inside a group that already shares a brand. That exact repeat is what Porter calls iterability, the way a recognizable form gets lifted out of one text and reused in the next until a community of writers and readers all read it the same way (Porter 35). A convention that travels both across total strangers and within a collective is exactly what a discourse-community convention looks like: it’s the thing that defines membership, not one channel’s house style. The price contrast does the structural work here: the $1 floor and the six- or seven-figure ceiling set up the gap before the viewer has even read the object, so the object ends up slotted into a frame that was already built to signal extremes.</w:t>
      </w:r>
    </w:p>
    <w:p w14:paraId="520745F0" w14:textId="77777777" w:rsidR="004B128D" w:rsidRDefault="00000000">
      <w:pPr>
        <w:ind w:firstLine="720"/>
      </w:pPr>
      <w:r>
        <w:t>The visual constants point the same direction. The expressive face, the saturated color, and the expensive-looking version of the product show up in every thumbnail, which marks them as the shared signals of the genre rather than any one creator’s style. Peterson’s typology gives a name to what the gold, expensive version is doing: it reads as a fusion, an everyday object (a movie theater, a Lego house, a plane) merged with the visual language of extreme wealth (Peterson). The thumbnail is not just showing the object; it is showing the object rewritten as a luxury version of itself. Set next to the loud face and the saturated color, that is a design choice aimed squarely at the teen audience the format is built for, trading on a mix of wealth fantasy and curiosity rather than on any information about the video.</w:t>
      </w:r>
    </w:p>
    <w:p w14:paraId="7C12E612" w14:textId="77777777" w:rsidR="004B128D" w:rsidRDefault="00000000">
      <w:pPr>
        <w:ind w:firstLine="720"/>
      </w:pPr>
      <w:r>
        <w:t xml:space="preserve">The variation is just as telling as the constants, but it isn’t all one thing. Instead of a flat core-versus-optional split, the codes lay out as a gradient. The five constants sit at the core, present every time. The theme prop sits just below at three-for-four, only one creator drops it, so it’s closer to core than to optional, more of a near-default than a real choice. The split-screen contrast sits lowest at two-for-four, and it’s the only code two creators drop, which is what makes it genuinely optional. So “the genre can drop it” lands differently for the two: skipping the </w:t>
        <w:lastRenderedPageBreak/>
        <w:t>prop stands out because almost everyone keeps it, while the split is loose enough that half the thumbnails skip it and still read as “$1 vs $X.” In Peterson’s terms the split, where it shows up, is a juxtaposition, the dull cheap side set against the gold side so the comparison reads at a glance (Peterson). The fusion, the gold expensive version, is the convention the genre can’t drop; the split is the bonus that sharpens it when a creator reaches for it. Read through Porter, the constants are the shared fragments that define membership in the discourse community, the prop is a near-convention most members keep, and the split is the room each creator has to move inside it.</w:t>
      </w:r>
    </w:p>
    <w:p w14:paraId="7C11313A" w14:textId="77777777" w:rsidR="004B128D" w:rsidRDefault="00000000">
      <w:pPr>
        <w:keepNext/>
      </w:pPr>
      <w:r>
        <w:rPr>
          <w:b/>
          <w:bCs/>
        </w:rPr>
        <w:t>Conclusion</w:t>
      </w:r>
    </w:p>
    <w:p w14:paraId="3A9A8577" w14:textId="77777777" w:rsidR="004B128D" w:rsidRDefault="00000000">
      <w:pPr>
        <w:ind w:firstLine="720"/>
      </w:pPr>
      <w:r>
        <w:t>What the coding shows is a format built in two layers: a core of conventions that every “$1 vs $X” thumbnail and title shares, and a thinner optional layer that individual creators add or drop. The price-contrast title formula and the loud, gold-soaked visual package make up the core, while the split-screen contrast and the theme prop ride along on top. That two-layer shape is the clearest answer this study can give to how the format is put together, not proof that it pulls any single viewer in, but a map of the design moves it makes every time.</w:t>
      </w:r>
    </w:p>
    <w:p w14:paraId="54FF08C3" w14:textId="77777777" w:rsidR="004B128D" w:rsidRDefault="00000000">
      <w:pPr>
        <w:ind w:firstLine="720"/>
      </w:pPr>
      <w:r>
        <w:t>The study is limited in ways worth naming. It rests on only four videos, which is enough to show conventions repeating but not enough to call anything settled. I was the only coder, so there is no second reader to check my calls against, the kind of independent verification Denny and Clark describe is missing here. The data is also only the public thumbnails and titles, so nothing in it speaks to how teens actually respond; it reads the artifact, not the audience. And it is a snapshot in time: creators swap thumbnails, and MrBeast’s own thumbnail for this video has already changed, so the corpus captures one moment rather than a fixed object.</w:t>
      </w:r>
    </w:p>
    <w:p w14:paraId="56FFF535" w14:textId="77777777" w:rsidR="004B128D" w:rsidRDefault="00000000">
      <w:pPr>
        <w:ind w:firstLine="720"/>
      </w:pPr>
      <w:r>
        <w:t xml:space="preserve">There is plenty of room to push this further. A larger corpus across more creators would test whether the core conventions really hold or whether four videos just happened to line up. </w:t>
        <w:lastRenderedPageBreak/>
        <w:t>The optional layer is its own question: does the split-screen contrast show up more in some price tiers or some kinds of objects than others? And the side this study deliberately left out, the audience side, is the obvious next step: whether teens read these conventions the way the design seems to assume is something only an audience study could answer. For now, what I can say is narrower but solid, the “$1 vs $X” thumbnail and title behave like a genre, with a shared set of conventions that show up across all four creators (including two, MrBeast and Unspeakable, with no ties between them) and a price gap that does more of the rhetorical work than the object it is attached to.</w:t>
      </w:r>
    </w:p>
    <w:p w14:paraId="346EE053" w14:textId="77777777" w:rsidR="004B128D" w:rsidRDefault="00000000">
      <w:pPr>
        <w:keepNext/>
        <w:pageBreakBefore/>
        <w:jc w:val="center"/>
      </w:pPr>
      <w:r>
        <w:lastRenderedPageBreak/>
        <w:t>Works Cited</w:t>
      </w:r>
    </w:p>
    <w:p w14:paraId="1CA0A37A" w14:textId="77777777" w:rsidR="004B128D" w:rsidRDefault="00000000">
      <w:pPr>
        <w:ind w:left="720" w:hanging="720"/>
      </w:pPr>
      <w:r>
        <w:t xml:space="preserve">Ben Azelart Top Vids. “$1 vs $100,000 Theme Park!” </w:t>
      </w:r>
      <w:r>
        <w:rPr>
          <w:i/>
          <w:iCs/>
        </w:rPr>
        <w:t>YouTube</w:t>
      </w:r>
      <w:r>
        <w:t>, 13 Feb. 2026, www.youtube.com/watch?v=hRlkliW1JEA.</w:t>
      </w:r>
    </w:p>
    <w:p w14:paraId="59AC3232" w14:textId="77777777" w:rsidR="004B128D" w:rsidRDefault="00000000">
      <w:pPr>
        <w:ind w:left="720" w:hanging="720"/>
      </w:pPr>
      <w:r>
        <w:t xml:space="preserve">Clary-Lemon, Jennifer, et al. </w:t>
      </w:r>
      <w:r>
        <w:rPr>
          <w:i/>
          <w:iCs/>
        </w:rPr>
        <w:t>Try This: Research Methods for Writers.</w:t>
      </w:r>
      <w:r>
        <w:t xml:space="preserve"> The WAC Clearinghouse, 2022.</w:t>
      </w:r>
    </w:p>
    <w:p w14:paraId="3E0E8ED1" w14:textId="77777777" w:rsidR="004B128D" w:rsidRDefault="00000000">
      <w:pPr>
        <w:ind w:left="720" w:hanging="720"/>
      </w:pPr>
      <w:r>
        <w:t xml:space="preserve">Denny, Melody, and Lindsay Clark. “How to Analyze Data in a Primary Research Study.” </w:t>
      </w:r>
      <w:r>
        <w:rPr>
          <w:i/>
          <w:iCs/>
        </w:rPr>
        <w:t>Writing Spaces: Readings on Writing</w:t>
      </w:r>
      <w:r>
        <w:t>, vol. 4, WAC Clearinghouse, 2021, pp. 85–109.</w:t>
      </w:r>
    </w:p>
    <w:p w14:paraId="4F89BBEB" w14:textId="77777777" w:rsidR="004B128D" w:rsidRDefault="00000000">
      <w:pPr>
        <w:ind w:left="720" w:hanging="720"/>
      </w:pPr>
      <w:r>
        <w:t xml:space="preserve">Hutchins, Jeremy. “$1 vs $100,000 Lego House Tour!” </w:t>
      </w:r>
      <w:r>
        <w:rPr>
          <w:i/>
          <w:iCs/>
        </w:rPr>
        <w:t>YouTube</w:t>
      </w:r>
      <w:r>
        <w:t>, 3 Oct. 2023, www.youtube.com/watch?v=lj778e_Bi1g.</w:t>
      </w:r>
    </w:p>
    <w:p w14:paraId="71FB17F6" w14:textId="77777777" w:rsidR="004B128D" w:rsidRDefault="00000000">
      <w:pPr>
        <w:ind w:left="720" w:hanging="720"/>
      </w:pPr>
      <w:r>
        <w:t xml:space="preserve">Jung, Anna-Katharina, et al. “Click Me…! The Influence of Clickbait on User Engagement in Social Media and the Role of Digital Nudging.” </w:t>
      </w:r>
      <w:r>
        <w:rPr>
          <w:i/>
          <w:iCs/>
        </w:rPr>
        <w:t>PLOS ONE</w:t>
      </w:r>
      <w:r>
        <w:t>, vol. 17, no. 6, 2022, e0266743.</w:t>
      </w:r>
    </w:p>
    <w:p w14:paraId="48D3204B" w14:textId="77777777" w:rsidR="004B128D" w:rsidRDefault="00000000">
      <w:pPr>
        <w:ind w:left="720" w:hanging="720"/>
      </w:pPr>
      <w:r>
        <w:t xml:space="preserve">Kjeldsen, Jens E. “Visual Rhetoric and the Power of Imagery: A Brief Lesson in the Rhetorical Power of Images and the Need for phronesis and krisis in the Teaching of Visual Rhetoric.” </w:t>
      </w:r>
      <w:r>
        <w:rPr>
          <w:i/>
          <w:iCs/>
        </w:rPr>
        <w:t>Video Journal of Education and Pedagogy</w:t>
      </w:r>
      <w:r>
        <w:t>, vol. 6, no. 1, 2021, pp. 1–11.</w:t>
      </w:r>
    </w:p>
    <w:p w14:paraId="668AB4AF" w14:textId="77777777" w:rsidR="004B128D" w:rsidRDefault="00000000">
      <w:pPr>
        <w:ind w:left="720" w:hanging="720"/>
      </w:pPr>
      <w:r>
        <w:t xml:space="preserve">MrBeast. “$1 vs $500,000 Plane Ticket!” </w:t>
      </w:r>
      <w:r>
        <w:rPr>
          <w:i/>
          <w:iCs/>
        </w:rPr>
        <w:t>YouTube</w:t>
      </w:r>
      <w:r>
        <w:t>, 1 Apr. 2023, www.youtube.com/watch?v=1WEAJ-DFkHE.</w:t>
      </w:r>
    </w:p>
    <w:p w14:paraId="72429CCD" w14:textId="77777777" w:rsidR="004B128D" w:rsidRDefault="00000000">
      <w:pPr>
        <w:ind w:left="720" w:hanging="720"/>
      </w:pPr>
      <w:r>
        <w:t xml:space="preserve">Peterson, Matthew O. “Aspects of Visual Metaphor: An Operational Typology of Visual Rhetoric for Research in Advertising.” </w:t>
      </w:r>
      <w:r>
        <w:rPr>
          <w:i/>
          <w:iCs/>
        </w:rPr>
        <w:t>International Journal of Advertising</w:t>
      </w:r>
      <w:r>
        <w:t>, vol. 38, no. 1, 2019, pp. 67–96.</w:t>
      </w:r>
    </w:p>
    <w:p w14:paraId="00864EA6" w14:textId="77777777" w:rsidR="004B128D" w:rsidRDefault="00000000">
      <w:pPr>
        <w:ind w:left="720" w:hanging="720"/>
      </w:pPr>
      <w:r>
        <w:t xml:space="preserve">Porter, James E. “Intertextuality and the Discourse Community.” </w:t>
      </w:r>
      <w:r>
        <w:rPr>
          <w:i/>
          <w:iCs/>
        </w:rPr>
        <w:t>Rhetoric Review</w:t>
      </w:r>
      <w:r>
        <w:t>, vol. 5, no. 1, 1986, pp. 34–47.</w:t>
      </w:r>
    </w:p>
    <w:p w14:paraId="3B83F89E" w14:textId="77777777" w:rsidR="004B128D" w:rsidRDefault="00000000">
      <w:pPr>
        <w:ind w:left="720" w:hanging="720"/>
      </w:pPr>
      <w:r>
        <w:lastRenderedPageBreak/>
        <w:t xml:space="preserve">Salojärvi, Virpi, et al. “Protecting the Future ‘Us’: A Rhetoric-Performative Multimodal Analysis of the Polarising Far-Right YouTube Campaign Videos in Finland.” </w:t>
      </w:r>
      <w:r>
        <w:rPr>
          <w:i/>
          <w:iCs/>
        </w:rPr>
        <w:t>Visual Studies</w:t>
      </w:r>
      <w:r>
        <w:t>, vol. 38, no. 5, 2023, pp. 851–866.</w:t>
      </w:r>
    </w:p>
    <w:p w14:paraId="50E595B9" w14:textId="77777777" w:rsidR="004B128D" w:rsidRDefault="00000000">
      <w:pPr>
        <w:ind w:left="720" w:hanging="720"/>
      </w:pPr>
      <w:r>
        <w:t xml:space="preserve">Shrestha, Ankit, et al. “‘It Is Luring You to Click on the Link with False Advertising’: Mental Models of Clickbait and Its Impact on User’s Perceptions and Behavior towards Clickbait Warnings.” </w:t>
      </w:r>
      <w:r>
        <w:rPr>
          <w:i/>
          <w:iCs/>
        </w:rPr>
        <w:t>International Journal of Human-Computer Interaction</w:t>
      </w:r>
      <w:r>
        <w:t>, vol. 41, no. 4, 2025, pp. 2352–2370.</w:t>
      </w:r>
    </w:p>
    <w:p w14:paraId="12ADB4B9" w14:textId="77777777" w:rsidR="004B128D" w:rsidRDefault="00000000">
      <w:pPr>
        <w:ind w:left="720" w:hanging="720"/>
      </w:pPr>
      <w:r>
        <w:t xml:space="preserve">Tseronis, Assimakis. “From Visual Rhetoric to Multimodal Argumentation: Exploring the Rhetorical and Argumentative Relevance of Multimodal Figures on the Covers of </w:t>
      </w:r>
      <w:r>
        <w:rPr>
          <w:i/>
          <w:iCs/>
        </w:rPr>
        <w:t>The Economist</w:t>
      </w:r>
      <w:r>
        <w:t xml:space="preserve">.” </w:t>
      </w:r>
      <w:r>
        <w:rPr>
          <w:i/>
          <w:iCs/>
        </w:rPr>
        <w:t>Visual Communication</w:t>
      </w:r>
      <w:r>
        <w:t>, vol. 20, no. 3, 2021, pp. 374–396.</w:t>
      </w:r>
    </w:p>
    <w:p w14:paraId="2CFAE0DE" w14:textId="77777777" w:rsidR="004B128D" w:rsidRDefault="00000000">
      <w:pPr>
        <w:ind w:left="720" w:hanging="720"/>
      </w:pPr>
      <w:r>
        <w:t xml:space="preserve">Unspeakable. “$1 vs $1,000,000 Movie Theater!” </w:t>
      </w:r>
      <w:r>
        <w:rPr>
          <w:i/>
          <w:iCs/>
        </w:rPr>
        <w:t>YouTube</w:t>
      </w:r>
      <w:r>
        <w:t>, 22 Mar. 2025, www.youtube.com/watch?v=NbJGkWNL9Ow.</w:t>
      </w:r>
    </w:p>
    <w:p w14:paraId="2F917F50" w14:textId="77777777" w:rsidR="004B128D" w:rsidRDefault="00000000">
      <w:pPr>
        <w:keepNext/>
        <w:pageBreakBefore/>
        <w:jc w:val="center"/>
      </w:pPr>
      <w:r>
        <w:rPr>
          <w:b/>
          <w:bCs/>
        </w:rPr>
        <w:lastRenderedPageBreak/>
        <w:t>Appendices</w:t>
      </w:r>
    </w:p>
    <w:p w14:paraId="7BCDF1A8" w14:textId="77777777" w:rsidR="004B128D" w:rsidRDefault="00000000">
      <w:pPr>
        <w:spacing w:after="80" w:line="240" w:lineRule="auto"/>
      </w:pPr>
      <w:r>
        <w:rPr>
          <w:b/>
          <w:bCs/>
        </w:rPr>
        <w:t>Appendix A. Coded Thumbnails</w:t>
      </w:r>
    </w:p>
    <w:p w14:paraId="26BCB2D1" w14:textId="77777777" w:rsidR="004B128D" w:rsidRDefault="00000000">
      <w:pPr>
        <w:spacing w:after="120" w:line="240" w:lineRule="auto"/>
      </w:pPr>
      <w:r>
        <w:t>Each thumbnail is reproduced as captured from its YouTube watch page and marked with colored boxes showing where each code appears, following the color key below. All present/absent calls match Table 1.</w:t>
      </w:r>
    </w:p>
    <w:p w14:paraId="3024CE46" w14:textId="77777777" w:rsidR="004B128D" w:rsidRDefault="00000000">
      <w:pPr>
        <w:spacing w:before="80" w:after="40" w:line="240" w:lineRule="auto"/>
      </w:pPr>
      <w:r>
        <w:rPr>
          <w:b/>
          <w:bCs/>
        </w:rPr>
        <w:t>Color key</w:t>
      </w:r>
    </w:p>
    <w:tbl>
      <w:tblPr>
        <w:tblW w:w="4800" w:type="dxa"/>
        <w:tblCellMar>
          <w:left w:w="10" w:type="dxa"/>
          <w:right w:w="10" w:type="dxa"/>
        </w:tblCellMar>
        <w:tblLook w:val="04A0" w:firstRow="1" w:lastRow="0" w:firstColumn="1" w:lastColumn="0" w:noHBand="0" w:noVBand="1"/>
      </w:tblPr>
      <w:tblGrid>
        <w:gridCol w:w="1500"/>
        <w:gridCol w:w="3300"/>
      </w:tblGrid>
      <w:tr w:rsidR="004B128D" w14:paraId="24A3342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D9D9D9"/>
            <w:tcMar>
              <w:top w:w="40" w:type="dxa"/>
              <w:left w:w="100" w:type="dxa"/>
              <w:bottom w:w="40" w:type="dxa"/>
              <w:right w:w="100" w:type="dxa"/>
            </w:tcMar>
            <w:vAlign w:val="center"/>
          </w:tcPr>
          <w:p w14:paraId="0F0A1ED0" w14:textId="77777777" w:rsidR="004B128D" w:rsidRDefault="00000000">
            <w:pPr>
              <w:spacing w:line="240" w:lineRule="auto"/>
            </w:pPr>
            <w:r>
              <w:rPr>
                <w:b/>
                <w:bCs/>
                <w:sz w:val="22"/>
                <w:szCs w:val="22"/>
              </w:rPr>
              <w:t>Color</w:t>
            </w:r>
          </w:p>
        </w:tc>
        <w:tc>
          <w:tcPr>
            <w:tcW w:w="3300" w:type="dxa"/>
            <w:tcBorders>
              <w:top w:val="single" w:sz="4" w:space="0" w:color="BBBBBB"/>
              <w:left w:val="single" w:sz="4" w:space="0" w:color="BBBBBB"/>
              <w:bottom w:val="single" w:sz="4" w:space="0" w:color="BBBBBB"/>
              <w:right w:val="single" w:sz="4" w:space="0" w:color="BBBBBB"/>
            </w:tcBorders>
            <w:shd w:val="clear" w:color="auto" w:fill="D9D9D9"/>
            <w:tcMar>
              <w:top w:w="40" w:type="dxa"/>
              <w:left w:w="100" w:type="dxa"/>
              <w:bottom w:w="40" w:type="dxa"/>
              <w:right w:w="100" w:type="dxa"/>
            </w:tcMar>
            <w:vAlign w:val="center"/>
          </w:tcPr>
          <w:p w14:paraId="124CBAB4" w14:textId="77777777" w:rsidR="004B128D" w:rsidRDefault="00000000">
            <w:pPr>
              <w:spacing w:line="240" w:lineRule="auto"/>
            </w:pPr>
            <w:r>
              <w:rPr>
                <w:b/>
                <w:bCs/>
                <w:sz w:val="22"/>
                <w:szCs w:val="22"/>
              </w:rPr>
              <w:t>Code marked</w:t>
            </w:r>
          </w:p>
        </w:tc>
      </w:tr>
      <w:tr w:rsidR="004B128D" w14:paraId="77D418F0"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00"/>
            <w:tcMar>
              <w:top w:w="40" w:type="dxa"/>
              <w:left w:w="100" w:type="dxa"/>
              <w:bottom w:w="40" w:type="dxa"/>
              <w:right w:w="100" w:type="dxa"/>
            </w:tcMar>
            <w:vAlign w:val="center"/>
          </w:tcPr>
          <w:p w14:paraId="24148ED1" w14:textId="77777777" w:rsidR="004B128D" w:rsidRDefault="00000000">
            <w:pPr>
              <w:spacing w:line="240" w:lineRule="auto"/>
            </w:pPr>
            <w:r>
              <w:rPr>
                <w:sz w:val="22"/>
                <w:szCs w:val="22"/>
              </w:rPr>
              <w:t>Yellow</w:t>
            </w:r>
          </w:p>
        </w:tc>
        <w:tc>
          <w:tcPr>
            <w:tcW w:w="33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vAlign w:val="center"/>
          </w:tcPr>
          <w:p w14:paraId="43B7A8D0" w14:textId="77777777" w:rsidR="004B128D" w:rsidRDefault="00000000">
            <w:pPr>
              <w:spacing w:line="240" w:lineRule="auto"/>
            </w:pPr>
            <w:r>
              <w:rPr>
                <w:sz w:val="22"/>
                <w:szCs w:val="22"/>
              </w:rPr>
              <w:t>Title formula</w:t>
            </w:r>
          </w:p>
        </w:tc>
      </w:tr>
      <w:tr w:rsidR="004B128D" w14:paraId="339735D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92D050"/>
            <w:tcMar>
              <w:top w:w="40" w:type="dxa"/>
              <w:left w:w="100" w:type="dxa"/>
              <w:bottom w:w="40" w:type="dxa"/>
              <w:right w:w="100" w:type="dxa"/>
            </w:tcMar>
            <w:vAlign w:val="center"/>
          </w:tcPr>
          <w:p w14:paraId="1ECDA62D" w14:textId="77777777" w:rsidR="004B128D" w:rsidRDefault="00000000">
            <w:pPr>
              <w:spacing w:line="240" w:lineRule="auto"/>
            </w:pPr>
            <w:r>
              <w:rPr>
                <w:sz w:val="22"/>
                <w:szCs w:val="22"/>
              </w:rPr>
              <w:t>Green</w:t>
            </w:r>
          </w:p>
        </w:tc>
        <w:tc>
          <w:tcPr>
            <w:tcW w:w="33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vAlign w:val="center"/>
          </w:tcPr>
          <w:p w14:paraId="526CD0E8" w14:textId="77777777" w:rsidR="004B128D" w:rsidRDefault="00000000">
            <w:pPr>
              <w:spacing w:line="240" w:lineRule="auto"/>
            </w:pPr>
            <w:r>
              <w:rPr>
                <w:sz w:val="22"/>
                <w:szCs w:val="22"/>
              </w:rPr>
              <w:t>Split-screen contrast</w:t>
            </w:r>
          </w:p>
        </w:tc>
      </w:tr>
      <w:tr w:rsidR="004B128D" w14:paraId="3F6A9F1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99CC"/>
            <w:tcMar>
              <w:top w:w="40" w:type="dxa"/>
              <w:left w:w="100" w:type="dxa"/>
              <w:bottom w:w="40" w:type="dxa"/>
              <w:right w:w="100" w:type="dxa"/>
            </w:tcMar>
            <w:vAlign w:val="center"/>
          </w:tcPr>
          <w:p w14:paraId="4AF93F9D" w14:textId="77777777" w:rsidR="004B128D" w:rsidRDefault="00000000">
            <w:pPr>
              <w:spacing w:line="240" w:lineRule="auto"/>
            </w:pPr>
            <w:r>
              <w:rPr>
                <w:sz w:val="22"/>
                <w:szCs w:val="22"/>
              </w:rPr>
              <w:t>Pink</w:t>
            </w:r>
          </w:p>
        </w:tc>
        <w:tc>
          <w:tcPr>
            <w:tcW w:w="33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vAlign w:val="center"/>
          </w:tcPr>
          <w:p w14:paraId="570A40F3" w14:textId="77777777" w:rsidR="004B128D" w:rsidRDefault="00000000">
            <w:pPr>
              <w:spacing w:line="240" w:lineRule="auto"/>
            </w:pPr>
            <w:r>
              <w:rPr>
                <w:sz w:val="22"/>
                <w:szCs w:val="22"/>
              </w:rPr>
              <w:t>Youth-coded signals</w:t>
            </w:r>
          </w:p>
        </w:tc>
      </w:tr>
    </w:tbl>
    <w:p w14:paraId="78661603" w14:textId="77777777" w:rsidR="004B128D" w:rsidRDefault="00000000">
      <w:pPr>
        <w:spacing w:before="240" w:after="60" w:line="240" w:lineRule="auto"/>
      </w:pPr>
      <w:r>
        <w:rPr>
          <w:b/>
          <w:bCs/>
        </w:rPr>
        <w:t xml:space="preserve">Figure A1. </w:t>
      </w:r>
      <w:r>
        <w:t>MrBeast, “$1 vs $500,000 Plane Ticket!”, coded thumbnail.</w:t>
      </w:r>
    </w:p>
    <w:p w14:paraId="7F675710" w14:textId="77777777" w:rsidR="004B128D" w:rsidRDefault="00000000">
      <w:pPr>
        <w:spacing w:before="40" w:after="40" w:line="240" w:lineRule="auto"/>
        <w:jc w:val="center"/>
      </w:pPr>
      <w:r>
        <w:rPr>
          <w:noProof/>
        </w:rPr>
        <w:drawing>
          <wp:inline distT="0" distB="0" distL="0" distR="0" wp14:anchorId="74387F4B" wp14:editId="36784686">
            <wp:extent cx="2926080" cy="2780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6-19_210936.png"/>
                    <pic:cNvPicPr/>
                  </pic:nvPicPr>
                  <pic:blipFill>
                    <a:blip r:embed="rId7"/>
                    <a:stretch>
                      <a:fillRect/>
                    </a:stretch>
                  </pic:blipFill>
                  <pic:spPr>
                    <a:xfrm>
                      <a:off x="0" y="0"/>
                      <a:ext cx="2926080" cy="2780504"/>
                    </a:xfrm>
                    <a:prstGeom prst="rect">
                      <a:avLst/>
                    </a:prstGeom>
                  </pic:spPr>
                </pic:pic>
              </a:graphicData>
            </a:graphic>
          </wp:inline>
        </w:drawing>
      </w:r>
    </w:p>
    <w:p w14:paraId="3A840942" w14:textId="77777777" w:rsidR="004B128D" w:rsidRDefault="00000000">
      <w:pPr>
        <w:spacing w:before="240" w:after="60" w:line="240" w:lineRule="auto"/>
      </w:pPr>
      <w:r>
        <w:rPr>
          <w:b/>
          <w:bCs/>
        </w:rPr>
        <w:t xml:space="preserve">Figure A2. </w:t>
      </w:r>
      <w:r>
        <w:t>Jeremy Hutchins, “$1 vs $100,000 Lego House Tour!”, coded thumbnail.</w:t>
      </w:r>
    </w:p>
    <w:p w14:paraId="7663F9F9" w14:textId="77777777" w:rsidR="004B128D" w:rsidRDefault="00000000">
      <w:pPr>
        <w:spacing w:before="40" w:after="40" w:line="240" w:lineRule="auto"/>
        <w:jc w:val="center"/>
      </w:pPr>
      <w:r>
        <w:rPr>
          <w:noProof/>
        </w:rPr>
        <w:drawing>
          <wp:inline distT="0" distB="0" distL="0" distR="0" wp14:anchorId="3F365A45" wp14:editId="2331EFDF">
            <wp:extent cx="5486400" cy="1258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6-19_211111.png"/>
                    <pic:cNvPicPr/>
                  </pic:nvPicPr>
                  <pic:blipFill>
                    <a:blip r:embed="rId8"/>
                    <a:stretch>
                      <a:fillRect/>
                    </a:stretch>
                  </pic:blipFill>
                  <pic:spPr>
                    <a:xfrm>
                      <a:off x="0" y="0"/>
                      <a:ext cx="5486400" cy="1258672"/>
                    </a:xfrm>
                    <a:prstGeom prst="rect">
                      <a:avLst/>
                    </a:prstGeom>
                  </pic:spPr>
                </pic:pic>
              </a:graphicData>
            </a:graphic>
          </wp:inline>
        </w:drawing>
      </w:r>
    </w:p>
    <w:p w14:paraId="7479ACDB" w14:textId="77777777" w:rsidR="004B128D" w:rsidRDefault="00000000">
      <w:pPr>
        <w:spacing w:before="240" w:after="60" w:line="240" w:lineRule="auto"/>
      </w:pPr>
      <w:r>
        <w:rPr>
          <w:b/>
          <w:bCs/>
        </w:rPr>
        <w:t xml:space="preserve">Figure A3. </w:t>
      </w:r>
      <w:r>
        <w:t>Unspeakable, “$1 vs $1,000,000 Movie Theater!”, coded thumbnail.</w:t>
      </w:r>
    </w:p>
    <w:p w14:paraId="7AE940DF" w14:textId="77777777" w:rsidR="004B128D" w:rsidRDefault="00000000">
      <w:pPr>
        <w:spacing w:before="40" w:after="40" w:line="240" w:lineRule="auto"/>
        <w:jc w:val="center"/>
      </w:pPr>
      <w:r>
        <w:rPr>
          <w:noProof/>
        </w:rPr>
        <w:lastRenderedPageBreak/>
        <w:drawing>
          <wp:inline distT="0" distB="0" distL="0" distR="0" wp14:anchorId="4DCBF994" wp14:editId="25328C1E">
            <wp:extent cx="5486400" cy="89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6-19_210850.png"/>
                    <pic:cNvPicPr/>
                  </pic:nvPicPr>
                  <pic:blipFill>
                    <a:blip r:embed="rId9"/>
                    <a:stretch>
                      <a:fillRect/>
                    </a:stretch>
                  </pic:blipFill>
                  <pic:spPr>
                    <a:xfrm>
                      <a:off x="0" y="0"/>
                      <a:ext cx="5486400" cy="898750"/>
                    </a:xfrm>
                    <a:prstGeom prst="rect">
                      <a:avLst/>
                    </a:prstGeom>
                  </pic:spPr>
                </pic:pic>
              </a:graphicData>
            </a:graphic>
          </wp:inline>
        </w:drawing>
      </w:r>
    </w:p>
    <w:p w14:paraId="616A99D4" w14:textId="77777777" w:rsidR="004B128D" w:rsidRDefault="00000000">
      <w:pPr>
        <w:spacing w:before="240" w:after="60" w:line="240" w:lineRule="auto"/>
      </w:pPr>
      <w:r>
        <w:rPr>
          <w:b/>
          <w:bCs/>
        </w:rPr>
        <w:t xml:space="preserve">Figure A4. </w:t>
      </w:r>
      <w:r>
        <w:t>Ben Azelart, “$1 vs $100,000 Theme Park!”, coded thumbnail.</w:t>
      </w:r>
    </w:p>
    <w:p w14:paraId="519C4CBB" w14:textId="6B6ABD85" w:rsidR="004B128D" w:rsidRDefault="00000000">
      <w:pPr>
        <w:spacing w:before="40" w:after="40" w:line="240" w:lineRule="auto"/>
        <w:jc w:val="center"/>
      </w:pPr>
      <w:r>
        <w:rPr>
          <w:noProof/>
        </w:rPr>
        <w:drawing>
          <wp:inline distT="0" distB="0" distL="0" distR="0" wp14:anchorId="1F361D36" wp14:editId="7A0B70F0">
            <wp:extent cx="3291840" cy="2324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6-19_210619.png"/>
                    <pic:cNvPicPr/>
                  </pic:nvPicPr>
                  <pic:blipFill>
                    <a:blip r:embed="rId10"/>
                    <a:stretch>
                      <a:fillRect/>
                    </a:stretch>
                  </pic:blipFill>
                  <pic:spPr>
                    <a:xfrm>
                      <a:off x="0" y="0"/>
                      <a:ext cx="3291840" cy="2324523"/>
                    </a:xfrm>
                    <a:prstGeom prst="rect">
                      <a:avLst/>
                    </a:prstGeom>
                  </pic:spPr>
                </pic:pic>
              </a:graphicData>
            </a:graphic>
          </wp:inline>
        </w:drawing>
      </w:r>
      <w:r>
        <w:t xml:space="preserve">    </w:t>
      </w:r>
    </w:p>
    <w:sectPr w:rsidR="004B128D">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0D83" w14:textId="77777777" w:rsidR="00020D6E" w:rsidRDefault="00020D6E">
      <w:pPr>
        <w:spacing w:line="240" w:lineRule="auto"/>
      </w:pPr>
      <w:r>
        <w:separator/>
      </w:r>
    </w:p>
  </w:endnote>
  <w:endnote w:type="continuationSeparator" w:id="0">
    <w:p w14:paraId="41CE603F" w14:textId="77777777" w:rsidR="00020D6E" w:rsidRDefault="00020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B8B75" w14:textId="77777777" w:rsidR="00020D6E" w:rsidRDefault="00020D6E">
      <w:pPr>
        <w:spacing w:line="240" w:lineRule="auto"/>
      </w:pPr>
      <w:r>
        <w:separator/>
      </w:r>
    </w:p>
  </w:footnote>
  <w:footnote w:type="continuationSeparator" w:id="0">
    <w:p w14:paraId="77B96492" w14:textId="77777777" w:rsidR="00020D6E" w:rsidRDefault="00020D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94C0" w14:textId="77777777" w:rsidR="004B128D" w:rsidRDefault="00000000">
    <w:pPr>
      <w:spacing w:line="240" w:lineRule="auto"/>
      <w:jc w:val="right"/>
    </w:pPr>
    <w:r>
      <w:t xml:space="preserve">Cerniglia </w:t>
    </w:r>
    <w:r>
      <w:fldChar w:fldCharType="begin"/>
    </w:r>
    <w:r>
      <w:instrText>PAGE</w:instrText>
    </w:r>
    <w:r>
      <w:fldChar w:fldCharType="separate"/>
    </w:r>
    <w:r w:rsidR="009C2AC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E122D"/>
    <w:multiLevelType w:val="hybridMultilevel"/>
    <w:tmpl w:val="DF124664"/>
    <w:lvl w:ilvl="0" w:tplc="E5C43AB0">
      <w:start w:val="1"/>
      <w:numFmt w:val="bullet"/>
      <w:lvlText w:val="•"/>
      <w:lvlJc w:val="left"/>
      <w:pPr>
        <w:spacing w:line="480" w:lineRule="auto"/>
        <w:ind w:left="1080" w:hanging="360"/>
      </w:pPr>
    </w:lvl>
    <w:lvl w:ilvl="1" w:tplc="BE008FE2">
      <w:numFmt w:val="decimal"/>
      <w:lvlText w:val=""/>
      <w:lvlJc w:val="left"/>
    </w:lvl>
    <w:lvl w:ilvl="2" w:tplc="507C290E">
      <w:numFmt w:val="decimal"/>
      <w:lvlText w:val=""/>
      <w:lvlJc w:val="left"/>
    </w:lvl>
    <w:lvl w:ilvl="3" w:tplc="6F94059E">
      <w:numFmt w:val="decimal"/>
      <w:lvlText w:val=""/>
      <w:lvlJc w:val="left"/>
    </w:lvl>
    <w:lvl w:ilvl="4" w:tplc="CD6C3620">
      <w:numFmt w:val="decimal"/>
      <w:lvlText w:val=""/>
      <w:lvlJc w:val="left"/>
    </w:lvl>
    <w:lvl w:ilvl="5" w:tplc="E996E7DE">
      <w:numFmt w:val="decimal"/>
      <w:lvlText w:val=""/>
      <w:lvlJc w:val="left"/>
    </w:lvl>
    <w:lvl w:ilvl="6" w:tplc="D0329D1E">
      <w:numFmt w:val="decimal"/>
      <w:lvlText w:val=""/>
      <w:lvlJc w:val="left"/>
    </w:lvl>
    <w:lvl w:ilvl="7" w:tplc="1862CA92">
      <w:numFmt w:val="decimal"/>
      <w:lvlText w:val=""/>
      <w:lvlJc w:val="left"/>
    </w:lvl>
    <w:lvl w:ilvl="8" w:tplc="C126596E">
      <w:numFmt w:val="decimal"/>
      <w:lvlText w:val=""/>
      <w:lvlJc w:val="left"/>
    </w:lvl>
  </w:abstractNum>
  <w:abstractNum w:abstractNumId="1" w15:restartNumberingAfterBreak="0">
    <w:nsid w:val="780C2AAC"/>
    <w:multiLevelType w:val="hybridMultilevel"/>
    <w:tmpl w:val="A62A1848"/>
    <w:lvl w:ilvl="0" w:tplc="C45475AE">
      <w:start w:val="1"/>
      <w:numFmt w:val="bullet"/>
      <w:lvlText w:val="●"/>
      <w:lvlJc w:val="left"/>
      <w:pPr>
        <w:ind w:left="720" w:hanging="360"/>
      </w:pPr>
    </w:lvl>
    <w:lvl w:ilvl="1" w:tplc="1C24071A">
      <w:start w:val="1"/>
      <w:numFmt w:val="bullet"/>
      <w:lvlText w:val="○"/>
      <w:lvlJc w:val="left"/>
      <w:pPr>
        <w:ind w:left="1440" w:hanging="360"/>
      </w:pPr>
    </w:lvl>
    <w:lvl w:ilvl="2" w:tplc="D49049D8">
      <w:start w:val="1"/>
      <w:numFmt w:val="bullet"/>
      <w:lvlText w:val="■"/>
      <w:lvlJc w:val="left"/>
      <w:pPr>
        <w:ind w:left="2160" w:hanging="360"/>
      </w:pPr>
    </w:lvl>
    <w:lvl w:ilvl="3" w:tplc="64464576">
      <w:start w:val="1"/>
      <w:numFmt w:val="bullet"/>
      <w:lvlText w:val="●"/>
      <w:lvlJc w:val="left"/>
      <w:pPr>
        <w:ind w:left="2880" w:hanging="360"/>
      </w:pPr>
    </w:lvl>
    <w:lvl w:ilvl="4" w:tplc="560C95BC">
      <w:start w:val="1"/>
      <w:numFmt w:val="bullet"/>
      <w:lvlText w:val="○"/>
      <w:lvlJc w:val="left"/>
      <w:pPr>
        <w:ind w:left="3600" w:hanging="360"/>
      </w:pPr>
    </w:lvl>
    <w:lvl w:ilvl="5" w:tplc="DBEEF660">
      <w:start w:val="1"/>
      <w:numFmt w:val="bullet"/>
      <w:lvlText w:val="■"/>
      <w:lvlJc w:val="left"/>
      <w:pPr>
        <w:ind w:left="4320" w:hanging="360"/>
      </w:pPr>
    </w:lvl>
    <w:lvl w:ilvl="6" w:tplc="4B7428C8">
      <w:start w:val="1"/>
      <w:numFmt w:val="bullet"/>
      <w:lvlText w:val="●"/>
      <w:lvlJc w:val="left"/>
      <w:pPr>
        <w:ind w:left="5040" w:hanging="360"/>
      </w:pPr>
    </w:lvl>
    <w:lvl w:ilvl="7" w:tplc="E42065E2">
      <w:start w:val="1"/>
      <w:numFmt w:val="bullet"/>
      <w:lvlText w:val="●"/>
      <w:lvlJc w:val="left"/>
      <w:pPr>
        <w:ind w:left="5760" w:hanging="360"/>
      </w:pPr>
    </w:lvl>
    <w:lvl w:ilvl="8" w:tplc="F64EC64E">
      <w:start w:val="1"/>
      <w:numFmt w:val="bullet"/>
      <w:lvlText w:val="●"/>
      <w:lvlJc w:val="left"/>
      <w:pPr>
        <w:ind w:left="6480" w:hanging="360"/>
      </w:pPr>
    </w:lvl>
  </w:abstractNum>
  <w:num w:numId="1" w16cid:durableId="270670262">
    <w:abstractNumId w:val="1"/>
    <w:lvlOverride w:ilvl="0">
      <w:startOverride w:val="1"/>
    </w:lvlOverride>
  </w:num>
  <w:num w:numId="2" w16cid:durableId="2087453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8D"/>
    <w:rsid w:val="00020D6E"/>
    <w:rsid w:val="004B128D"/>
    <w:rsid w:val="009C2AC8"/>
    <w:rsid w:val="00AE432A"/>
    <w:rsid w:val="00C31D04"/>
    <w:rsid w:val="00CD08A2"/>
    <w:rsid w:val="00EB1A8E"/>
    <w:rsid w:val="00F42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8D38"/>
  <w15:docId w15:val="{08DD1A78-666C-43EB-AC80-6181ABAE6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8</cp:revision>
  <dcterms:created xsi:type="dcterms:W3CDTF">2026-06-08T14:00:00Z</dcterms:created>
  <dcterms:modified xsi:type="dcterms:W3CDTF">2026-06-23T18:30:00Z</dcterms:modified>
</cp:coreProperties>
</file>