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t xml:space="preserve">Davis Cerniglia</w:t>
      </w:r>
    </w:p>
    <w:p>
      <w:pPr>
        <w:spacing w:after="0" w:line="480"/>
      </w:pPr>
      <w:r>
        <w:t xml:space="preserve">Amy Barnickel</w:t>
      </w:r>
    </w:p>
    <w:p>
      <w:pPr>
        <w:spacing w:after="0" w:line="480"/>
      </w:pPr>
      <w:r>
        <w:t xml:space="preserve">ENC 1102</w:t>
      </w:r>
    </w:p>
    <w:p>
      <w:pPr>
        <w:spacing w:after="0" w:line="480"/>
      </w:pPr>
      <w:r>
        <w:t xml:space="preserve">5 June 2026</w:t>
      </w:r>
    </w:p>
    <w:p>
      <w:pPr>
        <w:spacing w:after="0" w:line="480"/>
        <w:jc w:val="center"/>
      </w:pPr>
      <w:r>
        <w:rPr>
          <w:b/>
          <w:bCs/>
        </w:rPr>
        <w:t xml:space="preserve">Module 4: Making a Claim</w:t>
      </w:r>
    </w:p>
    <w:p>
      <w:pPr>
        <w:spacing w:after="40" w:before="160" w:line="480"/>
      </w:pPr>
      <w:r>
        <w:rPr>
          <w:b/>
          <w:bCs/>
        </w:rPr>
        <w:t xml:space="preserve">Claim</w:t>
      </w:r>
    </w:p>
    <w:p>
      <w:pPr>
        <w:spacing w:after="0" w:before="0" w:line="480"/>
      </w:pPr>
      <w:r>
        <w:t xml:space="preserve">The three creators I looked at, MrBeast, Jeremy Hutchins, and Unspeakable, have no connection to each other, yet they all use the exact same title formula and the same kind of over-the-top thumbnail. This entails a surprised, shocked face over an extremely expensive looking version of whatever the video is about, sometimes even with a split screen of an exaggerated cheap version next to the expensive one. This shows that the “$1 vs $X” style isn’t any one creator’s signature but rather a hardened genre convention shared across a discourse community, and the rhetorical work is done more by the size of the price gap than by the object being compared.</w:t>
      </w:r>
    </w:p>
    <w:p>
      <w:pPr>
        <w:spacing w:after="40" w:before="160" w:line="480"/>
      </w:pPr>
      <w:r>
        <w:rPr>
          <w:b/>
          <w:bCs/>
        </w:rPr>
        <w:t xml:space="preserve">Evidence</w:t>
      </w:r>
    </w:p>
    <w:p>
      <w:pPr>
        <w:spacing w:after="0" w:before="0" w:line="480"/>
      </w:pPr>
      <w:r>
        <w:t xml:space="preserve">When I coded the three titles, every field lined up: a $1 floor, a much higher dollar amount, an object or product, and a single exclamation point to finish the title off. All three follow this same exact formula and the only thing that changes is the product that they’re showing off. That being said, it shows that the gap in the prices for the object is what is doing the persuading, not the object itself.</w:t>
      </w:r>
    </w:p>
    <w:p>
      <w:pPr>
        <w:spacing w:after="0" w:before="120" w:line="480"/>
      </w:pPr>
      <w:r>
        <w:t xml:space="preserve">The coded breakdown of the three titles documents that shared formula directly:</w:t>
      </w:r>
    </w:p>
    <w:p>
      <w:pPr>
        <w:spacing w:after="60" w:before="80" w:line="480"/>
      </w:pPr>
      <w:r>
        <w:rPr>
          <w:b/>
          <w:bCs/>
        </w:rPr>
        <w:t xml:space="preserve">Table 1. Title-Formula Fields Across the Three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0"/>
        <w:gridCol w:w="2140"/>
        <w:gridCol w:w="2140"/>
        <w:gridCol w:w="2140"/>
      </w:tblGrid>
      <w:tr>
        <w:tc>
          <w:tcPr>
            <w:tcW w:type="dxa" w:w="294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Field</w:t>
            </w:r>
          </w:p>
        </w:tc>
        <w:tc>
          <w:tcPr>
            <w:tcW w:type="dxa" w:w="214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MrBeast</w:t>
            </w:r>
          </w:p>
        </w:tc>
        <w:tc>
          <w:tcPr>
            <w:tcW w:type="dxa" w:w="214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Hutchins</w:t>
            </w:r>
          </w:p>
        </w:tc>
        <w:tc>
          <w:tcPr>
            <w:tcW w:type="dxa" w:w="214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Unspeakable</w:t>
            </w:r>
          </w:p>
        </w:tc>
      </w:tr>
      <w:tr>
        <w:tc>
          <w:tcPr>
            <w:tcW w:type="dxa" w:w="29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$1 floor</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r>
      <w:tr>
        <w:tc>
          <w:tcPr>
            <w:tcW w:type="dxa" w:w="29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High amount</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$500,000</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$100,000</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$1,000,000</w:t>
            </w:r>
          </w:p>
        </w:tc>
      </w:tr>
      <w:tr>
        <w:tc>
          <w:tcPr>
            <w:tcW w:type="dxa" w:w="29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Object</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Plane Ticket</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Lego House</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Movie Theater</w:t>
            </w:r>
          </w:p>
        </w:tc>
      </w:tr>
      <w:tr>
        <w:tc>
          <w:tcPr>
            <w:tcW w:type="dxa" w:w="29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Single “!”</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r>
      <w:tr>
        <w:tc>
          <w:tcPr>
            <w:tcW w:type="dxa" w:w="29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Numerals + $</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r>
    </w:tbl>
    <w:p>
      <w:pPr>
        <w:spacing w:after="0" w:before="0" w:line="480"/>
      </w:pPr>
      <w:r>
        <w:t xml:space="preserve"/>
      </w:r>
    </w:p>
    <w:p>
      <w:pPr>
        <w:spacing w:after="0" w:before="0" w:line="480"/>
      </w:pPr>
      <w:r>
        <w:t xml:space="preserve">The thumbnails themselves show the same shared style: in all three, a shocked or surprised face sits over a bright, expensive-looking version of the product, and two of the three stage the cheap-versus-expensive split.</w:t>
      </w:r>
    </w:p>
    <w:p>
      <w:pPr>
        <w:spacing w:after="40" w:before="140" w:line="480"/>
      </w:pPr>
      <w:r>
        <w:rPr>
          <w:b/>
          <w:bCs/>
        </w:rPr>
        <w:t xml:space="preserve">Figure 1. MrBeast, “$1 vs $500,000 Plane Ticket!”</w:t>
      </w:r>
    </w:p>
    <w:p>
      <w:pPr>
        <w:spacing w:after="120"/>
        <w:jc w:val="center"/>
      </w:pPr>
      <w:r>
        <w:drawing>
          <wp:inline distT="0" distB="0" distL="0" distR="0">
            <wp:extent cx="31432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990850"/>
                    </a:xfrm>
                    <a:prstGeom prst="rect">
                      <a:avLst/>
                    </a:prstGeom>
                  </pic:spPr>
                </pic:pic>
              </a:graphicData>
            </a:graphic>
          </wp:inline>
        </w:drawing>
      </w:r>
    </w:p>
    <w:p>
      <w:pPr>
        <w:spacing w:after="40" w:before="140" w:line="480"/>
      </w:pPr>
      <w:r>
        <w:rPr>
          <w:b/>
          <w:bCs/>
        </w:rPr>
        <w:t xml:space="preserve">Figure 2. Jeremy Hutchins, “$1 vs $100,000 Lego House Tour!”</w:t>
      </w:r>
    </w:p>
    <w:p>
      <w:pPr>
        <w:spacing w:after="120"/>
        <w:jc w:val="center"/>
      </w:pPr>
      <w:r>
        <w:drawing>
          <wp:inline distT="0" distB="0" distL="0" distR="0">
            <wp:extent cx="5715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314450"/>
                    </a:xfrm>
                    <a:prstGeom prst="rect">
                      <a:avLst/>
                    </a:prstGeom>
                  </pic:spPr>
                </pic:pic>
              </a:graphicData>
            </a:graphic>
          </wp:inline>
        </w:drawing>
      </w:r>
    </w:p>
    <w:p>
      <w:pPr>
        <w:spacing w:after="40" w:before="140" w:line="480"/>
      </w:pPr>
      <w:r>
        <w:rPr>
          <w:b/>
          <w:bCs/>
        </w:rPr>
        <w:t xml:space="preserve">Figure 3. Unspeakable, “$1 vs $1,000,000 Movie Theater!”</w:t>
      </w:r>
    </w:p>
    <w:p>
      <w:pPr>
        <w:spacing w:after="120"/>
        <w:jc w:val="center"/>
      </w:pPr>
      <w:r>
        <w:drawing>
          <wp:inline distT="0" distB="0" distL="0" distR="0">
            <wp:extent cx="57150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933450"/>
                    </a:xfrm>
                    <a:prstGeom prst="rect">
                      <a:avLst/>
                    </a:prstGeom>
                  </pic:spPr>
                </pic:pic>
              </a:graphicData>
            </a:graphic>
          </wp:inline>
        </w:drawing>
      </w:r>
    </w:p>
    <w:p>
      <w:pPr>
        <w:spacing w:after="0" w:before="120" w:line="480"/>
      </w:pPr>
      <w:r>
        <w:t xml:space="preserve">This lines up with James Porter’s “Intertextuality and the Discourse Community.” Porter explains that a discourse community shares assumptions about “what formal conventions are followed” (39). Three unrelated creators independently landing on the identical formula is exactly that: a shared convention the creators and their viewers all recognize, rather than an individual style.</w:t>
      </w:r>
    </w:p>
    <w:p>
      <w:pPr>
        <w:spacing w:after="40" w:before="160" w:line="480"/>
      </w:pPr>
      <w:r>
        <w:rPr>
          <w:b/>
          <w:bCs/>
        </w:rPr>
        <w:t xml:space="preserve">Works Cited</w:t>
      </w:r>
    </w:p>
    <w:p>
      <w:pPr>
        <w:spacing w:after="0" w:line="480"/>
        <w:ind w:left="720" w:hanging="720"/>
      </w:pPr>
      <w:r>
        <w:t xml:space="preserve">Hutchins, Jeremy. “$1 vs $100,000 Lego House Tour!” </w:t>
      </w:r>
      <w:r>
        <w:rPr>
          <w:i/>
          <w:iCs/>
        </w:rPr>
        <w:t xml:space="preserve">YouTube</w:t>
      </w:r>
      <w:r>
        <w:t xml:space="preserve">, 3 Oct. 2023, www.youtube.com/watch?v=lj778e_Bi1g.</w:t>
      </w:r>
    </w:p>
    <w:p>
      <w:pPr>
        <w:spacing w:after="0" w:line="480"/>
        <w:ind w:left="720" w:hanging="720"/>
      </w:pPr>
      <w:r>
        <w:t xml:space="preserve">MrBeast. “$1 vs $500,000 Plane Ticket!” </w:t>
      </w:r>
      <w:r>
        <w:rPr>
          <w:i/>
          <w:iCs/>
        </w:rPr>
        <w:t xml:space="preserve">YouTube</w:t>
      </w:r>
      <w:r>
        <w:t xml:space="preserve">, 1 Apr. 2023, www.youtube.com/watch?v=1WEAJ-DFkHE.</w:t>
      </w:r>
    </w:p>
    <w:p>
      <w:pPr>
        <w:spacing w:after="0" w:line="480"/>
        <w:ind w:left="720" w:hanging="720"/>
      </w:pPr>
      <w:r>
        <w:t xml:space="preserve">Porter, James E. “Intertextuality and the Discourse Community.” </w:t>
      </w:r>
      <w:r>
        <w:rPr>
          <w:i/>
          <w:iCs/>
        </w:rPr>
        <w:t xml:space="preserve">Rhetoric Review</w:t>
      </w:r>
      <w:r>
        <w:t xml:space="preserve">, vol. 5, no. 1, 1986, pp. 34–47.</w:t>
      </w:r>
    </w:p>
    <w:p>
      <w:pPr>
        <w:spacing w:after="0" w:line="480"/>
        <w:ind w:left="720" w:hanging="720"/>
      </w:pPr>
      <w:r>
        <w:t xml:space="preserve">Unspeakable. “$1 vs $1,000,000 Movie Theater!” </w:t>
      </w:r>
      <w:r>
        <w:rPr>
          <w:i/>
          <w:iCs/>
        </w:rPr>
        <w:t xml:space="preserve">YouTube</w:t>
      </w:r>
      <w:r>
        <w:t xml:space="preserve">, 22 Mar. 2025, www.youtube.com/watch?v=NbJGkWNL9Ow.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5bb834d110a6e481b3800d07d0a83b35cc54de.png"/><Relationship Id="rId8" Type="http://schemas.openxmlformats.org/officeDocument/2006/relationships/image" Target="media/0f09353c5fedfa85b1f8f8f9cbf513c6ffafeae0.png"/><Relationship Id="rId9" Type="http://schemas.openxmlformats.org/officeDocument/2006/relationships/image" Target="media/e3c856a3b6ec09efc22ddbf07db6ba59aa8b95e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Cerniglia</dc:creator>
  <cp:lastModifiedBy>Davis Cerniglia</cp:lastModifiedBy>
  <cp:revision>5</cp:revision>
  <dcterms:created xsi:type="dcterms:W3CDTF">2026-06-04T18:00:00Z</dcterms:created>
  <dcterms:modified xsi:type="dcterms:W3CDTF">2026-06-13T16:20:00Z</dcterms:modified>
</cp:coreProperties>
</file>

<file path=docProps/custom.xml><?xml version="1.0" encoding="utf-8"?>
<Properties xmlns="http://schemas.openxmlformats.org/officeDocument/2006/custom-properties" xmlns:vt="http://schemas.openxmlformats.org/officeDocument/2006/docPropsVTypes"/>
</file>