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t xml:space="preserve">Davis Cerniglia</w:t>
      </w:r>
    </w:p>
    <w:p>
      <w:pPr>
        <w:spacing w:after="0" w:line="480"/>
      </w:pPr>
      <w:r>
        <w:t xml:space="preserve">Amy Barnickel</w:t>
      </w:r>
    </w:p>
    <w:p>
      <w:pPr>
        <w:spacing w:after="0" w:line="480"/>
      </w:pPr>
      <w:r>
        <w:t xml:space="preserve">ENC 1102</w:t>
      </w:r>
    </w:p>
    <w:p>
      <w:pPr>
        <w:spacing w:after="0" w:line="480"/>
      </w:pPr>
      <w:r>
        <w:t xml:space="preserve">2 June 2026</w:t>
      </w:r>
    </w:p>
    <w:p>
      <w:pPr>
        <w:spacing w:after="0" w:line="480"/>
        <w:jc w:val="center"/>
      </w:pPr>
      <w:r>
        <w:rPr>
          <w:b/>
          <w:bCs/>
        </w:rPr>
        <w:t xml:space="preserve">Primary Data Coding</w:t>
      </w:r>
    </w:p>
    <w:p>
      <w:pPr>
        <w:spacing w:after="40" w:before="160" w:line="480"/>
      </w:pPr>
      <w:r>
        <w:rPr>
          <w:b/>
          <w:bCs/>
        </w:rPr>
        <w:t xml:space="preserve">Research Question</w:t>
      </w:r>
    </w:p>
    <w:p>
      <w:pPr>
        <w:spacing w:after="0" w:before="0" w:line="480"/>
      </w:pPr>
      <w:r>
        <w:t xml:space="preserve">How do the rhetorical and visual features of MrBeast-style “$1 vs $X” YouTube thumbnails and titles work to capture the attention of American teens between 2019 and 2025?</w:t>
      </w:r>
    </w:p>
    <w:p>
      <w:pPr>
        <w:spacing w:after="40" w:before="160" w:line="480"/>
      </w:pPr>
      <w:r>
        <w:rPr>
          <w:b/>
          <w:bCs/>
        </w:rPr>
        <w:t xml:space="preserve">Scholarly Conversation</w:t>
      </w:r>
    </w:p>
    <w:p>
      <w:pPr>
        <w:spacing w:after="0" w:before="0" w:line="480"/>
      </w:pPr>
      <w:r>
        <w:t xml:space="preserve">This project enters the conversation about genre conventions, drawing on James Porter’s idea of the discourse community: that texts share recognizable conventions which a community of writers and readers all understand the same way. I am studying how the repeated textual and visual conventions of MrBeast-style “$1 vs $X” videos work rhetorically and how they appeal to American teen viewers.</w:t>
      </w:r>
    </w:p>
    <w:p>
      <w:pPr>
        <w:spacing w:after="0" w:before="120" w:line="480"/>
      </w:pPr>
      <w:r>
        <w:t xml:space="preserve">To code each thumbnail and title consistently rather than describing it freely, I followed the consistent-criteria coding approach described by Denny and Clark, applying the same defined codes to every case (Denny and Clark).</w:t>
      </w:r>
    </w:p>
    <w:p>
      <w:pPr>
        <w:spacing w:after="40" w:before="160" w:line="480"/>
      </w:pPr>
      <w:r>
        <w:rPr>
          <w:b/>
          <w:bCs/>
        </w:rPr>
        <w:t xml:space="preserve">Data Points</w:t>
      </w:r>
    </w:p>
    <w:p>
      <w:pPr>
        <w:spacing w:after="0" w:line="480"/>
      </w:pPr>
      <w:r>
        <w:rPr>
          <w:b/>
          <w:bCs/>
        </w:rPr>
        <w:t xml:space="preserve">Data Point 1, Title formula: </w:t>
      </w:r>
      <w:r>
        <w:t xml:space="preserve">the “$1 vs $(high amount), (object)!” structure.</w:t>
      </w:r>
    </w:p>
    <w:p>
      <w:pPr>
        <w:spacing w:after="0" w:line="480"/>
      </w:pPr>
      <w:r>
        <w:rPr>
          <w:b/>
          <w:bCs/>
        </w:rPr>
        <w:t xml:space="preserve">Data Point 2, Split-screen contrast layout: </w:t>
      </w:r>
      <w:r>
        <w:t xml:space="preserve">the visual device that stages a cheap, dull side against an expensive, desirable side.</w:t>
      </w:r>
    </w:p>
    <w:p>
      <w:pPr>
        <w:spacing w:after="0" w:line="480"/>
      </w:pPr>
      <w:r>
        <w:rPr>
          <w:b/>
          <w:bCs/>
        </w:rPr>
        <w:t xml:space="preserve">Data Point 3, Youth-coded signals: </w:t>
      </w:r>
      <w:r>
        <w:t xml:space="preserve">relatable or aspirational objects, exaggerated facial expressions, and bright, saturated colors aimed at a teen audience.</w:t>
      </w:r>
    </w:p>
    <w:p>
      <w:pPr>
        <w:spacing w:after="0" w:before="120" w:line="480"/>
      </w:pPr>
      <w:r>
        <w:t xml:space="preserve">To test which conventions are shared and which are optional, I expanded the corpus from three videos to four, adding Ben Azelart’s “$1 vs $100,000 Theme Park!”, and coded all four against every criterion. The coded thumbnails appear in Appendix A.</w:t>
      </w:r>
    </w:p>
    <w:p>
      <w:pPr>
        <w:spacing w:after="40" w:before="160" w:line="480"/>
      </w:pPr>
      <w:r>
        <w:rPr>
          <w:b/>
          <w:bCs/>
        </w:rPr>
        <w:t xml:space="preserve">Data Point 1 Analysis: Title Formula</w:t>
      </w:r>
    </w:p>
    <w:p>
      <w:pPr>
        <w:spacing w:after="60" w:line="480"/>
      </w:pPr>
      <w:r>
        <w:rPr>
          <w:b/>
          <w:bCs/>
        </w:rPr>
        <w:t xml:space="preserve">Table 1. Coding of the Title Formula Across Four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c>
          <w:tcPr>
            <w:tcW w:type="dxa" w:w="252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Element</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MrBeast ($500K Plane Ticket)</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Hutchins ($100K Lego House)</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Unspeakable ($1M Movie Theater)</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Ben Azelart ($100K Theme Park)</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 floor</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High ceiling</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$500,000</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$100,000</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$1,000,000</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$100,000</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Object noun</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Plane Ticket</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Lego House</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Movie Theater</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Theme Park</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Single “!”</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Numerals + $</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Fits formula</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bl>
    <w:p>
      <w:pPr>
        <w:spacing w:after="0" w:before="0" w:line="480"/>
      </w:pPr>
      <w:r>
        <w:t xml:space="preserve"/>
      </w:r>
    </w:p>
    <w:p>
      <w:pPr>
        <w:spacing w:after="0" w:before="0" w:line="480"/>
      </w:pPr>
      <w:r>
        <w:t xml:space="preserve">All four titles run the same formula. Each one opens with a $1 floor, jumps to a much larger dollar amount, names the object the video is about, and closes with a single exclamation point, and all four write the numbers as numerals with dollar signs instead of spelling them out. The only thing that changes from one title to the next is the size of the high number: Hutchins and Ben Azelart sit at $100,000, MrBeast at $500,000, and Unspeakable at $1,000,000. Every other part of the structure holds, which makes the title-formula codes a clean four-for-four. The fact that four creators independently lock into the identical structure shows this is not one channel’s habit; it is a convention of the genre. Porter calls this kind of reuse “iterability,” the repeatability of textual fragments reused across a discourse community (Porter 35).</w:t>
      </w:r>
    </w:p>
    <w:p>
      <w:pPr>
        <w:spacing w:after="40" w:before="160" w:line="480"/>
      </w:pPr>
      <w:r>
        <w:rPr>
          <w:b/>
          <w:bCs/>
        </w:rPr>
        <w:t xml:space="preserve">Data Point 2 Analysis: Split-Screen Contrast</w:t>
      </w:r>
    </w:p>
    <w:p>
      <w:pPr>
        <w:spacing w:after="60" w:line="480"/>
      </w:pPr>
      <w:r>
        <w:rPr>
          <w:b/>
          <w:bCs/>
        </w:rPr>
        <w:t xml:space="preserve">Table 2. Coding of the Split-Screen Contrast Across Four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c>
          <w:tcPr>
            <w:tcW w:type="dxa" w:w="252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Element</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MrBeast ($500K Plane Ticket)</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Hutchins ($100K Lego House)</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Unspeakable ($1M Movie Theater)</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Ben Azelart ($100K Theme Park)</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Cheap-vs-expensive split</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Present</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Absent</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Absent</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Present</w:t>
            </w:r>
          </w:p>
        </w:tc>
      </w:tr>
    </w:tbl>
    <w:p>
      <w:pPr>
        <w:spacing w:after="0" w:before="0" w:line="480"/>
      </w:pPr>
      <w:r>
        <w:t xml:space="preserve"/>
      </w:r>
    </w:p>
    <w:p>
      <w:pPr>
        <w:spacing w:after="0" w:before="0" w:line="480"/>
      </w:pPr>
      <w:r>
        <w:t xml:space="preserve">The split-screen contrast is the code that holds up the least. MrBeast’s and Ben Azelart’s thumbnails stage the cheap side against the expensive side, while Hutchins and Unspeakable each show a single expensive-looking version with no dull counterpart, which puts the split at two-for-four. Going in I figured a side-by-side price contrast would be the center of any “$1 vs $X” thumbnail, so it is worth noting that it only turns up in half of them. It is the lowest-frequency code in the set: present enough to count as part of the format, but the first thing creators drop. Where it does appear, the cheap side set against the gold side works as a juxtaposition in Peterson’s terms, two versions of the same thing placed side by side so the comparison reads at a glance (Peterson).</w:t>
      </w:r>
    </w:p>
    <w:p>
      <w:pPr>
        <w:spacing w:after="40" w:before="160" w:line="480"/>
      </w:pPr>
      <w:r>
        <w:rPr>
          <w:b/>
          <w:bCs/>
        </w:rPr>
        <w:t xml:space="preserve">Data Point 3 Analysis: Youth-Coded Signals</w:t>
      </w:r>
    </w:p>
    <w:p>
      <w:pPr>
        <w:spacing w:after="60" w:line="480"/>
      </w:pPr>
      <w:r>
        <w:rPr>
          <w:b/>
          <w:bCs/>
        </w:rPr>
        <w:t xml:space="preserve">Table 3. Coding of the Youth-Coded Signals Across Four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710"/>
        <w:gridCol w:w="1710"/>
        <w:gridCol w:w="1710"/>
        <w:gridCol w:w="1710"/>
      </w:tblGrid>
      <w:tr>
        <w:tc>
          <w:tcPr>
            <w:tcW w:type="dxa" w:w="252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Signal</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MrBeast ($500K Plane Ticket)</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Hutchins ($100K Lego House)</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Unspeakable ($1M Movie Theater)</w:t>
            </w:r>
          </w:p>
        </w:tc>
        <w:tc>
          <w:tcPr>
            <w:tcW w:type="dxa" w:w="171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Ben Azelart ($100K Theme Park)</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Exaggerated/expressive face</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Bright/saturated color</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Expensive-looking version</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Relatable/aspirational object</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r>
        <w:tc>
          <w:tcPr>
            <w:tcW w:type="dxa" w:w="252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Theme prop</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Golden sundae</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None</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Popcorn</w:t>
            </w:r>
          </w:p>
        </w:tc>
        <w:tc>
          <w:tcPr>
            <w:tcW w:type="dxa" w:w="171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Golden roller coaster</w:t>
            </w:r>
          </w:p>
        </w:tc>
      </w:tr>
    </w:tbl>
    <w:p>
      <w:pPr>
        <w:spacing w:after="0" w:before="0" w:line="480"/>
      </w:pPr>
      <w:r>
        <w:t xml:space="preserve"/>
      </w:r>
    </w:p>
    <w:p>
      <w:pPr>
        <w:spacing w:after="0" w:before="0" w:line="480"/>
      </w:pPr>
      <w:r>
        <w:t xml:space="preserve">The youth-coded signals mostly hold, with one exception. The exaggerated or expressive face, the bright saturated color, and the expensive-looking version of the product all show up in every thumbnail, and the relatable or aspirational object does too, four signals at four-for-four. The only one that does not appear across the board is the theme prop: MrBeast has the golden sundae, Unspeakable has the popcorn, and Ben Azelart has the golden roller coaster, but Hutchins has none, which leaves the prop at three-for-four. The constants mark the genre’s shared visual signals, while the prop is a near-default that one creator drops.</w:t>
      </w:r>
    </w:p>
    <w:p>
      <w:pPr>
        <w:spacing w:after="120" w:before="200"/>
      </w:pPr>
      <w:r>
        <w:rPr>
          <w:b/>
          <w:bCs/>
          <w:sz w:val="28"/>
          <w:szCs w:val="28"/>
        </w:rPr>
        <w:t xml:space="preserve">Appendix A. Coded Thumbnails</w:t>
      </w:r>
    </w:p>
    <w:p>
      <w:pPr>
        <w:spacing w:after="0" w:before="0" w:line="480"/>
      </w:pPr>
      <w:r>
        <w:t xml:space="preserve">Each thumbnail is reproduced as captured from its YouTube watch page and marked with colored boxes showing where each code appears (yellow = title formula, green = split-screen contrast, pink = youth-coded signals). All present/absent calls match Tables 1–3.</w:t>
      </w:r>
    </w:p>
    <w:p>
      <w:pPr>
        <w:spacing w:after="40" w:before="160" w:line="480"/>
      </w:pPr>
      <w:r>
        <w:rPr>
          <w:b/>
          <w:bCs/>
        </w:rPr>
        <w:t xml:space="preserve">Figure A1. MrBeast, “$1 vs $500,000 Plane Ticket!”, coded thumbnail.</w:t>
      </w:r>
    </w:p>
    <w:p>
      <w:pPr>
        <w:spacing w:after="120"/>
        <w:jc w:val="center"/>
      </w:pPr>
      <w:r>
        <w:drawing>
          <wp:inline distT="0" distB="0" distL="0" distR="0">
            <wp:extent cx="31432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990850"/>
                    </a:xfrm>
                    <a:prstGeom prst="rect">
                      <a:avLst/>
                    </a:prstGeom>
                  </pic:spPr>
                </pic:pic>
              </a:graphicData>
            </a:graphic>
          </wp:inline>
        </w:drawing>
      </w:r>
    </w:p>
    <w:p>
      <w:pPr>
        <w:spacing w:after="40" w:before="160" w:line="480"/>
      </w:pPr>
      <w:r>
        <w:rPr>
          <w:b/>
          <w:bCs/>
        </w:rPr>
        <w:t xml:space="preserve">Figure A2. Jeremy Hutchins, “$1 vs $100,000 Lego House Tour!”, coded thumbnail.</w:t>
      </w:r>
    </w:p>
    <w:p>
      <w:pPr>
        <w:spacing w:after="120"/>
        <w:jc w:val="center"/>
      </w:pPr>
      <w:r>
        <w:drawing>
          <wp:inline distT="0" distB="0" distL="0" distR="0">
            <wp:extent cx="5715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314450"/>
                    </a:xfrm>
                    <a:prstGeom prst="rect">
                      <a:avLst/>
                    </a:prstGeom>
                  </pic:spPr>
                </pic:pic>
              </a:graphicData>
            </a:graphic>
          </wp:inline>
        </w:drawing>
      </w:r>
    </w:p>
    <w:p>
      <w:pPr>
        <w:spacing w:after="40" w:before="160" w:line="480"/>
      </w:pPr>
      <w:r>
        <w:rPr>
          <w:b/>
          <w:bCs/>
        </w:rPr>
        <w:t xml:space="preserve">Figure A3. Unspeakable, “$1 vs $1,000,000 Movie Theater!”, coded thumbnail.</w:t>
      </w:r>
    </w:p>
    <w:p>
      <w:pPr>
        <w:spacing w:after="120"/>
        <w:jc w:val="center"/>
      </w:pPr>
      <w:r>
        <w:drawing>
          <wp:inline distT="0" distB="0" distL="0" distR="0">
            <wp:extent cx="5715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933450"/>
                    </a:xfrm>
                    <a:prstGeom prst="rect">
                      <a:avLst/>
                    </a:prstGeom>
                  </pic:spPr>
                </pic:pic>
              </a:graphicData>
            </a:graphic>
          </wp:inline>
        </w:drawing>
      </w:r>
    </w:p>
    <w:p>
      <w:pPr>
        <w:spacing w:after="40" w:before="160" w:line="480"/>
      </w:pPr>
      <w:r>
        <w:rPr>
          <w:b/>
          <w:bCs/>
        </w:rPr>
        <w:t xml:space="preserve">Figure A4. Ben Azelart, “$1 vs $100,000 Theme Park!”, coded thumbnail.</w:t>
      </w:r>
    </w:p>
    <w:p>
      <w:pPr>
        <w:spacing w:after="120"/>
        <w:jc w:val="center"/>
      </w:pPr>
      <w:r>
        <w:drawing>
          <wp:inline distT="0" distB="0" distL="0" distR="0">
            <wp:extent cx="40957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895600"/>
                    </a:xfrm>
                    <a:prstGeom prst="rect">
                      <a:avLst/>
                    </a:prstGeom>
                  </pic:spPr>
                </pic:pic>
              </a:graphicData>
            </a:graphic>
          </wp:inline>
        </w:drawing>
      </w:r>
    </w:p>
    <w:p>
      <w:pPr>
        <w:spacing w:after="120" w:before="200"/>
      </w:pPr>
      <w:r>
        <w:rPr>
          <w:b/>
          <w:bCs/>
          <w:sz w:val="28"/>
          <w:szCs w:val="28"/>
        </w:rPr>
        <w:t xml:space="preserve">Works Cited</w:t>
      </w:r>
    </w:p>
    <w:p>
      <w:pPr>
        <w:spacing w:after="0" w:line="480"/>
        <w:ind w:left="720" w:hanging="720"/>
      </w:pPr>
      <w:r>
        <w:t xml:space="preserve">Ben Azelart Top Vids. “$1 vs $100,000 Theme Park!” </w:t>
      </w:r>
      <w:r>
        <w:rPr>
          <w:i/>
          <w:iCs/>
        </w:rPr>
        <w:t xml:space="preserve">YouTube</w:t>
      </w:r>
      <w:r>
        <w:t xml:space="preserve">, 13 Feb. 2026, www.youtube.com/watch?v=hRlkliW1JEA.</w:t>
      </w:r>
    </w:p>
    <w:p>
      <w:pPr>
        <w:spacing w:after="0" w:line="480"/>
        <w:ind w:left="720" w:hanging="720"/>
      </w:pPr>
      <w:r>
        <w:t xml:space="preserve">Denny, Melody, and Lindsay Clark. “How to Analyze Data in a Primary Research Study.” </w:t>
      </w:r>
      <w:r>
        <w:rPr>
          <w:i/>
          <w:iCs/>
        </w:rPr>
        <w:t xml:space="preserve">Writing Spaces: Readings on Writing</w:t>
      </w:r>
      <w:r>
        <w:t xml:space="preserve">, vol. 4, WAC Clearinghouse, 2021, pp. 85–109.</w:t>
      </w:r>
    </w:p>
    <w:p>
      <w:pPr>
        <w:spacing w:after="0" w:line="480"/>
        <w:ind w:left="720" w:hanging="720"/>
      </w:pPr>
      <w:r>
        <w:t xml:space="preserve">Hutchins, Jeremy. “$1 vs $100,000 Lego House Tour!” </w:t>
      </w:r>
      <w:r>
        <w:rPr>
          <w:i/>
          <w:iCs/>
        </w:rPr>
        <w:t xml:space="preserve">YouTube</w:t>
      </w:r>
      <w:r>
        <w:t xml:space="preserve">, 3 Oct. 2023, www.youtube.com/watch?v=lj778e_Bi1g.</w:t>
      </w:r>
    </w:p>
    <w:p>
      <w:pPr>
        <w:spacing w:after="0" w:line="480"/>
        <w:ind w:left="720" w:hanging="720"/>
      </w:pPr>
      <w:r>
        <w:t xml:space="preserve">MrBeast. “$1 vs $500,000 Plane Ticket!” </w:t>
      </w:r>
      <w:r>
        <w:rPr>
          <w:i/>
          <w:iCs/>
        </w:rPr>
        <w:t xml:space="preserve">YouTube</w:t>
      </w:r>
      <w:r>
        <w:t xml:space="preserve">, 1 Apr. 2023, www.youtube.com/watch?v=1WEAJ-DFkHE.</w:t>
      </w:r>
    </w:p>
    <w:p>
      <w:pPr>
        <w:spacing w:after="0" w:line="480"/>
        <w:ind w:left="720" w:hanging="720"/>
      </w:pPr>
      <w:r>
        <w:t xml:space="preserve">Peterson, Matthew O. “Aspects of Visual Metaphor: An Operational Typology of Visual Rhetoric for Research in Advertising.” </w:t>
      </w:r>
      <w:r>
        <w:rPr>
          <w:i/>
          <w:iCs/>
        </w:rPr>
        <w:t xml:space="preserve">International Journal of Advertising</w:t>
      </w:r>
      <w:r>
        <w:t xml:space="preserve">, vol. 38, no. 1, 2019, pp. 67–96.</w:t>
      </w:r>
    </w:p>
    <w:p>
      <w:pPr>
        <w:spacing w:after="0" w:line="480"/>
        <w:ind w:left="720" w:hanging="720"/>
      </w:pPr>
      <w:r>
        <w:t xml:space="preserve">Porter, James E. “Intertextuality and the Discourse Community.” </w:t>
      </w:r>
      <w:r>
        <w:rPr>
          <w:i/>
          <w:iCs/>
        </w:rPr>
        <w:t xml:space="preserve">Rhetoric Review</w:t>
      </w:r>
      <w:r>
        <w:t xml:space="preserve">, vol. 5, no. 1, 1986, pp. 34–47.</w:t>
      </w:r>
    </w:p>
    <w:p>
      <w:pPr>
        <w:spacing w:after="0" w:line="480"/>
        <w:ind w:left="720" w:hanging="720"/>
      </w:pPr>
      <w:r>
        <w:t xml:space="preserve">Unspeakable. “$1 vs $1,000,000 Movie Theater!” </w:t>
      </w:r>
      <w:r>
        <w:rPr>
          <w:i/>
          <w:iCs/>
        </w:rPr>
        <w:t xml:space="preserve">YouTube</w:t>
      </w:r>
      <w:r>
        <w:t xml:space="preserve">, 22 Mar. 2025, www.youtube.com/watch?v=NbJGkWNL9Ow.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5bb834d110a6e481b3800d07d0a83b35cc54de.png"/><Relationship Id="rId8" Type="http://schemas.openxmlformats.org/officeDocument/2006/relationships/image" Target="media/0f09353c5fedfa85b1f8f8f9cbf513c6ffafeae0.png"/><Relationship Id="rId9" Type="http://schemas.openxmlformats.org/officeDocument/2006/relationships/image" Target="media/e3c856a3b6ec09efc22ddbf07db6ba59aa8b95e7.png"/><Relationship Id="rId10" Type="http://schemas.openxmlformats.org/officeDocument/2006/relationships/image" Target="media/1f014bc7bc28895e29c0b83c1514bf218e89a48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7</cp:revision>
  <dcterms:created xsi:type="dcterms:W3CDTF">2026-05-31T15:00:00Z</dcterms:created>
  <dcterms:modified xsi:type="dcterms:W3CDTF">2026-06-12T17:45:00Z</dcterms:modified>
</cp:coreProperties>
</file>

<file path=docProps/custom.xml><?xml version="1.0" encoding="utf-8"?>
<Properties xmlns="http://schemas.openxmlformats.org/officeDocument/2006/custom-properties" xmlns:vt="http://schemas.openxmlformats.org/officeDocument/2006/docPropsVTypes"/>
</file>