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359" w:rsidRDefault="000249F9" w:rsidP="000249F9">
      <w:pPr>
        <w:pStyle w:val="NoSpacing"/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A Simple Incremental Risk Charge Example</w:t>
      </w:r>
    </w:p>
    <w:p w:rsidR="000249F9" w:rsidRDefault="000249F9" w:rsidP="000249F9">
      <w:pPr>
        <w:pStyle w:val="NoSpacing"/>
        <w:jc w:val="center"/>
        <w:rPr>
          <w:rFonts w:ascii="Georgia" w:hAnsi="Georgia"/>
          <w:b/>
          <w:sz w:val="28"/>
          <w:szCs w:val="28"/>
        </w:rPr>
      </w:pPr>
    </w:p>
    <w:p w:rsidR="000249F9" w:rsidRDefault="000249F9" w:rsidP="008D3D72">
      <w:pPr>
        <w:pStyle w:val="NoSpacing"/>
        <w:jc w:val="both"/>
        <w:rPr>
          <w:rFonts w:ascii="Georgia" w:eastAsiaTheme="minorEastAs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Recall </w:t>
      </w:r>
      <w:r w:rsidR="008D3D72">
        <w:rPr>
          <w:rFonts w:ascii="Georgia" w:hAnsi="Georgia"/>
          <w:sz w:val="24"/>
          <w:szCs w:val="24"/>
        </w:rPr>
        <w:t xml:space="preserve">from Lecture 1 </w:t>
      </w:r>
      <w:r>
        <w:rPr>
          <w:rFonts w:ascii="Georgia" w:hAnsi="Georgia"/>
          <w:sz w:val="24"/>
          <w:szCs w:val="24"/>
        </w:rPr>
        <w:t xml:space="preserve">that IRC measures a type of </w:t>
      </w:r>
      <w:proofErr w:type="spellStart"/>
      <w:r>
        <w:rPr>
          <w:rFonts w:ascii="Georgia" w:hAnsi="Georgia"/>
          <w:sz w:val="24"/>
          <w:szCs w:val="24"/>
        </w:rPr>
        <w:t>VaR</w:t>
      </w:r>
      <w:proofErr w:type="spellEnd"/>
      <w:r>
        <w:rPr>
          <w:rFonts w:ascii="Georgia" w:hAnsi="Georgia"/>
          <w:sz w:val="24"/>
          <w:szCs w:val="24"/>
        </w:rPr>
        <w:t xml:space="preserve"> arising from migrations and defaults in credit-sensitive portfolios over a long time horizon, such as a year.  </w:t>
      </w:r>
      <w:r w:rsidR="008D3D72">
        <w:rPr>
          <w:rFonts w:ascii="Georgia" w:hAnsi="Georgia"/>
          <w:sz w:val="24"/>
          <w:szCs w:val="24"/>
        </w:rPr>
        <w:t xml:space="preserve">IRC forms a critical part, and sometimes quite large part, of a bank’s regulatory capital.  </w:t>
      </w:r>
      <w:r>
        <w:rPr>
          <w:rFonts w:ascii="Georgia" w:hAnsi="Georgia"/>
          <w:sz w:val="24"/>
          <w:szCs w:val="24"/>
        </w:rPr>
        <w:t xml:space="preserve">Usually </w:t>
      </w:r>
      <m:oMath>
        <m:r>
          <w:rPr>
            <w:rFonts w:ascii="Cambria Math" w:hAnsi="Cambria Math"/>
            <w:sz w:val="24"/>
            <w:szCs w:val="24"/>
          </w:rPr>
          <m:t>p=0.999</m:t>
        </m:r>
      </m:oMath>
      <w:r>
        <w:rPr>
          <w:rFonts w:ascii="Georgia" w:eastAsiaTheme="minorEastAsia" w:hAnsi="Georgia"/>
          <w:sz w:val="24"/>
          <w:szCs w:val="24"/>
        </w:rPr>
        <w:t xml:space="preserve"> rather than </w:t>
      </w:r>
      <m:oMath>
        <m:r>
          <w:rPr>
            <w:rFonts w:ascii="Cambria Math" w:eastAsiaTheme="minorEastAsia" w:hAnsi="Cambria Math"/>
            <w:sz w:val="24"/>
            <w:szCs w:val="24"/>
          </w:rPr>
          <m:t>p=0.99.</m:t>
        </m:r>
      </m:oMath>
      <w:r>
        <w:rPr>
          <w:rFonts w:ascii="Georgia" w:eastAsiaTheme="minorEastAs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  </w:t>
      </w:r>
      <w:proofErr w:type="gramStart"/>
      <w:r>
        <w:rPr>
          <w:rFonts w:ascii="Georgia" w:hAnsi="Georgia"/>
          <w:sz w:val="24"/>
          <w:szCs w:val="24"/>
        </w:rPr>
        <w:t>So</w:t>
      </w:r>
      <w:proofErr w:type="gramEnd"/>
      <w:r>
        <w:rPr>
          <w:rFonts w:ascii="Georgia" w:hAnsi="Georgia"/>
          <w:sz w:val="24"/>
          <w:szCs w:val="24"/>
        </w:rPr>
        <w:t xml:space="preserve"> we assume we have a portfolio of N T-year (assume T is an integral number of years) bonds, each paying the same coupon </w:t>
      </w:r>
      <m:oMath>
        <m:r>
          <w:rPr>
            <w:rFonts w:ascii="Cambria Math" w:hAnsi="Cambria Math"/>
            <w:sz w:val="24"/>
            <w:szCs w:val="24"/>
          </w:rPr>
          <m:t xml:space="preserve">c, </m:t>
        </m:r>
      </m:oMath>
      <w:r>
        <w:rPr>
          <w:rFonts w:ascii="Georgia" w:eastAsiaTheme="minorEastAsia" w:hAnsi="Georgia"/>
          <w:sz w:val="24"/>
          <w:szCs w:val="24"/>
        </w:rPr>
        <w:t xml:space="preserve">but discounted at different yields </w:t>
      </w:r>
    </w:p>
    <w:p w:rsidR="000249F9" w:rsidRPr="00904B65" w:rsidRDefault="000249F9" w:rsidP="000249F9">
      <w:pPr>
        <w:pStyle w:val="NoSpacing"/>
        <w:rPr>
          <w:rFonts w:ascii="Georgia" w:eastAsiaTheme="minorEastAsia" w:hAnsi="Georgia"/>
          <w:sz w:val="32"/>
          <w:szCs w:val="32"/>
        </w:rPr>
      </w:pPr>
    </w:p>
    <w:p w:rsidR="000249F9" w:rsidRPr="00904B65" w:rsidRDefault="00412390" w:rsidP="000249F9">
      <w:pPr>
        <w:pStyle w:val="NoSpacing"/>
        <w:jc w:val="center"/>
        <w:rPr>
          <w:rFonts w:ascii="Georgia" w:eastAsiaTheme="minorEastAsia" w:hAnsi="Georg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=r+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, i=1,…,N.</m:t>
          </m:r>
        </m:oMath>
      </m:oMathPara>
    </w:p>
    <w:p w:rsidR="000249F9" w:rsidRDefault="000249F9" w:rsidP="000249F9">
      <w:pPr>
        <w:pStyle w:val="NoSpacing"/>
        <w:jc w:val="center"/>
        <w:rPr>
          <w:rFonts w:ascii="Georgia" w:eastAsiaTheme="minorEastAsia" w:hAnsi="Georgia"/>
          <w:sz w:val="24"/>
          <w:szCs w:val="24"/>
        </w:rPr>
      </w:pPr>
    </w:p>
    <w:p w:rsidR="000249F9" w:rsidRDefault="000249F9" w:rsidP="00FB749F">
      <w:pPr>
        <w:pStyle w:val="NoSpacing"/>
        <w:jc w:val="both"/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In this notation, </w:t>
      </w:r>
      <m:oMath>
        <m:r>
          <w:rPr>
            <w:rFonts w:ascii="Cambria Math" w:eastAsiaTheme="minorEastAsia" w:hAnsi="Cambria Math"/>
            <w:sz w:val="24"/>
            <w:szCs w:val="24"/>
          </w:rPr>
          <m:t>r</m:t>
        </m:r>
      </m:oMath>
      <w:r>
        <w:rPr>
          <w:rFonts w:ascii="Georgia" w:eastAsiaTheme="minorEastAsia" w:hAnsi="Georgia"/>
          <w:sz w:val="24"/>
          <w:szCs w:val="24"/>
        </w:rPr>
        <w:t xml:space="preserve"> is the risk-free rate,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8D3D72">
        <w:rPr>
          <w:rFonts w:ascii="Georgia" w:eastAsiaTheme="minorEastAsia" w:hAnsi="Georgia"/>
          <w:sz w:val="24"/>
          <w:szCs w:val="24"/>
        </w:rPr>
        <w:t xml:space="preserve"> is the </w:t>
      </w:r>
      <w:r w:rsidR="008D3D72">
        <w:rPr>
          <w:rFonts w:ascii="Georgia" w:eastAsiaTheme="minorEastAsia" w:hAnsi="Georgia"/>
          <w:i/>
          <w:sz w:val="24"/>
          <w:szCs w:val="24"/>
        </w:rPr>
        <w:t xml:space="preserve">credit spread </w:t>
      </w:r>
      <w:r w:rsidR="008D3D72">
        <w:rPr>
          <w:rFonts w:ascii="Georgia" w:eastAsiaTheme="minorEastAsia" w:hAnsi="Georgia"/>
          <w:sz w:val="24"/>
          <w:szCs w:val="24"/>
        </w:rPr>
        <w:t xml:space="preserve">for bond </w:t>
      </w:r>
      <w:proofErr w:type="spellStart"/>
      <w:r w:rsidR="008D3D72">
        <w:rPr>
          <w:rFonts w:ascii="Georgia" w:eastAsiaTheme="minorEastAsia" w:hAnsi="Georgia"/>
          <w:sz w:val="24"/>
          <w:szCs w:val="24"/>
        </w:rPr>
        <w:t>i</w:t>
      </w:r>
      <w:proofErr w:type="spellEnd"/>
      <w:r w:rsidR="008D3D72">
        <w:rPr>
          <w:rFonts w:ascii="Georgia" w:eastAsiaTheme="minorEastAsia" w:hAnsi="Georgia"/>
          <w:sz w:val="24"/>
          <w:szCs w:val="24"/>
        </w:rPr>
        <w:t xml:space="preserve">.  We also assume that the credit spread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8D3D72">
        <w:rPr>
          <w:rFonts w:ascii="Georgia" w:eastAsiaTheme="minorEastAsia" w:hAnsi="Georgia"/>
          <w:sz w:val="24"/>
          <w:szCs w:val="24"/>
        </w:rPr>
        <w:t xml:space="preserve"> is the </w:t>
      </w:r>
      <w:r w:rsidR="008D3D72">
        <w:rPr>
          <w:rFonts w:ascii="Georgia" w:eastAsiaTheme="minorEastAsia" w:hAnsi="Georgia"/>
          <w:i/>
          <w:sz w:val="24"/>
          <w:szCs w:val="24"/>
        </w:rPr>
        <w:t xml:space="preserve">generic credit spread </w:t>
      </w:r>
      <w:r w:rsidR="008D3D72">
        <w:rPr>
          <w:rFonts w:ascii="Georgia" w:eastAsiaTheme="minorEastAsia" w:hAnsi="Georgia"/>
          <w:sz w:val="24"/>
          <w:szCs w:val="24"/>
        </w:rPr>
        <w:t xml:space="preserve">assigned to company i’s credit rating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8D3D72">
        <w:rPr>
          <w:rFonts w:ascii="Georgia" w:eastAsiaTheme="minorEastAsia" w:hAnsi="Georgia"/>
          <w:sz w:val="24"/>
          <w:szCs w:val="24"/>
        </w:rPr>
        <w:t xml:space="preserve"> which may be D, CCC, B, BB, BBB, A, AA, or AAA.  </w:t>
      </w:r>
      <w:r w:rsidR="00FB749F">
        <w:rPr>
          <w:rFonts w:ascii="Georgia" w:eastAsiaTheme="minorEastAsia" w:hAnsi="Georgia"/>
          <w:sz w:val="24"/>
          <w:szCs w:val="24"/>
        </w:rPr>
        <w:t xml:space="preserve">Let these generic credit spreads for the non-default states be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 w:rsidR="00FB749F">
        <w:rPr>
          <w:rFonts w:ascii="Georgia" w:eastAsiaTheme="minorEastAsia" w:hAnsi="Georgia"/>
          <w:sz w:val="24"/>
          <w:szCs w:val="24"/>
        </w:rPr>
        <w:t xml:space="preserve"> Assume that if a bond defaults, it pays us a fixed recovery amount R </w:t>
      </w:r>
      <w:r w:rsidR="004C480A">
        <w:rPr>
          <w:rFonts w:ascii="Georgia" w:eastAsiaTheme="minorEastAsia" w:hAnsi="Georgia"/>
          <w:sz w:val="24"/>
          <w:szCs w:val="24"/>
        </w:rPr>
        <w:t xml:space="preserve">per unit notional </w:t>
      </w:r>
      <w:r w:rsidR="00FB749F">
        <w:rPr>
          <w:rFonts w:ascii="Georgia" w:eastAsiaTheme="minorEastAsia" w:hAnsi="Georgia"/>
          <w:sz w:val="24"/>
          <w:szCs w:val="24"/>
        </w:rPr>
        <w:t xml:space="preserve">after a year.  </w:t>
      </w:r>
      <w:r w:rsidR="008D3D72">
        <w:rPr>
          <w:rFonts w:ascii="Georgia" w:eastAsiaTheme="minorEastAsia" w:hAnsi="Georgia"/>
          <w:sz w:val="24"/>
          <w:szCs w:val="24"/>
        </w:rPr>
        <w:t xml:space="preserve">We assume that at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t=0, </m:t>
        </m:r>
      </m:oMath>
      <w:r w:rsidR="008D3D72">
        <w:rPr>
          <w:rFonts w:ascii="Georgia" w:eastAsiaTheme="minorEastAsia" w:hAnsi="Georgia"/>
          <w:sz w:val="24"/>
          <w:szCs w:val="24"/>
        </w:rPr>
        <w:t>none of these are D.  We also may refer to these credit ratings, as the book often does, as 0, 1, 2,…</w:t>
      </w:r>
      <w:proofErr w:type="gramStart"/>
      <w:r w:rsidR="008D3D72">
        <w:rPr>
          <w:rFonts w:ascii="Georgia" w:eastAsiaTheme="minorEastAsia" w:hAnsi="Georgia"/>
          <w:sz w:val="24"/>
          <w:szCs w:val="24"/>
        </w:rPr>
        <w:t>,7</w:t>
      </w:r>
      <w:proofErr w:type="gramEnd"/>
      <w:r w:rsidR="008D3D72">
        <w:rPr>
          <w:rFonts w:ascii="Georgia" w:eastAsiaTheme="minorEastAsia" w:hAnsi="Georgia"/>
          <w:sz w:val="24"/>
          <w:szCs w:val="24"/>
        </w:rPr>
        <w:t xml:space="preserve">.   So if one of these bonds has rating j, the probability of migrating to rating k at the end of the year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j,k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 w:rsidR="00FB749F">
        <w:rPr>
          <w:rFonts w:ascii="Georgia" w:eastAsiaTheme="minorEastAsia" w:hAnsi="Georgia"/>
          <w:sz w:val="24"/>
          <w:szCs w:val="24"/>
        </w:rPr>
        <w:t xml:space="preserve">  Refer to the transition matrix shown in the slides as an example.</w:t>
      </w:r>
    </w:p>
    <w:p w:rsidR="00FB749F" w:rsidRDefault="00FB749F" w:rsidP="00FB749F">
      <w:pPr>
        <w:pStyle w:val="NoSpacing"/>
        <w:jc w:val="both"/>
        <w:rPr>
          <w:rFonts w:ascii="Georgia" w:eastAsiaTheme="minorEastAsia" w:hAnsi="Georgia"/>
          <w:sz w:val="24"/>
          <w:szCs w:val="24"/>
        </w:rPr>
      </w:pPr>
    </w:p>
    <w:p w:rsidR="00FB749F" w:rsidRDefault="00FB749F" w:rsidP="00FB749F">
      <w:pPr>
        <w:pStyle w:val="NoSpacing"/>
        <w:jc w:val="both"/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We will also assume that if company </w:t>
      </w:r>
      <w:proofErr w:type="spellStart"/>
      <w:r>
        <w:rPr>
          <w:rFonts w:ascii="Georgia" w:eastAsiaTheme="minorEastAsia" w:hAnsi="Georgia"/>
          <w:sz w:val="24"/>
          <w:szCs w:val="24"/>
        </w:rPr>
        <w:t>i</w:t>
      </w:r>
      <w:proofErr w:type="spellEnd"/>
      <w:r>
        <w:rPr>
          <w:rFonts w:ascii="Georgia" w:eastAsiaTheme="minorEastAsia" w:hAnsi="Georgia"/>
          <w:sz w:val="24"/>
          <w:szCs w:val="24"/>
        </w:rPr>
        <w:t xml:space="preserve"> migrates from j to k in a year, then the credit spread will change from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>
        <w:rPr>
          <w:rFonts w:ascii="Georgia" w:eastAsiaTheme="minorEastAsia" w:hAnsi="Georgia"/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>
        <w:rPr>
          <w:rFonts w:ascii="Georgia" w:eastAsiaTheme="minorEastAsia" w:hAnsi="Georgia"/>
          <w:sz w:val="24"/>
          <w:szCs w:val="24"/>
        </w:rPr>
        <w:t xml:space="preserve"> and affect the value of the bond accordingly.  The current value of each bond at time 0 is therefore</w:t>
      </w:r>
    </w:p>
    <w:p w:rsidR="00FB749F" w:rsidRPr="004C480A" w:rsidRDefault="00FB749F" w:rsidP="00FB749F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</w:p>
    <w:p w:rsidR="00FB749F" w:rsidRPr="004C480A" w:rsidRDefault="00412390" w:rsidP="00FB749F">
      <w:pPr>
        <w:pStyle w:val="NoSpacing"/>
        <w:jc w:val="center"/>
        <w:rPr>
          <w:rFonts w:ascii="Georgia" w:eastAsiaTheme="minorEastAsia" w:hAnsi="Georg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2T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p>
            </m:e>
          </m:d>
        </m:oMath>
      </m:oMathPara>
    </w:p>
    <w:p w:rsidR="004C480A" w:rsidRPr="004C480A" w:rsidRDefault="004C480A" w:rsidP="00FB749F">
      <w:pPr>
        <w:pStyle w:val="NoSpacing"/>
        <w:jc w:val="center"/>
        <w:rPr>
          <w:rFonts w:ascii="Georgia" w:eastAsiaTheme="minorEastAsia" w:hAnsi="Georg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2T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r+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r+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 w:val="32"/>
              <w:szCs w:val="32"/>
            </w:rPr>
            <m:t>.</m:t>
          </m:r>
        </m:oMath>
      </m:oMathPara>
    </w:p>
    <w:p w:rsidR="004C480A" w:rsidRDefault="004C480A" w:rsidP="00FB749F">
      <w:pPr>
        <w:pStyle w:val="NoSpacing"/>
        <w:jc w:val="center"/>
        <w:rPr>
          <w:rFonts w:ascii="Georgia" w:eastAsiaTheme="minorEastAsia" w:hAnsi="Georgia"/>
          <w:sz w:val="32"/>
          <w:szCs w:val="32"/>
        </w:rPr>
      </w:pPr>
    </w:p>
    <w:p w:rsidR="006E7BEC" w:rsidRDefault="004C480A" w:rsidP="004C480A">
      <w:pPr>
        <w:pStyle w:val="NoSpacing"/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In this notation,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ascii="Georgia" w:eastAsiaTheme="minorEastAsia" w:hAnsi="Georgia"/>
          <w:sz w:val="24"/>
          <w:szCs w:val="24"/>
        </w:rPr>
        <w:t xml:space="preserve"> is the notional amount of the </w:t>
      </w:r>
      <w:proofErr w:type="gramStart"/>
      <w:r>
        <w:rPr>
          <w:rFonts w:ascii="Georgia" w:eastAsiaTheme="minorEastAsia" w:hAnsi="Georgia"/>
          <w:sz w:val="24"/>
          <w:szCs w:val="24"/>
        </w:rPr>
        <w:t>bond.</w:t>
      </w:r>
      <w:proofErr w:type="gramEnd"/>
      <w:r>
        <w:rPr>
          <w:rFonts w:ascii="Georgia" w:eastAsiaTheme="minorEastAsia" w:hAnsi="Georgia"/>
          <w:sz w:val="24"/>
          <w:szCs w:val="24"/>
        </w:rPr>
        <w:t xml:space="preserve">  In a year, we may assume that the risk-free rate does not change, and that the credit spread of bond </w:t>
      </w:r>
      <w:proofErr w:type="spellStart"/>
      <w:r>
        <w:rPr>
          <w:rFonts w:ascii="Georgia" w:eastAsiaTheme="minorEastAsia" w:hAnsi="Georgia"/>
          <w:sz w:val="24"/>
          <w:szCs w:val="24"/>
        </w:rPr>
        <w:t>i</w:t>
      </w:r>
      <w:proofErr w:type="spellEnd"/>
      <w:r>
        <w:rPr>
          <w:rFonts w:ascii="Georgia" w:eastAsiaTheme="minorEastAsia" w:hAnsi="Georgia"/>
          <w:sz w:val="24"/>
          <w:szCs w:val="24"/>
        </w:rPr>
        <w:t xml:space="preserve"> after a year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i,1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 w:rsidR="006E7BEC">
        <w:rPr>
          <w:rFonts w:ascii="Georgia" w:eastAsiaTheme="minorEastAsia" w:hAnsi="Georgia"/>
          <w:sz w:val="24"/>
          <w:szCs w:val="24"/>
        </w:rPr>
        <w:t xml:space="preserve"> </w:t>
      </w:r>
      <w:proofErr w:type="gramStart"/>
      <w:r w:rsidR="006E7BEC">
        <w:rPr>
          <w:rFonts w:ascii="Georgia" w:eastAsiaTheme="minorEastAsia" w:hAnsi="Georgia"/>
          <w:sz w:val="24"/>
          <w:szCs w:val="24"/>
        </w:rPr>
        <w:t>After</w:t>
      </w:r>
      <w:proofErr w:type="gramEnd"/>
      <w:r w:rsidR="006E7BEC">
        <w:rPr>
          <w:rFonts w:ascii="Georgia" w:eastAsiaTheme="minorEastAsia" w:hAnsi="Georgia"/>
          <w:sz w:val="24"/>
          <w:szCs w:val="24"/>
        </w:rPr>
        <w:t xml:space="preserve"> a year, the value of each bond will be </w:t>
      </w:r>
    </w:p>
    <w:p w:rsidR="006E7BEC" w:rsidRPr="006E7BEC" w:rsidRDefault="006E7BEC" w:rsidP="004C480A">
      <w:pPr>
        <w:pStyle w:val="NoSpacing"/>
        <w:rPr>
          <w:rFonts w:ascii="Georgia" w:eastAsiaTheme="minorEastAsia" w:hAnsi="Georgia"/>
          <w:sz w:val="32"/>
          <w:szCs w:val="32"/>
        </w:rPr>
      </w:pPr>
    </w:p>
    <w:p w:rsidR="006E7BEC" w:rsidRPr="006E7BEC" w:rsidRDefault="00412390" w:rsidP="004C480A">
      <w:pPr>
        <w:pStyle w:val="NoSpacing"/>
        <w:rPr>
          <w:rFonts w:ascii="Georgia" w:eastAsiaTheme="minorEastAsia" w:hAnsi="Georg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i,1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2T-2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r+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sup>
                  </m:sSup>
                </m:e>
              </m:nary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i,1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T-1</m:t>
                      </m:r>
                    </m:e>
                  </m:d>
                </m:sup>
              </m:sSup>
            </m:e>
          </m:d>
        </m:oMath>
      </m:oMathPara>
    </w:p>
    <w:p w:rsidR="006E7BEC" w:rsidRPr="006E7BEC" w:rsidRDefault="00412390" w:rsidP="004C480A">
      <w:pPr>
        <w:pStyle w:val="NoSpacing"/>
        <w:rPr>
          <w:rFonts w:ascii="Georgia" w:eastAsiaTheme="minorEastAsia" w:hAnsi="Georg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i,1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R if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i,1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=0 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or D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.</m:t>
          </m:r>
        </m:oMath>
      </m:oMathPara>
    </w:p>
    <w:p w:rsidR="006E7BEC" w:rsidRDefault="006E7BEC" w:rsidP="004C480A">
      <w:pPr>
        <w:pStyle w:val="NoSpacing"/>
        <w:rPr>
          <w:rFonts w:ascii="Georgia" w:eastAsiaTheme="minorEastAsia" w:hAnsi="Georgia"/>
          <w:sz w:val="32"/>
          <w:szCs w:val="32"/>
        </w:rPr>
      </w:pPr>
    </w:p>
    <w:p w:rsidR="006E7BEC" w:rsidRDefault="00447FC2" w:rsidP="00904B65">
      <w:pPr>
        <w:pStyle w:val="NoSpacing"/>
        <w:jc w:val="both"/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lastRenderedPageBreak/>
        <w:t xml:space="preserve">To simulate IRC in this example, consider standard normal </w:t>
      </w:r>
      <w:proofErr w:type="spellStart"/>
      <w:r>
        <w:rPr>
          <w:rFonts w:ascii="Georgia" w:eastAsiaTheme="minorEastAsia" w:hAnsi="Georgia"/>
          <w:sz w:val="24"/>
          <w:szCs w:val="24"/>
        </w:rPr>
        <w:t>rvs</w:t>
      </w:r>
      <w:proofErr w:type="spellEnd"/>
      <w:r>
        <w:rPr>
          <w:rFonts w:ascii="Georgia" w:eastAsiaTheme="minorEastAsia" w:hAnsi="Georg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="000E0FAD">
        <w:rPr>
          <w:rFonts w:ascii="Georgia" w:eastAsiaTheme="minorEastAsia" w:hAnsi="Georgia"/>
          <w:sz w:val="24"/>
          <w:szCs w:val="24"/>
        </w:rPr>
        <w:t xml:space="preserve"> and assume that they follow a 1-dimensional equicorrelated factor model where </w:t>
      </w:r>
      <m:oMath>
        <m:r>
          <w:rPr>
            <w:rFonts w:ascii="Cambria Math" w:eastAsiaTheme="minorEastAsia" w:hAnsi="Cambria Math"/>
            <w:sz w:val="24"/>
            <w:szCs w:val="24"/>
          </w:rPr>
          <m:t>corr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=ρ</m:t>
        </m:r>
      </m:oMath>
      <w:r w:rsidR="000E0FAD">
        <w:rPr>
          <w:rFonts w:ascii="Georgia" w:eastAsiaTheme="minorEastAsia" w:hAnsi="Georgia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i≠l. </m:t>
        </m:r>
      </m:oMath>
      <w:r w:rsidR="000E0FAD">
        <w:rPr>
          <w:rFonts w:ascii="Georgia" w:eastAsiaTheme="minorEastAsia" w:hAnsi="Georgia"/>
          <w:sz w:val="24"/>
          <w:szCs w:val="24"/>
        </w:rPr>
        <w:t xml:space="preserve">  </w:t>
      </w:r>
      <w:r w:rsidR="00C67B59">
        <w:rPr>
          <w:rFonts w:ascii="Georgia" w:eastAsiaTheme="minorEastAsia" w:hAnsi="Georgia"/>
          <w:sz w:val="24"/>
          <w:szCs w:val="24"/>
        </w:rPr>
        <w:t xml:space="preserve">Recall that this means that we can write </w:t>
      </w:r>
    </w:p>
    <w:p w:rsidR="00C67B59" w:rsidRPr="00904B65" w:rsidRDefault="00C67B59" w:rsidP="004C480A">
      <w:pPr>
        <w:pStyle w:val="NoSpacing"/>
        <w:rPr>
          <w:rFonts w:ascii="Georgia" w:eastAsiaTheme="minorEastAsia" w:hAnsi="Georgia"/>
          <w:sz w:val="32"/>
          <w:szCs w:val="32"/>
        </w:rPr>
      </w:pPr>
    </w:p>
    <w:p w:rsidR="00C67B59" w:rsidRPr="00904B65" w:rsidRDefault="00412390" w:rsidP="004C480A">
      <w:pPr>
        <w:pStyle w:val="NoSpacing"/>
        <w:rPr>
          <w:rFonts w:ascii="Georgia" w:eastAsiaTheme="minorEastAsia" w:hAnsi="Georg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ρ</m:t>
              </m:r>
            </m:e>
          </m:rad>
          <m:r>
            <w:rPr>
              <w:rFonts w:ascii="Cambria Math" w:eastAsiaTheme="minorEastAsia" w:hAnsi="Cambria Math"/>
              <w:sz w:val="32"/>
              <w:szCs w:val="32"/>
            </w:rPr>
            <m:t>F+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1-ρ</m:t>
              </m:r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</m:oMath>
      </m:oMathPara>
    </w:p>
    <w:p w:rsidR="00C67B59" w:rsidRPr="00904B65" w:rsidRDefault="00C67B59" w:rsidP="004C480A">
      <w:pPr>
        <w:pStyle w:val="NoSpacing"/>
        <w:rPr>
          <w:rFonts w:ascii="Georgia" w:eastAsiaTheme="minorEastAsia" w:hAnsi="Georg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F,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all∼N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0,1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, i.i.d.</m:t>
          </m:r>
        </m:oMath>
      </m:oMathPara>
    </w:p>
    <w:p w:rsidR="00904B65" w:rsidRDefault="00904B65" w:rsidP="004C480A">
      <w:pPr>
        <w:pStyle w:val="NoSpacing"/>
        <w:rPr>
          <w:rFonts w:ascii="Georgia" w:eastAsiaTheme="minorEastAsia" w:hAnsi="Georgia"/>
          <w:sz w:val="32"/>
          <w:szCs w:val="32"/>
        </w:rPr>
      </w:pPr>
    </w:p>
    <w:p w:rsidR="00904B65" w:rsidRDefault="00904B65" w:rsidP="004C480A">
      <w:pPr>
        <w:pStyle w:val="NoSpacing"/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We can think of F as the </w:t>
      </w:r>
      <w:r>
        <w:rPr>
          <w:rFonts w:ascii="Georgia" w:eastAsiaTheme="minorEastAsia" w:hAnsi="Georgia"/>
          <w:i/>
          <w:sz w:val="24"/>
          <w:szCs w:val="24"/>
        </w:rPr>
        <w:t xml:space="preserve">market </w:t>
      </w:r>
      <w:r>
        <w:rPr>
          <w:rFonts w:ascii="Georgia" w:eastAsiaTheme="minorEastAsia" w:hAnsi="Georgia"/>
          <w:sz w:val="24"/>
          <w:szCs w:val="24"/>
        </w:rPr>
        <w:t xml:space="preserve">factor.  Many banks use this sort of model.  </w:t>
      </w:r>
      <w:r w:rsidR="009409F2">
        <w:rPr>
          <w:rFonts w:ascii="Georgia" w:eastAsiaTheme="minorEastAsia" w:hAnsi="Georgia"/>
          <w:sz w:val="24"/>
          <w:szCs w:val="24"/>
        </w:rPr>
        <w:t xml:space="preserve">For each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9409F2">
        <w:rPr>
          <w:rFonts w:ascii="Georgia" w:eastAsiaTheme="minorEastAsia" w:hAnsi="Georgia"/>
          <w:sz w:val="24"/>
          <w:szCs w:val="24"/>
        </w:rPr>
        <w:t xml:space="preserve"> we can compute thresholds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i,k</m:t>
            </m:r>
          </m:sub>
        </m:sSub>
      </m:oMath>
      <w:r w:rsidR="009409F2">
        <w:rPr>
          <w:rFonts w:ascii="Georgia" w:eastAsiaTheme="minorEastAsia" w:hAnsi="Georgia"/>
          <w:sz w:val="24"/>
          <w:szCs w:val="24"/>
        </w:rPr>
        <w:t xml:space="preserve"> with </w:t>
      </w:r>
    </w:p>
    <w:p w:rsidR="009409F2" w:rsidRPr="009409F2" w:rsidRDefault="009409F2" w:rsidP="004C480A">
      <w:pPr>
        <w:pStyle w:val="NoSpacing"/>
        <w:rPr>
          <w:rFonts w:ascii="Georgia" w:eastAsiaTheme="minorEastAsia" w:hAnsi="Georgia"/>
          <w:sz w:val="32"/>
          <w:szCs w:val="32"/>
        </w:rPr>
      </w:pPr>
    </w:p>
    <w:p w:rsidR="009409F2" w:rsidRPr="009409F2" w:rsidRDefault="00412390" w:rsidP="004C480A">
      <w:pPr>
        <w:pStyle w:val="NoSpacing"/>
        <w:rPr>
          <w:rFonts w:ascii="Georgia" w:eastAsiaTheme="minorEastAsia" w:hAnsi="Georg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i,0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i,k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.</m:t>
          </m:r>
        </m:oMath>
      </m:oMathPara>
      <w:bookmarkStart w:id="0" w:name="_GoBack"/>
      <w:bookmarkEnd w:id="0"/>
    </w:p>
    <w:p w:rsidR="009409F2" w:rsidRDefault="009409F2" w:rsidP="004C480A">
      <w:pPr>
        <w:pStyle w:val="NoSpacing"/>
        <w:rPr>
          <w:rFonts w:ascii="Georgia" w:eastAsiaTheme="minorEastAsia" w:hAnsi="Georgia"/>
          <w:sz w:val="32"/>
          <w:szCs w:val="32"/>
        </w:rPr>
      </w:pPr>
    </w:p>
    <w:p w:rsidR="009409F2" w:rsidRDefault="009409F2" w:rsidP="004C480A">
      <w:pPr>
        <w:pStyle w:val="NoSpacing"/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Now we simulate the Z’s 50000 times, and for each simulation, for each bond, we let </w:t>
      </w:r>
    </w:p>
    <w:p w:rsidR="009409F2" w:rsidRPr="003E30DE" w:rsidRDefault="009409F2" w:rsidP="004C480A">
      <w:pPr>
        <w:pStyle w:val="NoSpacing"/>
        <w:rPr>
          <w:rFonts w:ascii="Georgia" w:eastAsiaTheme="minorEastAsia" w:hAnsi="Georgia"/>
          <w:sz w:val="32"/>
          <w:szCs w:val="32"/>
        </w:rPr>
      </w:pPr>
    </w:p>
    <w:p w:rsidR="009409F2" w:rsidRPr="003E30DE" w:rsidRDefault="009409F2" w:rsidP="004C480A">
      <w:pPr>
        <w:pStyle w:val="NoSpacing"/>
        <w:rPr>
          <w:rFonts w:ascii="Georgia" w:eastAsiaTheme="minorEastAsia" w:hAnsi="Georg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i,1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, if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i,1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</m:oMath>
      </m:oMathPara>
    </w:p>
    <w:p w:rsidR="003E30DE" w:rsidRPr="003E30DE" w:rsidRDefault="003E30DE" w:rsidP="004C480A">
      <w:pPr>
        <w:pStyle w:val="NoSpacing"/>
        <w:rPr>
          <w:rFonts w:ascii="Georgia" w:eastAsiaTheme="minorEastAsia" w:hAnsi="Georg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=0 if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i,1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.</m:t>
          </m:r>
        </m:oMath>
      </m:oMathPara>
    </w:p>
    <w:p w:rsidR="003E30DE" w:rsidRPr="003E30DE" w:rsidRDefault="003E30DE" w:rsidP="004C480A">
      <w:pPr>
        <w:pStyle w:val="NoSpacing"/>
        <w:rPr>
          <w:rFonts w:ascii="Georgia" w:eastAsiaTheme="minorEastAsia" w:hAnsi="Georgia"/>
          <w:sz w:val="32"/>
          <w:szCs w:val="32"/>
        </w:rPr>
      </w:pPr>
    </w:p>
    <w:p w:rsidR="003E30DE" w:rsidRDefault="003E30DE" w:rsidP="004C480A">
      <w:pPr>
        <w:pStyle w:val="NoSpacing"/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Finally let </w:t>
      </w:r>
    </w:p>
    <w:p w:rsidR="003E30DE" w:rsidRPr="003E30DE" w:rsidRDefault="003E30DE" w:rsidP="004C480A">
      <w:pPr>
        <w:pStyle w:val="NoSpacing"/>
        <w:rPr>
          <w:rFonts w:ascii="Georgia" w:eastAsiaTheme="minorEastAsia" w:hAnsi="Georgia"/>
          <w:sz w:val="32"/>
          <w:szCs w:val="32"/>
        </w:rPr>
      </w:pPr>
    </w:p>
    <w:p w:rsidR="003E30DE" w:rsidRPr="003E30DE" w:rsidRDefault="003E30DE" w:rsidP="004C480A">
      <w:pPr>
        <w:pStyle w:val="NoSpacing"/>
        <w:rPr>
          <w:rFonts w:ascii="Georgia" w:eastAsiaTheme="minorEastAsia" w:hAnsi="Georg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L=-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nary>
        </m:oMath>
      </m:oMathPara>
    </w:p>
    <w:p w:rsidR="003E30DE" w:rsidRPr="003E30DE" w:rsidRDefault="003E30DE" w:rsidP="004C480A">
      <w:pPr>
        <w:pStyle w:val="NoSpacing"/>
        <w:rPr>
          <w:rFonts w:ascii="Georgia" w:eastAsiaTheme="minorEastAsia" w:hAnsi="Georgia"/>
          <w:sz w:val="32"/>
          <w:szCs w:val="32"/>
        </w:rPr>
      </w:pPr>
    </w:p>
    <w:p w:rsidR="003E30DE" w:rsidRPr="009409F2" w:rsidRDefault="003E30DE" w:rsidP="004C480A">
      <w:pPr>
        <w:pStyle w:val="NoSpacing"/>
        <w:rPr>
          <w:rFonts w:ascii="Georgia" w:eastAsiaTheme="minorEastAsia" w:hAnsi="Georgia"/>
          <w:sz w:val="24"/>
          <w:szCs w:val="24"/>
        </w:rPr>
      </w:pPr>
      <w:proofErr w:type="gramStart"/>
      <w:r>
        <w:rPr>
          <w:rFonts w:ascii="Georgia" w:eastAsiaTheme="minorEastAsia" w:hAnsi="Georgia"/>
          <w:sz w:val="24"/>
          <w:szCs w:val="24"/>
        </w:rPr>
        <w:t>and</w:t>
      </w:r>
      <w:proofErr w:type="gramEnd"/>
      <w:r>
        <w:rPr>
          <w:rFonts w:ascii="Georgia" w:eastAsiaTheme="minorEastAsia" w:hAnsi="Georgia"/>
          <w:sz w:val="24"/>
          <w:szCs w:val="24"/>
        </w:rPr>
        <w:t xml:space="preserve"> take the 50</w:t>
      </w:r>
      <w:r w:rsidRPr="003E30DE">
        <w:rPr>
          <w:rFonts w:ascii="Georgia" w:eastAsiaTheme="minorEastAsia" w:hAnsi="Georgia"/>
          <w:sz w:val="24"/>
          <w:szCs w:val="24"/>
          <w:vertAlign w:val="superscript"/>
        </w:rPr>
        <w:t>th</w:t>
      </w:r>
      <w:r>
        <w:rPr>
          <w:rFonts w:ascii="Georgia" w:eastAsiaTheme="minorEastAsia" w:hAnsi="Georgia"/>
          <w:sz w:val="24"/>
          <w:szCs w:val="24"/>
        </w:rPr>
        <w:t xml:space="preserve"> worst loss out of 50000.  This is your IRC.  Banks will often use the worst 500</w:t>
      </w:r>
      <w:r w:rsidRPr="003E30DE">
        <w:rPr>
          <w:rFonts w:ascii="Georgia" w:eastAsiaTheme="minorEastAsia" w:hAnsi="Georgia"/>
          <w:sz w:val="24"/>
          <w:szCs w:val="24"/>
          <w:vertAlign w:val="superscript"/>
        </w:rPr>
        <w:t>th</w:t>
      </w:r>
      <w:r>
        <w:rPr>
          <w:rFonts w:ascii="Georgia" w:eastAsiaTheme="minorEastAsia" w:hAnsi="Georgia"/>
          <w:sz w:val="24"/>
          <w:szCs w:val="24"/>
        </w:rPr>
        <w:t xml:space="preserve"> out of half a million, but I would not ask you to do that.  </w:t>
      </w:r>
      <w:r w:rsidR="00FF40C2">
        <w:rPr>
          <w:rFonts w:ascii="Georgia" w:eastAsiaTheme="minorEastAsia" w:hAnsi="Georgia"/>
          <w:sz w:val="24"/>
          <w:szCs w:val="24"/>
        </w:rPr>
        <w:t xml:space="preserve"> I created a very simple example of this with only 10000 scenarios in Excel.   </w:t>
      </w:r>
    </w:p>
    <w:p w:rsidR="009409F2" w:rsidRPr="00904B65" w:rsidRDefault="009409F2" w:rsidP="004C480A">
      <w:pPr>
        <w:pStyle w:val="NoSpacing"/>
        <w:rPr>
          <w:rFonts w:ascii="Georgia" w:eastAsiaTheme="minorEastAsia" w:hAnsi="Georgia"/>
          <w:sz w:val="24"/>
          <w:szCs w:val="24"/>
        </w:rPr>
      </w:pPr>
    </w:p>
    <w:sectPr w:rsidR="009409F2" w:rsidRPr="00904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9F9"/>
    <w:rsid w:val="000249F9"/>
    <w:rsid w:val="000E0FAD"/>
    <w:rsid w:val="003E30DE"/>
    <w:rsid w:val="00412390"/>
    <w:rsid w:val="00447FC2"/>
    <w:rsid w:val="004C480A"/>
    <w:rsid w:val="006E7BEC"/>
    <w:rsid w:val="008D3D72"/>
    <w:rsid w:val="00904B65"/>
    <w:rsid w:val="009409F2"/>
    <w:rsid w:val="00C67B59"/>
    <w:rsid w:val="00D42359"/>
    <w:rsid w:val="00ED6809"/>
    <w:rsid w:val="00FB749F"/>
    <w:rsid w:val="00FF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EE4B0-3B36-458C-8AE7-D5D5FE21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49F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0249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DeMeo</dc:creator>
  <cp:keywords/>
  <dc:description/>
  <cp:lastModifiedBy>Roy DeMeo</cp:lastModifiedBy>
  <cp:revision>7</cp:revision>
  <dcterms:created xsi:type="dcterms:W3CDTF">2015-04-11T15:13:00Z</dcterms:created>
  <dcterms:modified xsi:type="dcterms:W3CDTF">2015-04-12T14:30:00Z</dcterms:modified>
</cp:coreProperties>
</file>