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1F2A44"/>
          <w:sz w:val="44"/>
          <w:szCs w:val="44"/>
        </w:rPr>
        <w:t xml:space="preserve">Ruta de implementación del ERP</w:t>
      </w:r>
    </w:p>
    <w:p>
      <w:pPr>
        <w:spacing w:after="800"/>
        <w:jc w:val="center"/>
      </w:pPr>
      <w:r>
        <w:rPr>
          <w:color w:val="2E5AAC"/>
          <w:sz w:val="28"/>
          <w:szCs w:val="28"/>
        </w:rPr>
        <w:t xml:space="preserve">Documento de requerimientos y plan técnico — MVP</w:t>
      </w:r>
    </w:p>
    <w:p>
      <w:pPr>
        <w:jc w:val="center"/>
      </w:pPr>
      <w:r>
        <w:rPr>
          <w:sz w:val="22"/>
          <w:szCs w:val="22"/>
        </w:rPr>
        <w:t xml:space="preserve">Módulos incluidos: Core · Inventario · Ventas · Compras · Finanzas básico</w:t>
      </w:r>
    </w:p>
    <w:p>
      <w:r>
        <w:br w:type="page"/>
      </w:r>
    </w:p>
    <w:p>
      <w:pPr>
        <w:pStyle w:val="Heading1"/>
        <w:spacing w:after="200" w:before="400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Introducción</w:t>
      </w:r>
    </w:p>
    <w:p>
      <w:pPr>
        <w:spacing w:after="120"/>
      </w:pPr>
      <w:r>
        <w:t xml:space="preserve">Este documento define la ruta de implementación del sistema ERP, priorizando un producto mínimo viable (MVP) compuesto por los módulos Core, Inventario, Ventas, Compras y un módulo de Finanzas básico. Incluye los requerimientos funcionales por módulo, el modelo de datos, la especificación de la API REST, la arquitectura técnica y un plan de trabajo dividido en sprints de dos semanas.</w:t>
      </w:r>
    </w:p>
    <w:p>
      <w:pPr>
        <w:spacing w:after="120"/>
      </w:pPr>
      <w:r>
        <w:t xml:space="preserve">El objetivo es contar con una guía única que sirva tanto de referencia funcional como de hoja de ruta técnica durante el desarrollo.</w:t>
      </w:r>
    </w:p>
    <w:p>
      <w:pPr>
        <w:pStyle w:val="Heading1"/>
        <w:spacing w:after="200" w:before="400"/>
      </w:pPr>
      <w:r>
        <w:t xml:space="preserve">2. Alcance del MVP</w:t>
      </w:r>
    </w:p>
    <w:p>
      <w:pPr>
        <w:spacing w:after="120"/>
      </w:pPr>
      <w:r>
        <w:t xml:space="preserve">El MVP cubre el ciclo comercial básico de una empresa: gestión de usuarios y catálogos, control de inventario, proceso de venta con facturación, y proceso de compra a proveedores. Quedan fuera de este alcance (para fases posteriores) los módulos de RRHH, CRM, Proyectos, Producción, E-commerce, Gestión documental, Calidad, Transporte, Gestión de servicios de campo y Cadena de suministro avanzada.</w:t>
      </w:r>
    </w:p>
    <w:p>
      <w:pPr>
        <w:pStyle w:val="Heading1"/>
        <w:spacing w:after="200" w:before="400"/>
      </w:pPr>
      <w:r>
        <w:t xml:space="preserve">3. Ruta de implementación (roadmap por sprints)</w:t>
      </w:r>
    </w:p>
    <w:p>
      <w:pPr>
        <w:spacing w:after="120"/>
      </w:pPr>
      <w:r>
        <w:t xml:space="preserve">Plan estimado para un desarrollador trabajando de forma part-time (compatible con estudios). Cada sprint dura dos semanas; los tiempos pueden comprimirse con más horas dedicadas o un segundo desarrollador.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F2A4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pct" w:w="20%"/>
            <w:shd w:fill="1F2A4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pct" w:w="28%"/>
            <w:shd w:fill="1F2A4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 / entregable</w:t>
            </w:r>
          </w:p>
        </w:tc>
        <w:tc>
          <w:tcPr>
            <w:tcW w:type="pct" w:w="32%"/>
            <w:shd w:fill="1F2A4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pct" w:w="2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0</w:t>
            </w:r>
          </w:p>
        </w:tc>
        <w:tc>
          <w:tcPr>
            <w:tcW w:type="pct" w:w="2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type="pct" w:w="28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 técnico</w:t>
            </w:r>
          </w:p>
        </w:tc>
        <w:tc>
          <w:tcPr>
            <w:tcW w:type="pct" w:w="32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Repositorio, entorno (Docker/DB), CI básico, definición final de ERD y estándares de código</w:t>
            </w:r>
          </w:p>
        </w:tc>
      </w:tr>
      <w:tr>
        <w:tc>
          <w:tcPr>
            <w:tcW w:type="pct" w:w="2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pct" w:w="2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</w:t>
            </w:r>
          </w:p>
        </w:tc>
        <w:tc>
          <w:tcPr>
            <w:tcW w:type="pct" w:w="28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pct" w:w="32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Autenticación (JWT), usuarios, roles y permisos, catálogo de clientes</w:t>
            </w:r>
          </w:p>
        </w:tc>
      </w:tr>
      <w:tr>
        <w:tc>
          <w:tcPr>
            <w:tcW w:type="pct" w:w="2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pct" w:w="2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5-6</w:t>
            </w:r>
          </w:p>
        </w:tc>
        <w:tc>
          <w:tcPr>
            <w:tcW w:type="pct" w:w="28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Inventario</w:t>
            </w:r>
          </w:p>
        </w:tc>
        <w:tc>
          <w:tcPr>
            <w:tcW w:type="pct" w:w="32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Productos, almacenes, existencias, movimientos de inventario, alertas de stock</w:t>
            </w:r>
          </w:p>
        </w:tc>
      </w:tr>
      <w:tr>
        <w:tc>
          <w:tcPr>
            <w:tcW w:type="pct" w:w="2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pct" w:w="2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7-8</w:t>
            </w:r>
          </w:p>
        </w:tc>
        <w:tc>
          <w:tcPr>
            <w:tcW w:type="pct" w:w="28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Ventas</w:t>
            </w:r>
          </w:p>
        </w:tc>
        <w:tc>
          <w:tcPr>
            <w:tcW w:type="pct" w:w="32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Cotizaciones, órdenes de venta, detalle de venta, validación de stock</w:t>
            </w:r>
          </w:p>
        </w:tc>
      </w:tr>
      <w:tr>
        <w:tc>
          <w:tcPr>
            <w:tcW w:type="pct" w:w="2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  <w:tc>
          <w:tcPr>
            <w:tcW w:type="pct" w:w="2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9-10</w:t>
            </w:r>
          </w:p>
        </w:tc>
        <w:tc>
          <w:tcPr>
            <w:tcW w:type="pct" w:w="28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Facturación / Finanzas básico</w:t>
            </w:r>
          </w:p>
        </w:tc>
        <w:tc>
          <w:tcPr>
            <w:tcW w:type="pct" w:w="32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Generación de factura, cuentas por cobrar, integración Ventas → Finanzas</w:t>
            </w:r>
          </w:p>
        </w:tc>
      </w:tr>
      <w:tr>
        <w:tc>
          <w:tcPr>
            <w:tcW w:type="pct" w:w="2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  <w:tc>
          <w:tcPr>
            <w:tcW w:type="pct" w:w="2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11-12</w:t>
            </w:r>
          </w:p>
        </w:tc>
        <w:tc>
          <w:tcPr>
            <w:tcW w:type="pct" w:w="28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Compras</w:t>
            </w:r>
          </w:p>
        </w:tc>
        <w:tc>
          <w:tcPr>
            <w:tcW w:type="pct" w:w="32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Proveedores, órdenes de compra, recepción de mercancía, actualización de inventario</w:t>
            </w:r>
          </w:p>
        </w:tc>
      </w:tr>
      <w:tr>
        <w:tc>
          <w:tcPr>
            <w:tcW w:type="pct" w:w="2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6</w:t>
            </w:r>
          </w:p>
        </w:tc>
        <w:tc>
          <w:tcPr>
            <w:tcW w:type="pct" w:w="2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13-14</w:t>
            </w:r>
          </w:p>
        </w:tc>
        <w:tc>
          <w:tcPr>
            <w:tcW w:type="pct" w:w="28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web</w:t>
            </w:r>
          </w:p>
        </w:tc>
        <w:tc>
          <w:tcPr>
            <w:tcW w:type="pct" w:w="32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Dashboard, formularios CRUD para los módulos anteriores, panel de reportes básico</w:t>
            </w:r>
          </w:p>
        </w:tc>
      </w:tr>
      <w:tr>
        <w:tc>
          <w:tcPr>
            <w:tcW w:type="pct" w:w="2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7</w:t>
            </w:r>
          </w:p>
        </w:tc>
        <w:tc>
          <w:tcPr>
            <w:tcW w:type="pct" w:w="2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15-16</w:t>
            </w:r>
          </w:p>
        </w:tc>
        <w:tc>
          <w:tcPr>
            <w:tcW w:type="pct" w:w="28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 y despliegue</w:t>
            </w:r>
          </w:p>
        </w:tc>
        <w:tc>
          <w:tcPr>
            <w:tcW w:type="pct" w:w="32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Pruebas de integración, corrección de errores, documentación final, despliegue a producción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/>
          <w:iCs/>
        </w:rPr>
        <w:t xml:space="preserve">Nota: el Sprint 0 es crítico — cualquier decisión de arquitectura o modelo de datos que cambie después de este punto tiene un costo alto en los sprints siguientes.</w:t>
      </w:r>
    </w:p>
    <w:p>
      <w:pPr>
        <w:pStyle w:val="Heading1"/>
        <w:spacing w:after="200" w:before="400"/>
      </w:pPr>
      <w:r>
        <w:t xml:space="preserve">4. Requerimientos funcionales por módulo</w:t>
      </w:r>
    </w:p>
    <w:p>
      <w:pPr>
        <w:pStyle w:val="Heading2"/>
        <w:spacing w:after="150" w:before="300"/>
      </w:pPr>
      <w:r>
        <w:t xml:space="preserve">4.1 Core (prerrequisito de todos los módulos)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con roles y permisos por módulo (RF-N01)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multiempresa / multi-sucursal (RF-N02)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Catálogo único de clientes, proveedores y productos (RF-N03)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Bitácora de auditoría — quién hizo qué y cuándo (RF-N04)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Motor de notificaciones: email, push, in-app (RF-N05)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 configuración general: monedas, impuestos, numeración de documentos (RF-N06)</w:t>
      </w:r>
    </w:p>
    <w:p>
      <w:pPr>
        <w:pStyle w:val="Heading2"/>
        <w:spacing w:after="150" w:before="300"/>
      </w:pPr>
      <w:r>
        <w:t xml:space="preserve">4.2 Inventario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 de existencias en tiempo real por producto y almacén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Entradas y salidas: ajustes y transferencias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Alertas de stock mínimo / máximo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Valuación de inventario (PEPS o promedio ponderado)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Trazabilidad por número de serie o lote</w:t>
      </w:r>
    </w:p>
    <w:p>
      <w:pPr>
        <w:pStyle w:val="Heading2"/>
        <w:spacing w:after="150" w:before="300"/>
      </w:pPr>
      <w:r>
        <w:t xml:space="preserve">4.3 Ventas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Cotizaciones y órdenes de venta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Facturación integrada con Finanzas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Validación de stock disponible antes de confirmar una venta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Comisiones de vendedores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Historial y seguimiento de clientes</w:t>
      </w:r>
    </w:p>
    <w:p>
      <w:pPr>
        <w:pStyle w:val="Heading2"/>
        <w:spacing w:after="150" w:before="300"/>
      </w:pPr>
      <w:r>
        <w:t xml:space="preserve">4.4 Compras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Solicitudes de compra y aprobaciones (workflow)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Órdenes de compra a proveedores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Recepción de mercancía vinculada a Inventario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Evaluación de proveedores</w:t>
      </w:r>
    </w:p>
    <w:p>
      <w:pPr>
        <w:pStyle w:val="Heading2"/>
        <w:spacing w:after="150" w:before="300"/>
      </w:pPr>
      <w:r>
        <w:t xml:space="preserve">4.5 Finanzas básico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Facturación electrónica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Cuentas por cobrar y por pagar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Asientos contables automáticos desde Ventas y Compras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Estados financieros básicos (balance general, estado de resultados)</w:t>
      </w:r>
    </w:p>
    <w:p>
      <w:pPr>
        <w:pStyle w:val="Heading1"/>
        <w:spacing w:after="200" w:before="400"/>
      </w:pPr>
      <w:r>
        <w:t xml:space="preserve">5. Modelo de datos (ERD del MVP)</w:t>
      </w:r>
    </w:p>
    <w:p>
      <w:pPr>
        <w:spacing w:after="120"/>
      </w:pPr>
      <w:r>
        <w:t xml:space="preserve">Relaciones principales entre entidades: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 (1) — (N) USUARIO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USUARIO (1) — (N) ORDEN_VENTA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CLIENTE (1) — (N) ORDEN_VENTA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ORDEN_VENTA (1) — (N) DETALLE_VENTA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ORDEN_VENTA (1) — (0..1) FACTURA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PRODUCTO (1) — (N) DETALLE_VENTA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PRODUCTO (1) — (N) EXISTENCIA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ALMACEN (1) — (N) EXISTENCIA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PRODUCTO (1) — (N) MOVIMIENTO_INV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ALMACEN (1) — (N) MOVIMIENTO_INV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PROVEEDOR (1) — (N) ORDEN_COMPRA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F2A4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pct" w:w="70%"/>
            <w:shd w:fill="1F2A4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</w:t>
            </w:r>
          </w:p>
        </w:tc>
        <w:tc>
          <w:tcPr>
            <w:tcW w:type="pct" w:w="7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(PK), nombre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pct" w:w="7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(PK), rol_id (FK), nombre, email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pct" w:w="7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(PK), nombre, email, telefono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PRODUCTO</w:t>
            </w:r>
          </w:p>
        </w:tc>
        <w:tc>
          <w:tcPr>
            <w:tcW w:type="pct" w:w="7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(PK), sku, nombre, precio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ALMACEN</w:t>
            </w:r>
          </w:p>
        </w:tc>
        <w:tc>
          <w:tcPr>
            <w:tcW w:type="pct" w:w="7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(PK), nombre, ubicacion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EXISTENCIA</w:t>
            </w:r>
          </w:p>
        </w:tc>
        <w:tc>
          <w:tcPr>
            <w:tcW w:type="pct" w:w="7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(PK), producto_id (FK), almacen_id (FK), cantidad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MOVIMIENTO_INV</w:t>
            </w:r>
          </w:p>
        </w:tc>
        <w:tc>
          <w:tcPr>
            <w:tcW w:type="pct" w:w="7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(PK), producto_id (FK), almacen_id (FK), tipo, cantidad, fecha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ORDEN_VENTA</w:t>
            </w:r>
          </w:p>
        </w:tc>
        <w:tc>
          <w:tcPr>
            <w:tcW w:type="pct" w:w="7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(PK), cliente_id (FK), usuario_id (FK), fecha, estado, total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DETALLE_VENTA</w:t>
            </w:r>
          </w:p>
        </w:tc>
        <w:tc>
          <w:tcPr>
            <w:tcW w:type="pct" w:w="7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(PK), orden_venta_id (FK), producto_id (FK), cantidad, precio_unitario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FACTURA</w:t>
            </w:r>
          </w:p>
        </w:tc>
        <w:tc>
          <w:tcPr>
            <w:tcW w:type="pct" w:w="7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(PK), orden_venta_id (FK), fecha, total, estado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PROVEEDOR</w:t>
            </w:r>
          </w:p>
        </w:tc>
        <w:tc>
          <w:tcPr>
            <w:tcW w:type="pct" w:w="7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(PK), nombre, email, telefono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ORDEN_COMPRA</w:t>
            </w:r>
          </w:p>
        </w:tc>
        <w:tc>
          <w:tcPr>
            <w:tcW w:type="pct" w:w="7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(PK), proveedor_id (FK), usuario_id (FK), fecha, estado, total</w:t>
            </w:r>
          </w:p>
        </w:tc>
      </w:tr>
    </w:tbl>
    <w:p>
      <w:pPr>
        <w:pStyle w:val="Heading1"/>
        <w:spacing w:after="200" w:before="400"/>
      </w:pPr>
      <w:r>
        <w:t xml:space="preserve">6. Especificación de API REST</w:t>
      </w:r>
    </w:p>
    <w:p>
      <w:pPr>
        <w:pStyle w:val="Heading2"/>
        <w:spacing w:after="150" w:before="300"/>
      </w:pPr>
      <w:r>
        <w:t xml:space="preserve">6.1 Autenticación / Core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/auth/login — login, devuelve JWT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/auth/refresh — renovar token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/usuarios/me — perfil del usuario autenticado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GET|POST /usuarios, GET|PUT|DELETE /usuarios/:id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GET|POST /roles, GET|PUT|DELETE /roles/:id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GET|POST /clientes, GET|PUT|DELETE /clientes/:id</w:t>
      </w:r>
    </w:p>
    <w:p>
      <w:pPr>
        <w:pStyle w:val="Heading2"/>
        <w:spacing w:after="150" w:before="300"/>
      </w:pPr>
      <w:r>
        <w:t xml:space="preserve">6.2 Inventario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GET|POST /productos, PUT|DELETE /productos/:id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GET|POST /almacenes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/existencias?producto_id=&amp;almacen_id= — stock disponible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/movimientos-inventario — registra entrada/salida y ajusta existencias automáticamente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/productos/:id/stock-bajo — alerta de stock mínimo</w:t>
      </w:r>
    </w:p>
    <w:p>
      <w:pPr>
        <w:pStyle w:val="Heading2"/>
        <w:spacing w:after="150" w:before="300"/>
      </w:pPr>
      <w:r>
        <w:t xml:space="preserve">6.3 Ventas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/ordenes-venta — crea orden con sus detalles (transacción atómica)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/ordenes-venta/:id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/ordenes-venta/:id/estado — cambia estado (pendiente → confirmada → facturada)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/ordenes-venta/:id/factura — genera factura (dispara evento hacia Finanzas)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/clientes/:id/historial-ventas</w:t>
      </w:r>
    </w:p>
    <w:p>
      <w:pPr>
        <w:pStyle w:val="Heading2"/>
        <w:spacing w:after="150" w:before="300"/>
      </w:pPr>
      <w:r>
        <w:t xml:space="preserve">6.4 Compras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GET|POST /proveedores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/ordenes-compra — crea orden de compra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/ordenes-compra/:id/estado — pendiente → aprobada → recibida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/ordenes-compra/:id/recepcion — registra recepción y actualiza inventario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Regla de negocio clave: al crear una orden de venta, el backend debe validar que existencia.cantidad sea mayor o igual a la cantidad solicitada antes de confirmar, y descontar el stock dentro de la misma transacción de base de datos para evitar sobreventa.</w:t>
      </w:r>
    </w:p>
    <w:p>
      <w:pPr>
        <w:pStyle w:val="Heading1"/>
        <w:spacing w:after="200" w:before="400"/>
      </w:pPr>
      <w:r>
        <w:t xml:space="preserve">7. Arquitectura técnica</w:t>
      </w:r>
    </w:p>
    <w:p>
      <w:pPr>
        <w:spacing w:after="120"/>
      </w:pPr>
      <w:r>
        <w:t xml:space="preserve">Enfoque recomendado: monolito modular sobre una base de datos PostgreSQL compartida. Los clientes (app web y app móvil Android) consumen una API REST/Gateway única, que enruta las solicitudes a los módulos internos (Core, Inventario, Ventas, Compras), cada uno organizado como un paquete independiente dentro del mismo backend (capas controller → service → repository).</w:t>
      </w:r>
    </w:p>
    <w:p>
      <w:pPr>
        <w:spacing w:after="120"/>
      </w:pPr>
      <w:r>
        <w:t xml:space="preserve">Esta separación por capas permite, si el proyecto crece, extraer un módulo a microservicio propio sin rediseñar el modelo de datos.</w:t>
      </w:r>
    </w:p>
    <w:p>
      <w:pPr>
        <w:pStyle w:val="Heading2"/>
        <w:spacing w:after="150" w:before="300"/>
      </w:pPr>
      <w:r>
        <w:t xml:space="preserve">7.1 Stack tecnológico sugerido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F2A4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pct" w:w="70%"/>
            <w:shd w:fill="1F2A4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 recomendada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pct" w:w="7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Kotlin + Spring Boot (o Node.js + NestJS)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pct" w:w="7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web</w:t>
            </w:r>
          </w:p>
        </w:tc>
        <w:tc>
          <w:tcPr>
            <w:tcW w:type="pct" w:w="7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móvil</w:t>
            </w:r>
          </w:p>
        </w:tc>
        <w:tc>
          <w:tcPr>
            <w:tcW w:type="pct" w:w="7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Kotlin / Android nativo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Autenticación</w:t>
            </w:r>
          </w:p>
        </w:tc>
        <w:tc>
          <w:tcPr>
            <w:tcW w:type="pct" w:w="7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OAuth2 / JWT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 de versiones</w:t>
            </w:r>
          </w:p>
        </w:tc>
        <w:tc>
          <w:tcPr>
            <w:tcW w:type="pct" w:w="7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+ GitHub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Contenedores</w:t>
            </w:r>
          </w:p>
        </w:tc>
        <w:tc>
          <w:tcPr>
            <w:tcW w:type="pct" w:w="7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+ Docker Compose (entorno local)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pct" w:w="70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</w:tr>
    </w:tbl>
    <w:p>
      <w:pPr>
        <w:pStyle w:val="Heading1"/>
        <w:spacing w:after="200" w:before="400"/>
      </w:pPr>
      <w:r>
        <w:t xml:space="preserve">8. Checklist de entorno de desarrollo (Sprint 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repositorio Git con estructura de monorepo o multi-repo (backend / frontend / móvil)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Definir convenciones de nombres de ramas y commits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Levantar PostgreSQL con Docker Compose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Configurar proyecto backend (Spring Boot o NestJS) con conexión a base de datos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las migraciones iniciales según el modelo de datos del punto 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Configurar autenticación JWT básica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Configurar pipeline de CI (build + tests) en GitHub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Documentar la API con Swagger/OpenAPI desde el primer endpoint</w:t>
      </w:r>
    </w:p>
    <w:p>
      <w:pPr>
        <w:pStyle w:val="Heading1"/>
        <w:spacing w:after="200" w:before="400"/>
      </w:pPr>
      <w:r>
        <w:t xml:space="preserve">9. Próximos pasos</w:t>
      </w:r>
    </w:p>
    <w:p>
      <w:pPr>
        <w:spacing w:after="120"/>
      </w:pPr>
      <w:r>
        <w:t xml:space="preserve">Con este documento como base, el siguiente paso es iniciar el Sprint 0: configurar el entorno de desarrollo y crear el esqueleto del proyecto backend con el módulo Core (autenticación, usuarios, roles), ya que todos los demás módulos dependen de él.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2026-07-03T00:18:39.577Z</dcterms:created>
  <dcterms:modified xsi:type="dcterms:W3CDTF">2026-07-03T00:18:39.577Z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