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técnicas de Deep Learning,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C6CFB2F"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 xml:space="preserve">Este estudio se propone explorar y validar un enfoque innovador mediante la aplicación del "Swin Transformer", una arquitectura novedosa en el dominio de la </w:t>
      </w:r>
      <w:r w:rsidR="006D01A7">
        <w:rPr>
          <w:rFonts w:eastAsia="Times New Roman" w:cs="Times New Roman"/>
          <w:szCs w:val="24"/>
        </w:rPr>
        <w:t>visión artificial</w:t>
      </w:r>
      <w:r w:rsidRPr="00327E79">
        <w:rPr>
          <w:rFonts w:eastAsia="Times New Roman" w:cs="Times New Roman"/>
          <w:szCs w:val="24"/>
        </w:rPr>
        <w:t>.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2E343B97"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w:t>
      </w:r>
      <w:r w:rsidR="002D1F57">
        <w:rPr>
          <w:rFonts w:eastAsia="Times New Roman" w:cs="Times New Roman"/>
          <w:szCs w:val="24"/>
        </w:rPr>
        <w:t xml:space="preserve">artificial </w:t>
      </w:r>
      <w:r w:rsidRPr="00327E79">
        <w:rPr>
          <w:rFonts w:eastAsia="Times New Roman" w:cs="Times New Roman"/>
          <w:szCs w:val="24"/>
        </w:rPr>
        <w:t xml:space="preserve">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085BB54D"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w:t>
      </w:r>
      <w:r w:rsidR="006D01A7">
        <w:rPr>
          <w:rFonts w:eastAsia="Times New Roman" w:cs="Times New Roman"/>
          <w:szCs w:val="24"/>
        </w:rPr>
        <w:t>visión artificial</w:t>
      </w:r>
      <w:r w:rsidRPr="00327E79">
        <w:rPr>
          <w:rFonts w:eastAsia="Times New Roman" w:cs="Times New Roman"/>
          <w:szCs w:val="24"/>
        </w:rPr>
        <w:t>.</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w:t>
      </w:r>
      <w:r w:rsidR="006A5C5F" w:rsidRPr="00327E79">
        <w:rPr>
          <w:rFonts w:eastAsia="Times New Roman" w:cs="Times New Roman"/>
          <w:szCs w:val="24"/>
        </w:rPr>
        <w:lastRenderedPageBreak/>
        <w:t>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El dataset se construye preprocesando las 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fitoplasmas, virus y viroides (Panno et al., 2021). </w:t>
      </w:r>
      <w:r w:rsidR="00304AC0" w:rsidRPr="007D0995">
        <w:t>Según Corrales Paredes (2021), a nivel mundial existen más de 200 patógenos que afectan a las plantas de tomate.</w:t>
      </w:r>
      <w:r w:rsidR="00304AC0">
        <w:t xml:space="preserve"> Los de mayor importancia son Alternaria solani causante del tizón temprano, Phytophthora infestans causante del tizón tardío, Fusarium oxysporum y Ralstonia solanacearum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solani, la mancha </w:t>
      </w:r>
      <w:r w:rsidR="00410A3C">
        <w:t>foliar por</w:t>
      </w:r>
      <w:r w:rsidR="00516476" w:rsidRPr="00516476">
        <w:t xml:space="preserve"> septoria por Septoria lycopersici, el moho gris por Botrytis cinerea, así como el marchitamiento y </w:t>
      </w:r>
      <w:r w:rsidR="00516476" w:rsidRPr="00516476">
        <w:lastRenderedPageBreak/>
        <w:t>la p</w:t>
      </w:r>
      <w:r w:rsidR="00264511">
        <w:t>utrefacción</w:t>
      </w:r>
      <w:r w:rsidR="00516476" w:rsidRPr="00516476">
        <w:t xml:space="preserve"> de la raíz y la corona causados por Fusarium oxysporum. Además</w:t>
      </w:r>
      <w:r w:rsidR="0027625A">
        <w:t xml:space="preserve"> del</w:t>
      </w:r>
      <w:r w:rsidR="00516476" w:rsidRPr="00516476">
        <w:t xml:space="preserve"> Verticillium dahliae </w:t>
      </w:r>
      <w:r w:rsidR="0027625A">
        <w:t xml:space="preserve">que </w:t>
      </w:r>
      <w:r w:rsidR="00516476" w:rsidRPr="00516476">
        <w:t xml:space="preserve">es el agente causal del marchitamiento </w:t>
      </w:r>
      <w:r w:rsidR="00C71BC7">
        <w:t>por vercitilum</w:t>
      </w:r>
      <w:r w:rsidR="00516476" w:rsidRPr="00516476">
        <w:t>.</w:t>
      </w:r>
    </w:p>
    <w:p w14:paraId="6B174E82" w14:textId="42F2737C" w:rsidR="002F12E8" w:rsidRPr="00516476" w:rsidRDefault="00516476" w:rsidP="00967894">
      <w:pPr>
        <w:ind w:firstLine="360"/>
      </w:pPr>
      <w:r w:rsidRPr="00516476">
        <w:t xml:space="preserve">En cuanto a las enfermedades bacterianas, Clavibacter michiganensis provoca el cancro bacteriano y Pseudomonas syringae causa </w:t>
      </w:r>
      <w:r w:rsidR="00F1673A">
        <w:t xml:space="preserve">la mancha </w:t>
      </w:r>
      <w:r w:rsidRPr="00516476">
        <w:t>bacterian</w:t>
      </w:r>
      <w:r w:rsidR="00F1673A">
        <w:t>a</w:t>
      </w:r>
      <w:r w:rsidRPr="00516476">
        <w:t xml:space="preserve">. Candidatus Phytoplasma solani es responsable de la enfermedad conocida como Stolbur. </w:t>
      </w:r>
      <w:r w:rsidR="00E36BE0" w:rsidRPr="00E36BE0">
        <w:t>Diversos virus, como Tomato spotted wilt virus, Cucumber mosaic virus, Tomato yellow leaf curl virus y Tomato yellow leaf curl Sardinia virus, están asociados con enfermedades como la marchitez manchada del tomate, el rizado amarillo de las hojas y el mosaico del tomate.</w:t>
      </w:r>
      <w:r w:rsidR="00967894">
        <w:t xml:space="preserve"> </w:t>
      </w:r>
      <w:r w:rsidRPr="00516476">
        <w:t>Viroides como Potato spindle tuber viroid causan el síndrome de crecimiento excesivo o "bunchy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Xanthomonas y moteado originado por Pseudomonas tomato. Asimismo, en estas regiones, se registran virus como Tomato yellow curl virus (TYLCV) transmitidos por </w:t>
      </w:r>
      <w:r w:rsidR="00355E0E">
        <w:t xml:space="preserve">la mosca </w:t>
      </w:r>
      <w:r w:rsidRPr="00695A8B">
        <w:t xml:space="preserve">Bemisia tabaci. En contextos tropicales húmedos, el marchitamiento bacteriano generado por Ralstonia solanacearum es común. En regiones tanto templadas como tropicales, Tomato spotted wilt virus (TSWV) y Pepino mosaic virus (PepMV) impactan en el cultivo de tomates. </w:t>
      </w:r>
      <w:r w:rsidR="00124A24" w:rsidRPr="00695A8B">
        <w:t>Con relación a</w:t>
      </w:r>
      <w:r w:rsidRPr="00695A8B">
        <w:t xml:space="preserve"> las enfermedades fúngicas, se registran patologías causadas por Phytophthora infestans, Alternaria tomatophila, Verticillium dahliae y Fusarium oxysporum</w:t>
      </w:r>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(Panno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la mancha foliar por septoria</w:t>
      </w:r>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v</w:t>
      </w:r>
      <w:r w:rsidRPr="00DC22AF">
        <w:t xml:space="preserve">erticillium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Stolbur phytoplasma, Tomato yellow leaf curl virus y Tomato brown rugose fruit virus presentan síntomas como amarilleamiento y atrofia o escasez de hojas.</w:t>
      </w:r>
    </w:p>
    <w:p w14:paraId="5CF5FA56" w14:textId="7526BF11" w:rsidR="00DC22AF" w:rsidRPr="00DC22AF" w:rsidRDefault="00DC22AF" w:rsidP="001E429B">
      <w:pPr>
        <w:ind w:firstLine="720"/>
      </w:pPr>
      <w:r w:rsidRPr="00DC22AF">
        <w:t xml:space="preserve">Tomato spotted wilt virus, Parietaria mottle virus y Cucumber mosaic virus incluyen síntomas de deformación foliar y lesiones necróticas. Tomato mosaic virus y Pepino mosaic virus se caracterizan por síntomas como moteado de hojas y deformación de los frutos. Potato spindle </w:t>
      </w:r>
      <w:r w:rsidRPr="00DC22AF">
        <w:lastRenderedPageBreak/>
        <w:t>tuber viroid manifiesta una variedad de síntomas, incluyendo retraso del crecimiento y deformidad de los frutos</w:t>
      </w:r>
      <w:r w:rsidR="001E429B">
        <w:t xml:space="preserve"> (</w:t>
      </w:r>
      <w:r w:rsidR="001E429B" w:rsidRPr="006E202F">
        <w:t>Panno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(Blancard, 2011</w:t>
      </w:r>
      <w:r w:rsidR="009A32C1">
        <w:t xml:space="preserve">; </w:t>
      </w:r>
      <w:r w:rsidR="009A32C1" w:rsidRPr="00D86D4A">
        <w:t>Thangaraj et al., 2022; Garcia,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(Garcia,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r w:rsidRPr="00E856B3">
        <w:t>food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r w:rsidR="00E579DB" w:rsidRPr="00E579DB">
        <w:rPr>
          <w:rFonts w:eastAsia="Times New Roman" w:cs="Times New Roman"/>
          <w:szCs w:val="24"/>
        </w:rPr>
        <w:lastRenderedPageBreak/>
        <w:t>biovigilancia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5D2BE179"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 xml:space="preserve">Visión artificial, también conocida como </w:t>
      </w:r>
      <w:r w:rsidR="006D01A7">
        <w:rPr>
          <w:rFonts w:eastAsia="Times New Roman" w:cs="Times New Roman"/>
          <w:szCs w:val="24"/>
        </w:rPr>
        <w:t>visión artificial</w:t>
      </w:r>
      <w:r w:rsidRPr="00F936E1">
        <w:rPr>
          <w:rFonts w:eastAsia="Times New Roman" w:cs="Times New Roman"/>
          <w:szCs w:val="24"/>
        </w:rPr>
        <w:t>,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(Xu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(Mahadevkar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 son esenciales en diversos dominios científicos e ingenieriles que necesitan la captura, tratamiento y transferencia de datos visuales</w:t>
      </w:r>
      <w:r w:rsidR="00D42904">
        <w:t xml:space="preserve"> </w:t>
      </w:r>
      <w:r w:rsidR="00D42904" w:rsidRPr="00D42904">
        <w:t>(Vocaturo,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k-nearest neighbor y algoritmos de random forest. Estas técnicas permiten extraer características de las imágenes para posteriormente entrenar un modelo capaz de predecir la clase a la que pertenece una nueva imagen (Sanghvi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r w:rsidRPr="00343C2C">
        <w:rPr>
          <w:rFonts w:eastAsia="Times New Roman" w:cs="Times New Roman"/>
          <w:szCs w:val="24"/>
        </w:rPr>
        <w:t xml:space="preserve">learning </w:t>
      </w:r>
      <w:r>
        <w:rPr>
          <w:rFonts w:eastAsia="Times New Roman" w:cs="Times New Roman"/>
          <w:szCs w:val="24"/>
        </w:rPr>
        <w:t xml:space="preserve">y el Deep </w:t>
      </w:r>
      <w:r w:rsidRPr="00343C2C">
        <w:rPr>
          <w:rFonts w:eastAsia="Times New Roman" w:cs="Times New Roman"/>
          <w:szCs w:val="24"/>
        </w:rPr>
        <w:t xml:space="preserve">learning. </w:t>
      </w:r>
      <w:r w:rsidR="007C1024" w:rsidRPr="00343C2C">
        <w:rPr>
          <w:rFonts w:eastAsia="Times New Roman" w:cs="Times New Roman"/>
          <w:szCs w:val="24"/>
        </w:rPr>
        <w:t xml:space="preserve">El </w:t>
      </w:r>
      <w:r w:rsidR="007C1024">
        <w:rPr>
          <w:rFonts w:eastAsia="Times New Roman" w:cs="Times New Roman"/>
          <w:szCs w:val="24"/>
        </w:rPr>
        <w:t>machine learning</w:t>
      </w:r>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k-nearest neighbors, Bayesian classification, logistic regression, support vector machines, Decision trees y </w:t>
      </w:r>
      <w:r w:rsidR="00641867">
        <w:rPr>
          <w:rFonts w:eastAsia="Times New Roman" w:cs="Times New Roman"/>
          <w:szCs w:val="24"/>
        </w:rPr>
        <w:t xml:space="preserve">random </w:t>
      </w:r>
      <w:r w:rsidR="00557D13" w:rsidRPr="00557D13">
        <w:rPr>
          <w:rFonts w:eastAsia="Times New Roman" w:cs="Times New Roman"/>
          <w:szCs w:val="24"/>
        </w:rPr>
        <w:t>forests, entre otros (Szeliski, 2020). Estos algoritmos son versátiles y encuentran aplicación en tareas de aprendizaje supervisado, no supervisado y de refuerzo.</w:t>
      </w:r>
    </w:p>
    <w:p w14:paraId="790CAB87" w14:textId="7A929807"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redes neuronales profundas o deep learning</w:t>
      </w:r>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machine learning</w:t>
      </w:r>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(Mahadevkar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mejor metodo</w:t>
      </w:r>
      <w:r w:rsidRPr="00122EBC">
        <w:rPr>
          <w:rFonts w:eastAsia="Times New Roman" w:cs="Times New Roman"/>
          <w:szCs w:val="24"/>
        </w:rPr>
        <w:t xml:space="preserve"> para una amplia gama de tareas en </w:t>
      </w:r>
      <w:r w:rsidR="006D01A7">
        <w:rPr>
          <w:rFonts w:eastAsia="Times New Roman" w:cs="Times New Roman"/>
          <w:szCs w:val="24"/>
        </w:rPr>
        <w:t>visión artificial</w:t>
      </w:r>
      <w:r w:rsidRPr="00122EBC">
        <w:rPr>
          <w:rFonts w:eastAsia="Times New Roman" w:cs="Times New Roman"/>
          <w:szCs w:val="24"/>
        </w:rPr>
        <w:t xml:space="preserve"> en la última década. Szeliski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machine learning como el Deep learning</w:t>
      </w:r>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(Ouhami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basadas en machine learning,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n el caso del deep learning,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"AlexNet"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r w:rsidR="00D61160" w:rsidRPr="00D704DD">
        <w:rPr>
          <w:rFonts w:eastAsia="Times New Roman" w:cs="Times New Roman"/>
          <w:szCs w:val="24"/>
        </w:rPr>
        <w:t>Szeliski 2020</w:t>
      </w:r>
      <w:r w:rsidR="00D61160">
        <w:rPr>
          <w:rFonts w:eastAsia="Times New Roman" w:cs="Times New Roman"/>
          <w:szCs w:val="24"/>
        </w:rPr>
        <w:t xml:space="preserve">; </w:t>
      </w:r>
      <w:r w:rsidR="00D61160" w:rsidRPr="00E316D9">
        <w:rPr>
          <w:rFonts w:eastAsia="Times New Roman" w:cs="Times New Roman"/>
          <w:szCs w:val="24"/>
        </w:rPr>
        <w:t>Shorten &amp; Khoshgoftaar,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Deep learning</w:t>
      </w:r>
    </w:p>
    <w:p w14:paraId="5DA201A9" w14:textId="7DECE910" w:rsidR="00876625" w:rsidRPr="00876625" w:rsidRDefault="00876625" w:rsidP="00876625">
      <w:pPr>
        <w:ind w:firstLine="720"/>
      </w:pPr>
      <w:r w:rsidRPr="00876625">
        <w:t xml:space="preserve">El enfoque de deep learning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neuronales profundas proporcionan </w:t>
      </w:r>
      <w:r>
        <w:t>esta</w:t>
      </w:r>
      <w:r w:rsidRPr="00876625">
        <w:t xml:space="preserve"> arquitectura de cómputo uniforme y diferenciable (Szeliski, 2020).</w:t>
      </w:r>
    </w:p>
    <w:p w14:paraId="48572C2B" w14:textId="4425D1B8" w:rsidR="008555F6" w:rsidRDefault="00453CE4" w:rsidP="008555F6">
      <w:pPr>
        <w:ind w:firstLine="720"/>
      </w:pPr>
      <w:r>
        <w:lastRenderedPageBreak/>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(Szeliski, 2020).</w:t>
      </w:r>
    </w:p>
    <w:p w14:paraId="031E741E" w14:textId="773CE619" w:rsidR="00876625" w:rsidRDefault="00876625" w:rsidP="008D0024">
      <w:pPr>
        <w:ind w:firstLine="360"/>
      </w:pPr>
      <w:r w:rsidRPr="00876625">
        <w:t>Comparado con otras técnicas de aprendizaje automático que generalmente dependen de varias etapas de preprocesamiento para extraer características, los enfoques de deep learning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(Szeliski, 2020)</w:t>
      </w:r>
      <w:r w:rsidR="00A5287F">
        <w:t>.</w:t>
      </w:r>
    </w:p>
    <w:p w14:paraId="3E04C6C2" w14:textId="63A52D69" w:rsidR="00C5520B" w:rsidRPr="00876625" w:rsidRDefault="00C5520B" w:rsidP="00C5520B">
      <w:pPr>
        <w:ind w:firstLine="360"/>
      </w:pPr>
      <w:r w:rsidRPr="00C5520B">
        <w:t xml:space="preserve">Diversos modelos de aprendizaje profundo se emplean en la clasificación de imágenes en visión artificial. Entre estos, las redes neuronales convolucionales (CNN) son las más comunes y han mostrado un rendimiento destacado en tareas de clasificación de imágenes (Shah &amp; Harpale, 2018). Modelos bayesianos de aprendizaje profundo también se han utilizado en estas tareas y son capaces de modelar tanto incertidumbres aleatorias como epistémicas (Szeliski, 2020). Los Vision Transformers (ViT) representan una arquitectura más reciente basada en transformadores, utilizada en tareas de </w:t>
      </w:r>
      <w:r w:rsidR="006D01A7">
        <w:t>visión artificial</w:t>
      </w:r>
      <w:r w:rsidRPr="00C5520B">
        <w:t>. Estos modelos han emergido como alternativas competitivas a las CNN, especialmente en su capacidad para manejar dependencias a largo plazo, y se han aplicado en tareas como la clasificación, segmentación de imágenes y detección de objetos (Amjoud &amp; Amrouch,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(O’Shea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(O’Shea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r w:rsidRPr="00892AF5">
        <w:rPr>
          <w:rFonts w:eastAsia="Times New Roman" w:cs="Times New Roman"/>
          <w:szCs w:val="24"/>
        </w:rPr>
        <w:t xml:space="preserve">Szeliski (2020) describe que,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kernel. Los pesos dentro de un kernel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retropropagación, las actualizaciones del peso del kernel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Las CNN se han convertido en una técnica dominante en el campo de la clasificación de imágenes, detección de objetos, segmentación semántica e identificación de enfermedades de las plantas (Xiao et al., 2022; Nanehkaran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r w:rsidR="001A1483">
        <w:rPr>
          <w:rFonts w:eastAsia="Times New Roman" w:cs="Times New Roman"/>
          <w:szCs w:val="24"/>
        </w:rPr>
        <w:t>Naives Bayes, Linear Regression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Sin embargo, aunque las CNN son eficientes para el procesamiento de imágenes, presentan ciertas limitaciones. Una de estas limitaciones, según Szeliski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5CC0CCD" w14:textId="2DE37E4F" w:rsidR="008518C7" w:rsidRPr="00D92727" w:rsidRDefault="001A080D" w:rsidP="00D92727">
      <w:pPr>
        <w:spacing w:before="240" w:after="0"/>
        <w:ind w:firstLine="720"/>
      </w:pPr>
      <w:r w:rsidRPr="001A080D">
        <w:t xml:space="preserve">En este contexto, los Vision Transformers (ViTs) emergen como una solución que aborda estas limitaciones. Inicialmente desarrollados para aplicaciones en procesamiento de lenguaje natural, los ViTs adaptan la arquitectura de los transformers para tareas de visión computacional. A diferencia de las CNN, que operan con un sesgo de localidad espacial, los ViTs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(Szeliski, 2020; Jamil et al., 2023)."</w:t>
      </w:r>
    </w:p>
    <w:p w14:paraId="5963D769" w14:textId="417FDC92" w:rsidR="00A666C5" w:rsidRDefault="00A666C5" w:rsidP="00892F6C">
      <w:pPr>
        <w:pStyle w:val="Ttulo2"/>
      </w:pPr>
      <w:r>
        <w:t>Vision Transformer</w:t>
      </w:r>
    </w:p>
    <w:p w14:paraId="1310352E" w14:textId="00C93C8E" w:rsidR="00B55F62" w:rsidRPr="00B55F62" w:rsidRDefault="00B55F62" w:rsidP="00B55F62">
      <w:pPr>
        <w:spacing w:before="240" w:after="0"/>
        <w:ind w:firstLine="360"/>
      </w:pPr>
      <w:r w:rsidRPr="00B55F62">
        <w:t>Las arquitecturas de Vision Transformer (ViTs) se han destacado en tareas de clasificación de imágenes, estableciendo un nuevo estado del arte en benchmarks como ImageNet (Papers With Code, 2023). Estos modelos adaptan la arquitectura de transformers, que fueron inicialmente diseñados para aplicaciones en procesamiento de lenguaje natural, a tareas de visión</w:t>
      </w:r>
      <w:r w:rsidR="00412EA0">
        <w:t xml:space="preserve"> artificial</w:t>
      </w:r>
      <w:r w:rsidRPr="00B55F62">
        <w:t>. La metodología central consiste en dividir una imagen en parches, aplanarlos y procesarlos a través de capas de transformers para captar relaciones de largo alcance en la imagen (Alexey Dosovitskiy et al., 2020).</w:t>
      </w:r>
    </w:p>
    <w:p w14:paraId="2F3FDD95" w14:textId="77777777" w:rsidR="008C6899" w:rsidRPr="008C6899" w:rsidRDefault="008C6899" w:rsidP="008C6899">
      <w:pPr>
        <w:spacing w:before="240" w:after="0"/>
        <w:ind w:firstLine="360"/>
      </w:pPr>
      <w:r w:rsidRPr="008C6899">
        <w:t>Según Szeliski (2020), el componente fundamental de un transformer es el mecanismo de auto-atención, que se forma a partir de aplicar atención a cada una de las N activaciones unitarias en una capa determinada de la red. La operación de auto-atención produce un conjunto de vectores de salida basados en todas las entradas. Esto se diferencia de las capas completamente conectadas y convolucionales, donde los pesos son fijos y se aplica una atención más localizada.</w:t>
      </w:r>
    </w:p>
    <w:p w14:paraId="10F3C54B" w14:textId="6422F880" w:rsidR="005552EE" w:rsidRDefault="008C6899" w:rsidP="009A3051">
      <w:pPr>
        <w:spacing w:before="240" w:after="0"/>
        <w:ind w:firstLine="360"/>
      </w:pPr>
      <w:r w:rsidRPr="008C6899">
        <w:t xml:space="preserve">La atención se calcula utilizando la atención de producto escalar, en la que se realiza el producto escalar entre vectores de </w:t>
      </w:r>
      <w:r w:rsidR="000B5174">
        <w:t>query</w:t>
      </w:r>
      <w:r w:rsidRPr="008C6899">
        <w:t xml:space="preserve"> y </w:t>
      </w:r>
      <w:r w:rsidR="000B5174">
        <w:t>key</w:t>
      </w:r>
      <w:r w:rsidRPr="008C6899">
        <w:t>, se escala según la raíz cuadrada de la dimensión de estos vectores y finalmente se aplica la función softmax.</w:t>
      </w:r>
      <w:r w:rsidR="009A3051">
        <w:t xml:space="preserve"> </w:t>
      </w:r>
      <w:r w:rsidR="000B5174" w:rsidRPr="000B5174">
        <w:t>El bloque de transformer se compone tanto de un bloque de encoder como de un bloque de decoder, aunque ambos comparten muchos de los mismos componentes. En muchas aplicaciones, el encoder puede utilizarse sin el decoder y viceversa.</w:t>
      </w:r>
      <w:r w:rsidR="009A3051">
        <w:t xml:space="preserve"> </w:t>
      </w:r>
      <w:r w:rsidR="00247A1F" w:rsidRPr="00247A1F">
        <w:t xml:space="preserve">Durante la fase de entrenamiento, una diferencia significativa en el bloque de decoder es el enmascaramiento de algunos de los vectores de entrada a la auto-atención. Este </w:t>
      </w:r>
      <w:r w:rsidR="00247A1F" w:rsidRPr="00247A1F">
        <w:lastRenderedPageBreak/>
        <w:t>enmascaramiento permite el entrenamiento paralelo en tareas de predicción autorregresiva, optimizando la eficiencia computacional</w:t>
      </w:r>
      <w:r w:rsidR="009A3051">
        <w:t xml:space="preserve"> </w:t>
      </w:r>
      <w:r w:rsidR="009A3051" w:rsidRPr="001A080D">
        <w:t>(Szeliski, 2020</w:t>
      </w:r>
      <w:r w:rsidR="009A3051">
        <w:t>)</w:t>
      </w:r>
      <w:r w:rsidR="00247A1F" w:rsidRPr="00247A1F">
        <w:t>.</w:t>
      </w:r>
    </w:p>
    <w:p w14:paraId="0DB754A7" w14:textId="77777777" w:rsidR="00D10C20" w:rsidRDefault="005552EE" w:rsidP="00A00523">
      <w:pPr>
        <w:spacing w:before="240" w:after="0"/>
        <w:ind w:firstLine="360"/>
      </w:pPr>
      <w:r w:rsidRPr="005552EE">
        <w:t xml:space="preserve">Los ViTs son capaces de considerar toda la secuencia de entrada simultáneamente, lo que permite una atención más globalizada de la imagen. Esto </w:t>
      </w:r>
      <w:r w:rsidR="00FE064C" w:rsidRPr="005552EE">
        <w:t>los</w:t>
      </w:r>
      <w:r w:rsidRPr="005552EE">
        <w:t xml:space="preserve"> ha llevado a superar a las CNN en diversas evaluaciones de referencia en el ámbito de la visión computacional (Szeliski, 2020; Jamil et al., 2023).</w:t>
      </w:r>
      <w:r w:rsidR="00D7094D">
        <w:t xml:space="preserve"> </w:t>
      </w:r>
    </w:p>
    <w:p w14:paraId="2A9D6043" w14:textId="60C5576A" w:rsidR="00A00523" w:rsidRDefault="00D7094D" w:rsidP="00A00523">
      <w:pPr>
        <w:spacing w:before="240" w:after="0"/>
        <w:ind w:firstLine="360"/>
      </w:pPr>
      <w:r>
        <w:t xml:space="preserve">Sin </w:t>
      </w:r>
      <w:r w:rsidR="00A00523">
        <w:t>embargo,</w:t>
      </w:r>
      <w:r w:rsidR="00902ECF">
        <w:t xml:space="preserve"> </w:t>
      </w:r>
      <w:r w:rsidR="00902ECF" w:rsidRPr="00902ECF">
        <w:t>los ViT tienen ciertas limitaciones</w:t>
      </w:r>
      <w:r w:rsidR="00A00523">
        <w:t>, u</w:t>
      </w:r>
      <w:r w:rsidR="00313B8A" w:rsidRPr="00313B8A">
        <w:t xml:space="preserve">na de las principales dificultades de aplicar transformers al dominio de las imágenes radica en el tamaño de la entrada de imagen. En términos de complejidad computacional, el número de operaciones en punto flotante (FLOPs) necesarias para la auto-atención es del orden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00313B8A" w:rsidRPr="00313B8A">
        <w:t>, dond</w:t>
      </w:r>
      <w:r w:rsidR="002117CB">
        <w:t xml:space="preserve">e N </w:t>
      </w:r>
      <w:r w:rsidR="00313B8A" w:rsidRPr="00313B8A">
        <w:t xml:space="preserve">es la longitud de la entrada y </w:t>
      </w:r>
      <w:r w:rsidR="002117CB" w:rsidRPr="002117CB">
        <w:t xml:space="preserve">D es </w:t>
      </w:r>
      <w:r w:rsidR="00313B8A" w:rsidRPr="00313B8A">
        <w:t xml:space="preserve">el número de dimensiones de cada entrada. En comparación, las FLOPs para una operación de convolución es del orden de </w:t>
      </w:r>
      <m:oMath>
        <m: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4077DC">
        <w:t xml:space="preserve"> </w:t>
      </w:r>
      <w:r w:rsidR="00313B8A" w:rsidRPr="00313B8A">
        <w:t>do</w:t>
      </w:r>
      <w:r w:rsidR="004077DC">
        <w:t>nde K repr</w:t>
      </w:r>
      <w:r w:rsidR="00313B8A" w:rsidRPr="00313B8A">
        <w:t>esenta el tamaño del núcleo de la convolución</w:t>
      </w:r>
      <w:r w:rsidR="00C37CA7">
        <w:t xml:space="preserve">. </w:t>
      </w:r>
      <w:r w:rsidR="00C37CA7" w:rsidRPr="00C37CA7">
        <w:t>En este caso, la operación de convolución resulta significativamente más eficiente en términos de FLOPs que la auto-atención.</w:t>
      </w:r>
      <w:r w:rsidR="00313B8A" w:rsidRPr="00313B8A">
        <w:t xml:space="preserve"> (Szeliski, 2020).</w:t>
      </w:r>
      <w:r w:rsidR="00A00523">
        <w:t xml:space="preserve"> </w:t>
      </w:r>
    </w:p>
    <w:p w14:paraId="39D62D98" w14:textId="332AA92B" w:rsidR="00A00523" w:rsidRPr="00A00523" w:rsidRDefault="00A00523" w:rsidP="00A00523">
      <w:pPr>
        <w:spacing w:before="240" w:after="0"/>
        <w:ind w:firstLine="360"/>
      </w:pPr>
      <w:r w:rsidRPr="00A00523">
        <w:t>Estas limitaciones hacen que los Vision Transformers requieran grandes cantidades de datos y recursos computacionales para el entrenamiento desde cero. Además, la eficiencia computacional de la atención global utilizada en los ViTs puede no ser óptima, especialmente para imágenes de alta resolución (Alexey Dosovitskiy et al., 2020; Touvron et al., 2021).</w:t>
      </w:r>
      <w:r>
        <w:t xml:space="preserve"> </w:t>
      </w:r>
      <w:r w:rsidRPr="00A00523">
        <w:t xml:space="preserve">Esta problemática conduce a la búsqueda de alternativas más eficientes, como </w:t>
      </w:r>
      <w:r w:rsidR="00CB6051">
        <w:t xml:space="preserve">la arquitectura </w:t>
      </w:r>
      <w:r w:rsidRPr="00A00523">
        <w:t>Swin Transformer</w:t>
      </w:r>
      <w:r>
        <w:t>.</w:t>
      </w:r>
    </w:p>
    <w:p w14:paraId="05DB3C05" w14:textId="68A00140" w:rsidR="00313B8A" w:rsidRDefault="00313B8A" w:rsidP="00313B8A">
      <w:pPr>
        <w:spacing w:before="240" w:after="0"/>
        <w:ind w:firstLine="360"/>
      </w:pPr>
    </w:p>
    <w:p w14:paraId="6A4CAC86" w14:textId="77777777" w:rsidR="005C39B0" w:rsidRDefault="005C39B0" w:rsidP="006742E0">
      <w:pPr>
        <w:spacing w:before="240" w:after="0"/>
        <w:jc w:val="center"/>
      </w:pPr>
    </w:p>
    <w:p w14:paraId="70F5ED4B" w14:textId="363D5758"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r w:rsidRPr="00327E79">
        <w:rPr>
          <w:rFonts w:eastAsia="Times New Roman" w:cs="Times New Roman"/>
          <w:b/>
          <w:szCs w:val="24"/>
          <w:lang w:val="en-US"/>
        </w:rPr>
        <w:t>Figur</w:t>
      </w:r>
      <w:r w:rsidR="007469DF">
        <w:rPr>
          <w:rFonts w:eastAsia="Times New Roman" w:cs="Times New Roman"/>
          <w:b/>
          <w:szCs w:val="24"/>
          <w:lang w:val="en-US"/>
        </w:rPr>
        <w:t>a</w:t>
      </w:r>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Dosovitskiy et al., 2020)</w:t>
      </w:r>
    </w:p>
    <w:p w14:paraId="76DF5612" w14:textId="77777777" w:rsidR="006742E0" w:rsidRPr="006742E0" w:rsidRDefault="006742E0" w:rsidP="00787326">
      <w:pPr>
        <w:ind w:firstLine="720"/>
        <w:rPr>
          <w:lang w:val="en-US"/>
        </w:rPr>
      </w:pPr>
    </w:p>
    <w:p w14:paraId="76876CB4" w14:textId="42F63B91" w:rsidR="00EB01BA" w:rsidRDefault="00EB01BA" w:rsidP="00892F6C">
      <w:pPr>
        <w:pStyle w:val="Ttulo2"/>
      </w:pPr>
      <w:r w:rsidRPr="00327E79">
        <w:t>Swin Transformer</w:t>
      </w:r>
    </w:p>
    <w:p w14:paraId="5403DFAF" w14:textId="6B74F793" w:rsidR="00CF7A71" w:rsidRPr="006742E0" w:rsidRDefault="00EB01BA" w:rsidP="00CF7A71">
      <w:pPr>
        <w:spacing w:before="240" w:after="0"/>
        <w:ind w:firstLine="720"/>
        <w:rPr>
          <w:rFonts w:eastAsia="Times New Roman" w:cs="Times New Roman"/>
          <w:szCs w:val="24"/>
        </w:rPr>
      </w:pPr>
      <w:r w:rsidRPr="00327E79">
        <w:rPr>
          <w:rFonts w:eastAsia="Times New Roman" w:cs="Times New Roman"/>
          <w:szCs w:val="24"/>
        </w:rPr>
        <w:t xml:space="preserve">Swin Transformer, </w:t>
      </w:r>
      <w:r w:rsidR="00DA0B05">
        <w:rPr>
          <w:rFonts w:eastAsia="Times New Roman" w:cs="Times New Roman"/>
          <w:szCs w:val="24"/>
        </w:rPr>
        <w:t>(</w:t>
      </w:r>
      <w:r w:rsidRPr="00327E79">
        <w:rPr>
          <w:rFonts w:eastAsia="Times New Roman" w:cs="Times New Roman"/>
          <w:szCs w:val="24"/>
        </w:rPr>
        <w:t>Shifted Window Transformer</w:t>
      </w:r>
      <w:r w:rsidR="00DA0B05">
        <w:rPr>
          <w:rFonts w:eastAsia="Times New Roman" w:cs="Times New Roman"/>
          <w:szCs w:val="24"/>
        </w:rPr>
        <w:t>)</w:t>
      </w:r>
      <w:r w:rsidRPr="00327E79">
        <w:rPr>
          <w:rFonts w:eastAsia="Times New Roman" w:cs="Times New Roman"/>
          <w:szCs w:val="24"/>
        </w:rPr>
        <w:t>, introduce una arquitectura innovadora que aborda las limitaciones de los ViTs y las CNN.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sidR="00CF7A71">
        <w:rPr>
          <w:rFonts w:eastAsia="Times New Roman" w:cs="Times New Roman"/>
          <w:szCs w:val="24"/>
        </w:rPr>
        <w:t xml:space="preserve">. </w:t>
      </w:r>
      <w:r w:rsidR="00CF7A71" w:rsidRPr="00CF7A71">
        <w:rPr>
          <w:rFonts w:eastAsia="Times New Roman" w:cs="Times New Roman"/>
          <w:szCs w:val="24"/>
        </w:rPr>
        <w:t>Swin Transformer tiene una complejidad computacional lineal con respecto al tamaño de la imagen y es compatible con una amplia gama de tareas de visión, como la clasificación de imágenes, la detección de objetos y la segmentación semántica</w:t>
      </w:r>
      <w:r w:rsidR="00CF7A71">
        <w:rPr>
          <w:rFonts w:eastAsia="Times New Roman" w:cs="Times New Roman"/>
          <w:szCs w:val="24"/>
        </w:rPr>
        <w:t xml:space="preserve"> </w:t>
      </w:r>
      <w:r w:rsidR="00CF7A71" w:rsidRPr="0010238F">
        <w:rPr>
          <w:rFonts w:eastAsia="Times New Roman" w:cs="Times New Roman"/>
          <w:szCs w:val="24"/>
        </w:rPr>
        <w:t>(Liu et al., 2021)</w:t>
      </w:r>
      <w:r w:rsidR="00CF7A71" w:rsidRPr="00CF7A71">
        <w:rPr>
          <w:rFonts w:eastAsia="Times New Roman" w:cs="Times New Roman"/>
          <w:szCs w:val="24"/>
        </w:rPr>
        <w:t>.</w:t>
      </w:r>
    </w:p>
    <w:p w14:paraId="3A509D35" w14:textId="274B432D" w:rsidR="00EB01BA" w:rsidRPr="00327E79" w:rsidRDefault="00DC53FC" w:rsidP="006F5631">
      <w:pPr>
        <w:pStyle w:val="Ttulo3"/>
        <w:rPr>
          <w:lang w:val="en-US"/>
        </w:rPr>
      </w:pPr>
      <w:r w:rsidRPr="00DC53FC">
        <w:lastRenderedPageBreak/>
        <w:t>Arquitectura</w:t>
      </w:r>
      <w:r>
        <w:rPr>
          <w:lang w:val="en-US"/>
        </w:rPr>
        <w:t xml:space="preserve"> de</w:t>
      </w:r>
      <w:r w:rsidR="00EB01BA" w:rsidRPr="00327E79">
        <w:rPr>
          <w:lang w:val="en-US"/>
        </w:rPr>
        <w:t xml:space="preserve"> Swin Transformer</w:t>
      </w:r>
    </w:p>
    <w:p w14:paraId="76C3BC19" w14:textId="2E51DB3C" w:rsidR="00EB01BA" w:rsidRPr="00AB52BA" w:rsidRDefault="0078091A" w:rsidP="00EB01BA">
      <w:pPr>
        <w:spacing w:before="240" w:after="0"/>
        <w:ind w:firstLine="720"/>
        <w:rPr>
          <w:rFonts w:eastAsia="Times New Roman" w:cs="Times New Roman"/>
          <w:szCs w:val="24"/>
        </w:rPr>
      </w:pPr>
      <w:r w:rsidRPr="00DA64EA">
        <w:rPr>
          <w:rFonts w:eastAsia="Times New Roman" w:cs="Times New Roman"/>
          <w:szCs w:val="24"/>
        </w:rPr>
        <w:t>Swin Transformer, aborda las limitaciones de los ViT introduciendo dos conceptos clave: ventanas deslizantes y estructura piramidal.</w:t>
      </w:r>
      <w:r w:rsidR="00200AC6">
        <w:rPr>
          <w:rFonts w:eastAsia="Times New Roman" w:cs="Times New Roman"/>
          <w:szCs w:val="24"/>
        </w:rPr>
        <w:t xml:space="preserve"> </w:t>
      </w:r>
      <w:r w:rsidR="00EB01BA" w:rsidRPr="00DA64EA">
        <w:rPr>
          <w:rFonts w:eastAsia="Times New Roman" w:cs="Times New Roman"/>
          <w:szCs w:val="24"/>
        </w:rPr>
        <w:t xml:space="preserve">Swin Transformer, </w:t>
      </w:r>
      <w:r w:rsidR="00DA64EA" w:rsidRPr="00DA64EA">
        <w:rPr>
          <w:rFonts w:eastAsia="Times New Roman" w:cs="Times New Roman"/>
          <w:szCs w:val="24"/>
        </w:rPr>
        <w:t>al igual que otros</w:t>
      </w:r>
      <w:r w:rsidR="00DA64EA">
        <w:rPr>
          <w:rFonts w:eastAsia="Times New Roman" w:cs="Times New Roman"/>
          <w:szCs w:val="24"/>
        </w:rPr>
        <w:t xml:space="preserve"> </w:t>
      </w:r>
      <w:r w:rsidR="00EB01BA" w:rsidRPr="00DA64EA">
        <w:rPr>
          <w:rFonts w:eastAsia="Times New Roman" w:cs="Times New Roman"/>
          <w:szCs w:val="24"/>
        </w:rPr>
        <w:t xml:space="preserve">Vision Transformers (ViT), </w:t>
      </w:r>
      <w:r w:rsidR="00DA64EA" w:rsidRPr="00DA64EA">
        <w:rPr>
          <w:rFonts w:eastAsia="Times New Roman" w:cs="Times New Roman"/>
          <w:szCs w:val="24"/>
        </w:rPr>
        <w:t>comienza dividiendo una imagen en parches no solapados mediante un módulo de división. Cada parche se considera un "token" y su característica se establece concatenando los valores RGB de los píxeles en bruto</w:t>
      </w:r>
      <w:r w:rsidR="00EB01BA" w:rsidRPr="00AB52BA">
        <w:rPr>
          <w:rFonts w:eastAsia="Times New Roman" w:cs="Times New Roman"/>
          <w:szCs w:val="24"/>
        </w:rPr>
        <w:t>.</w:t>
      </w:r>
      <w:r w:rsidR="00AB52BA" w:rsidRPr="00AB52BA">
        <w:rPr>
          <w:rFonts w:eastAsia="Times New Roman" w:cs="Times New Roman"/>
          <w:szCs w:val="24"/>
        </w:rPr>
        <w:t xml:space="preserve"> En la aplicación de Swin Transformer, se utiliza un tamaño de parche de 4x4, lo que da como resultado una dimensión de característica de 48 (4 × 4 × 3). Estas características se proyectan posteriormente a una dimensión arbitraria (deno</w:t>
      </w:r>
      <w:r w:rsidR="00AB52BA">
        <w:rPr>
          <w:rFonts w:eastAsia="Times New Roman" w:cs="Times New Roman"/>
          <w:szCs w:val="24"/>
        </w:rPr>
        <w:t>tada como</w:t>
      </w:r>
      <w:r w:rsidR="00AB52BA" w:rsidRPr="00AB52BA">
        <w:rPr>
          <w:rFonts w:eastAsia="Times New Roman" w:cs="Times New Roman"/>
          <w:szCs w:val="24"/>
        </w:rPr>
        <w:t xml:space="preserve"> C) mediante una capa de </w:t>
      </w:r>
      <w:r w:rsidR="00AB52BA">
        <w:rPr>
          <w:rFonts w:eastAsia="Times New Roman" w:cs="Times New Roman"/>
          <w:szCs w:val="24"/>
        </w:rPr>
        <w:t xml:space="preserve">embedding </w:t>
      </w:r>
      <w:r w:rsidR="00AB52BA" w:rsidRPr="00AB52BA">
        <w:rPr>
          <w:rFonts w:eastAsia="Times New Roman" w:cs="Times New Roman"/>
          <w:szCs w:val="24"/>
        </w:rPr>
        <w:t>lineal.</w:t>
      </w:r>
    </w:p>
    <w:p w14:paraId="34CCE95B" w14:textId="06129A2D" w:rsidR="00F65E09" w:rsidRPr="00696D01" w:rsidRDefault="00696D01" w:rsidP="00F65E09">
      <w:pPr>
        <w:spacing w:before="240" w:after="0"/>
        <w:ind w:firstLine="720"/>
        <w:rPr>
          <w:rFonts w:eastAsia="Times New Roman" w:cs="Times New Roman"/>
          <w:szCs w:val="24"/>
        </w:rPr>
      </w:pPr>
      <w:r w:rsidRPr="00696D01">
        <w:rPr>
          <w:rFonts w:eastAsia="Times New Roman" w:cs="Times New Roman"/>
          <w:szCs w:val="24"/>
        </w:rPr>
        <w:t>El término "Etapa" se refiere a las distintas fases de procesamiento de la imagen a través de la arquitectura. En la Swin Transformer, la resolución de la imagen se reduce sucesivamente, de la "Etapa 1" a la "Etapa 4". Esta estructura jerárquica es similar a la de las redes neuronales convolucionales tradicionales, como VGG y ResNet, en las que las características se procesan a distintas resoluciones</w:t>
      </w:r>
      <w:r w:rsidR="0058036E">
        <w:rPr>
          <w:rFonts w:eastAsia="Times New Roman" w:cs="Times New Roman"/>
          <w:szCs w:val="24"/>
        </w:rPr>
        <w:t xml:space="preserve"> </w:t>
      </w:r>
      <w:r w:rsidR="0058036E" w:rsidRPr="0010238F">
        <w:rPr>
          <w:rFonts w:eastAsia="Times New Roman" w:cs="Times New Roman"/>
          <w:szCs w:val="24"/>
        </w:rPr>
        <w:t>(Liu et al., 2021)</w:t>
      </w:r>
      <w:r w:rsidRPr="00696D01">
        <w:rPr>
          <w:rFonts w:eastAsia="Times New Roman" w:cs="Times New Roman"/>
          <w:szCs w:val="24"/>
        </w:rPr>
        <w:t>.</w:t>
      </w:r>
    </w:p>
    <w:p w14:paraId="23ED2002" w14:textId="6C05F4C4" w:rsidR="00EB01BA" w:rsidRPr="00630F4B" w:rsidRDefault="00630F4B" w:rsidP="00F52833">
      <w:pPr>
        <w:pStyle w:val="Ttulo3"/>
      </w:pPr>
      <w:r w:rsidRPr="00630F4B">
        <w:t>Ventanas deslizantes</w:t>
      </w:r>
    </w:p>
    <w:p w14:paraId="13BAADA6" w14:textId="05001C65" w:rsidR="00060064" w:rsidRPr="00060064" w:rsidRDefault="00060064" w:rsidP="00EB01BA">
      <w:pPr>
        <w:spacing w:before="240" w:after="0"/>
        <w:ind w:firstLine="720"/>
        <w:rPr>
          <w:rFonts w:eastAsia="Times New Roman" w:cs="Times New Roman"/>
          <w:szCs w:val="24"/>
        </w:rPr>
      </w:pPr>
      <w:r w:rsidRPr="00060064">
        <w:rPr>
          <w:rFonts w:eastAsia="Times New Roman" w:cs="Times New Roman"/>
          <w:szCs w:val="24"/>
        </w:rPr>
        <w:t>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66675AC8" w:rsidR="00EB01BA" w:rsidRPr="0092781F" w:rsidRDefault="00EB01BA" w:rsidP="00EB01BA">
      <w:pPr>
        <w:spacing w:before="240" w:after="0"/>
        <w:jc w:val="center"/>
        <w:rPr>
          <w:rFonts w:eastAsia="Times New Roman" w:cs="Times New Roman"/>
          <w:szCs w:val="24"/>
        </w:rPr>
      </w:pPr>
      <w:r w:rsidRPr="0092781F">
        <w:rPr>
          <w:rFonts w:eastAsia="Times New Roman" w:cs="Times New Roman"/>
          <w:b/>
          <w:szCs w:val="24"/>
        </w:rPr>
        <w:t xml:space="preserve">Figura </w:t>
      </w:r>
      <w:r w:rsidRPr="003D0898">
        <w:rPr>
          <w:rFonts w:eastAsia="Times New Roman" w:cs="Times New Roman"/>
          <w:b/>
          <w:szCs w:val="24"/>
        </w:rPr>
        <w:t>2.</w:t>
      </w:r>
      <w:r w:rsidRPr="003D0898">
        <w:rPr>
          <w:rFonts w:eastAsia="Times New Roman" w:cs="Times New Roman"/>
          <w:szCs w:val="24"/>
        </w:rPr>
        <w:t xml:space="preserve"> </w:t>
      </w:r>
      <w:r w:rsidR="0092781F" w:rsidRPr="0092781F">
        <w:rPr>
          <w:rFonts w:eastAsia="Times New Roman" w:cs="Times New Roman"/>
          <w:szCs w:val="24"/>
        </w:rPr>
        <w:t xml:space="preserve">El enfoque de ventana </w:t>
      </w:r>
      <w:r w:rsidR="0092781F">
        <w:rPr>
          <w:rFonts w:eastAsia="Times New Roman" w:cs="Times New Roman"/>
          <w:szCs w:val="24"/>
        </w:rPr>
        <w:t>deslizante</w:t>
      </w:r>
      <w:r w:rsidR="0092781F" w:rsidRPr="0092781F">
        <w:rPr>
          <w:rFonts w:eastAsia="Times New Roman" w:cs="Times New Roman"/>
          <w:szCs w:val="24"/>
        </w:rPr>
        <w:t xml:space="preserve"> para calcular la autoatención en la arquitectura </w:t>
      </w:r>
      <w:r w:rsidR="0092781F" w:rsidRPr="003D0898">
        <w:rPr>
          <w:rFonts w:eastAsia="Times New Roman" w:cs="Times New Roman"/>
          <w:szCs w:val="24"/>
        </w:rPr>
        <w:t>Swin Transformer</w:t>
      </w:r>
    </w:p>
    <w:p w14:paraId="7DD89039" w14:textId="733A1302" w:rsidR="000A1925" w:rsidRPr="000A1925" w:rsidRDefault="000A1925" w:rsidP="000A1925">
      <w:pPr>
        <w:spacing w:before="240" w:after="0"/>
        <w:ind w:firstLine="720"/>
        <w:rPr>
          <w:rFonts w:eastAsia="Times New Roman" w:cs="Times New Roman"/>
          <w:szCs w:val="24"/>
        </w:rPr>
      </w:pPr>
      <w:r w:rsidRPr="000A1925">
        <w:rPr>
          <w:rFonts w:eastAsia="Times New Roman" w:cs="Times New Roman"/>
          <w:szCs w:val="24"/>
        </w:rPr>
        <w:t xml:space="preserve">Las ecuaciones (1) y (2) muestran la diferencia de complejidad </w:t>
      </w:r>
      <w:r w:rsidR="00702D0E">
        <w:rPr>
          <w:rFonts w:eastAsia="Times New Roman" w:cs="Times New Roman"/>
          <w:szCs w:val="24"/>
        </w:rPr>
        <w:t xml:space="preserve">computacional </w:t>
      </w:r>
      <w:r w:rsidRPr="000A1925">
        <w:rPr>
          <w:rFonts w:eastAsia="Times New Roman" w:cs="Times New Roman"/>
          <w:szCs w:val="24"/>
        </w:rPr>
        <w:t>entre la atención global y la atención basada en ventanas. La atención basada en ventanas es escalable y computacionalmente más eficiente (Liu et al., 2021).</w:t>
      </w:r>
    </w:p>
    <w:p w14:paraId="7F3DA0AE" w14:textId="77777777" w:rsidR="00EB01BA" w:rsidRPr="003D0898" w:rsidRDefault="00EB01BA" w:rsidP="00EB01BA">
      <w:pPr>
        <w:spacing w:before="240" w:after="0"/>
        <w:rPr>
          <w:rFonts w:eastAsia="Times New Roman" w:cs="Times New Roman"/>
          <w:szCs w:val="24"/>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D0898">
        <w:rPr>
          <w:rFonts w:eastAsia="Times New Roman" w:cs="Times New Roman"/>
          <w:szCs w:val="24"/>
        </w:rPr>
        <w:t>(1)</w:t>
      </w:r>
      <w:r w:rsidRPr="003D0898">
        <w:rPr>
          <w:rFonts w:eastAsia="Times New Roman" w:cs="Times New Roman"/>
          <w:szCs w:val="24"/>
        </w:rPr>
        <w:tab/>
      </w:r>
    </w:p>
    <w:p w14:paraId="7A4A3462" w14:textId="77777777" w:rsidR="00EB01BA" w:rsidRPr="003D0898" w:rsidRDefault="00EB01BA" w:rsidP="00EB01BA">
      <w:pPr>
        <w:spacing w:before="240" w:after="0"/>
        <w:rPr>
          <w:rFonts w:eastAsia="Times New Roman" w:cs="Times New Roman"/>
          <w:szCs w:val="24"/>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D0898">
        <w:rPr>
          <w:rFonts w:eastAsia="Times New Roman" w:cs="Times New Roman"/>
          <w:szCs w:val="24"/>
        </w:rPr>
        <w:t>(2)</w:t>
      </w:r>
      <w:r w:rsidRPr="003D0898">
        <w:rPr>
          <w:rFonts w:eastAsia="Times New Roman" w:cs="Times New Roman"/>
          <w:szCs w:val="24"/>
        </w:rPr>
        <w:tab/>
      </w:r>
    </w:p>
    <w:p w14:paraId="545791B8" w14:textId="6409A34F" w:rsidR="0055577F" w:rsidRPr="0055577F" w:rsidRDefault="0055577F" w:rsidP="0055577F">
      <w:pPr>
        <w:spacing w:before="240" w:after="0"/>
        <w:ind w:firstLine="720"/>
        <w:rPr>
          <w:rFonts w:eastAsia="Times New Roman" w:cs="Times New Roman"/>
          <w:szCs w:val="24"/>
        </w:rPr>
      </w:pPr>
      <w:r w:rsidRPr="0055577F">
        <w:rPr>
          <w:rFonts w:eastAsia="Times New Roman" w:cs="Times New Roman"/>
          <w:szCs w:val="24"/>
        </w:rPr>
        <w:t xml:space="preserve">Sin embargo, para no perder la capacidad de modelar las relaciones entre parches en distintas ventanas, </w:t>
      </w:r>
      <w:r>
        <w:rPr>
          <w:rFonts w:eastAsia="Times New Roman" w:cs="Times New Roman"/>
          <w:szCs w:val="24"/>
        </w:rPr>
        <w:t>Swin Transformer</w:t>
      </w:r>
      <w:r w:rsidRPr="0055577F">
        <w:rPr>
          <w:rFonts w:eastAsia="Times New Roman" w:cs="Times New Roman"/>
          <w:szCs w:val="24"/>
        </w:rPr>
        <w:t xml:space="preserve"> introduce la idea de ventanas </w:t>
      </w:r>
      <w:r>
        <w:rPr>
          <w:rFonts w:eastAsia="Times New Roman" w:cs="Times New Roman"/>
          <w:szCs w:val="24"/>
        </w:rPr>
        <w:t>deslizantes</w:t>
      </w:r>
      <w:r w:rsidRPr="0055577F">
        <w:rPr>
          <w:rFonts w:eastAsia="Times New Roman" w:cs="Times New Roman"/>
          <w:szCs w:val="24"/>
        </w:rPr>
        <w:t xml:space="preserve"> en bloques sucesivos. Esta estrategia alterna entre dos configuraciones de partici</w:t>
      </w:r>
      <w:r w:rsidR="00EA6698">
        <w:rPr>
          <w:rFonts w:eastAsia="Times New Roman" w:cs="Times New Roman"/>
          <w:szCs w:val="24"/>
        </w:rPr>
        <w:t>onamiento</w:t>
      </w:r>
      <w:r w:rsidRPr="0055577F">
        <w:rPr>
          <w:rFonts w:eastAsia="Times New Roman" w:cs="Times New Roman"/>
          <w:szCs w:val="24"/>
        </w:rPr>
        <w:t xml:space="preserve"> en bloques consecutivos de transform</w:t>
      </w:r>
      <w:r w:rsidR="0048338F">
        <w:rPr>
          <w:rFonts w:eastAsia="Times New Roman" w:cs="Times New Roman"/>
          <w:szCs w:val="24"/>
        </w:rPr>
        <w:t>ers</w:t>
      </w:r>
      <w:r w:rsidRPr="0055577F">
        <w:rPr>
          <w:rFonts w:eastAsia="Times New Roman" w:cs="Times New Roman"/>
          <w:szCs w:val="24"/>
        </w:rPr>
        <w:t>, lo que permite que cada parche se relacione con los parches de las ventanas vecinas</w:t>
      </w:r>
      <w:r w:rsidR="00052C12">
        <w:rPr>
          <w:rFonts w:eastAsia="Times New Roman" w:cs="Times New Roman"/>
          <w:szCs w:val="24"/>
        </w:rPr>
        <w:t>.</w:t>
      </w:r>
    </w:p>
    <w:p w14:paraId="350BFF2E" w14:textId="0ACF8BE1" w:rsidR="00EB01BA" w:rsidRPr="007C5879" w:rsidRDefault="007C5879" w:rsidP="007C5879">
      <w:pPr>
        <w:spacing w:before="240" w:after="0"/>
        <w:ind w:firstLine="720"/>
        <w:rPr>
          <w:rFonts w:eastAsia="Times New Roman" w:cs="Times New Roman"/>
          <w:szCs w:val="24"/>
        </w:rPr>
      </w:pPr>
      <w:r w:rsidRPr="007C5879">
        <w:rPr>
          <w:rFonts w:eastAsia="Times New Roman" w:cs="Times New Roman"/>
          <w:szCs w:val="24"/>
        </w:rPr>
        <w:t>Las ecuaciones (3) muestran cómo se calculan las características en bloques sucesivos utilizando diferentes configuraciones de atención basadas en ventanas (Liu et al., 2021).</w:t>
      </w:r>
    </w:p>
    <w:p w14:paraId="284947ED" w14:textId="77777777" w:rsidR="00EB01BA" w:rsidRPr="003D0898" w:rsidRDefault="00EB01BA" w:rsidP="00EB01BA">
      <w:pPr>
        <w:spacing w:before="240" w:after="0"/>
        <w:rPr>
          <w:rFonts w:eastAsia="Times New Roman" w:cs="Times New Roman"/>
          <w:szCs w:val="24"/>
        </w:rPr>
      </w:pPr>
      <w:r w:rsidRPr="003D0898">
        <w:rPr>
          <w:rFonts w:eastAsia="Times New Roman" w:cs="Times New Roman"/>
          <w:szCs w:val="24"/>
        </w:rPr>
        <w:lastRenderedPageBreak/>
        <w:t>(3)</w:t>
      </w:r>
      <w:r w:rsidRPr="003D0898">
        <w:rPr>
          <w:rFonts w:eastAsia="Times New Roman" w:cs="Times New Roman"/>
          <w:szCs w:val="24"/>
        </w:rPr>
        <w:tab/>
      </w:r>
      <w:r w:rsidRPr="003D0898">
        <w:rPr>
          <w:rFonts w:eastAsia="Times New Roman" w:cs="Times New Roman"/>
          <w:szCs w:val="24"/>
        </w:rPr>
        <w:tab/>
      </w:r>
      <w:r w:rsidRPr="003D0898">
        <w:rPr>
          <w:rFonts w:eastAsia="Times New Roman" w:cs="Times New Roman"/>
          <w:szCs w:val="24"/>
        </w:rPr>
        <w:tab/>
      </w:r>
      <w:r w:rsidRPr="003D0898">
        <w:rPr>
          <w:rFonts w:eastAsia="Times New Roman" w:cs="Times New Roman"/>
          <w:szCs w:val="24"/>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5688C185" w14:textId="0CC7C86F" w:rsidR="00570775" w:rsidRPr="00570775" w:rsidRDefault="00570775" w:rsidP="00570775">
      <w:pPr>
        <w:spacing w:before="240" w:after="0"/>
        <w:ind w:firstLine="720"/>
        <w:rPr>
          <w:rFonts w:eastAsia="Times New Roman" w:cs="Times New Roman"/>
          <w:szCs w:val="24"/>
        </w:rPr>
      </w:pPr>
      <w:r w:rsidRPr="00570775">
        <w:rPr>
          <w:rFonts w:eastAsia="Times New Roman" w:cs="Times New Roman"/>
          <w:szCs w:val="24"/>
        </w:rPr>
        <w:t xml:space="preserve">En este contexto, </w:t>
      </w:r>
      <m:oMath>
        <m:sSup>
          <m:sSupPr>
            <m:ctrlPr>
              <w:rPr>
                <w:rFonts w:ascii="Cambria Math" w:eastAsia="Times New Roman" w:hAnsi="Cambria Math" w:cs="Times New Roman"/>
                <w:b/>
                <w:bCs/>
                <w:i/>
                <w:szCs w:val="24"/>
              </w:rPr>
            </m:ctrlPr>
          </m:sSupPr>
          <m:e>
            <m:acc>
              <m:accPr>
                <m:ctrlPr>
                  <w:rPr>
                    <w:rFonts w:ascii="Cambria Math" w:eastAsia="Times New Roman" w:hAnsi="Cambria Math" w:cs="Times New Roman"/>
                    <w:b/>
                    <w:bCs/>
                    <w:szCs w:val="24"/>
                  </w:rPr>
                </m:ctrlPr>
              </m:accPr>
              <m:e>
                <m:r>
                  <m:rPr>
                    <m:sty m:val="bi"/>
                  </m:rPr>
                  <w:rPr>
                    <w:rFonts w:ascii="Cambria Math" w:eastAsia="Times New Roman" w:hAnsi="Cambria Math" w:cs="Times New Roman"/>
                    <w:szCs w:val="24"/>
                  </w:rPr>
                  <m:t>z</m:t>
                </m:r>
              </m:e>
            </m:acc>
          </m:e>
          <m:sup>
            <m:r>
              <m:rPr>
                <m:sty m:val="bi"/>
              </m:rPr>
              <w:rPr>
                <w:rFonts w:ascii="Cambria Math" w:eastAsia="Times New Roman" w:hAnsi="Cambria Math" w:cs="Times New Roman"/>
                <w:szCs w:val="24"/>
              </w:rPr>
              <m:t>l </m:t>
            </m:r>
          </m:sup>
        </m:sSup>
      </m:oMath>
      <w:r w:rsidRPr="00570775">
        <w:rPr>
          <w:rFonts w:eastAsia="Times New Roman" w:cs="Times New Roman"/>
          <w:szCs w:val="24"/>
        </w:rPr>
        <w:t xml:space="preserve"> y </w:t>
      </w:r>
      <m:oMath>
        <m:sSup>
          <m:sSupPr>
            <m:ctrlPr>
              <w:rPr>
                <w:rFonts w:ascii="Cambria Math" w:eastAsia="Times New Roman" w:hAnsi="Cambria Math" w:cs="Times New Roman"/>
                <w:b/>
                <w:bCs/>
                <w:i/>
                <w:szCs w:val="24"/>
                <w:lang w:val="en-US"/>
              </w:rPr>
            </m:ctrlPr>
          </m:sSupPr>
          <m:e>
            <m:r>
              <m:rPr>
                <m:sty m:val="bi"/>
              </m:rPr>
              <w:rPr>
                <w:rFonts w:ascii="Cambria Math" w:eastAsia="Times New Roman" w:hAnsi="Cambria Math" w:cs="Times New Roman"/>
                <w:szCs w:val="24"/>
                <w:lang w:val="en-US"/>
              </w:rPr>
              <m:t>z</m:t>
            </m:r>
          </m:e>
          <m:sup>
            <m:r>
              <m:rPr>
                <m:sty m:val="bi"/>
              </m:rPr>
              <w:rPr>
                <w:rFonts w:ascii="Cambria Math" w:eastAsia="Times New Roman" w:hAnsi="Cambria Math" w:cs="Times New Roman"/>
                <w:szCs w:val="24"/>
                <w:lang w:val="en-US"/>
              </w:rPr>
              <m:t>l</m:t>
            </m:r>
          </m:sup>
        </m:sSup>
      </m:oMath>
      <w:r w:rsidRPr="00570775">
        <w:rPr>
          <w:rFonts w:eastAsia="Times New Roman" w:cs="Times New Roman"/>
          <w:b/>
          <w:bCs/>
          <w:szCs w:val="24"/>
        </w:rPr>
        <w:t xml:space="preserve"> </w:t>
      </w:r>
      <w:r w:rsidRPr="00570775">
        <w:rPr>
          <w:rFonts w:eastAsia="Times New Roman" w:cs="Times New Roman"/>
          <w:szCs w:val="24"/>
        </w:rPr>
        <w:t xml:space="preserve">representan las características resultantes del módulo (S)W-MSA y del módulo MLP correspondientes al bloque </w:t>
      </w:r>
      <m:oMath>
        <m:r>
          <m:rPr>
            <m:sty m:val="bi"/>
          </m:rPr>
          <w:rPr>
            <w:rFonts w:ascii="Cambria Math" w:eastAsia="Times New Roman" w:hAnsi="Cambria Math" w:cs="Times New Roman"/>
            <w:szCs w:val="24"/>
            <w:lang w:val="en-US"/>
          </w:rPr>
          <m:t>l</m:t>
        </m:r>
      </m:oMath>
      <w:r w:rsidRPr="00570775">
        <w:rPr>
          <w:rFonts w:eastAsia="Times New Roman" w:cs="Times New Roman"/>
          <w:szCs w:val="24"/>
        </w:rPr>
        <w:t xml:space="preserve">. W-MSA y SW-MSA se refieren a la </w:t>
      </w:r>
      <w:r w:rsidR="00FF4A93">
        <w:rPr>
          <w:rFonts w:eastAsia="Times New Roman" w:cs="Times New Roman"/>
          <w:szCs w:val="24"/>
        </w:rPr>
        <w:t>auto-</w:t>
      </w:r>
      <w:r w:rsidRPr="00570775">
        <w:rPr>
          <w:rFonts w:eastAsia="Times New Roman" w:cs="Times New Roman"/>
          <w:szCs w:val="24"/>
        </w:rPr>
        <w:t>atención</w:t>
      </w:r>
      <w:r w:rsidR="00FF4A93">
        <w:rPr>
          <w:rFonts w:eastAsia="Times New Roman" w:cs="Times New Roman"/>
          <w:szCs w:val="24"/>
        </w:rPr>
        <w:t xml:space="preserve"> </w:t>
      </w:r>
      <w:r w:rsidRPr="00570775">
        <w:rPr>
          <w:rFonts w:eastAsia="Times New Roman" w:cs="Times New Roman"/>
          <w:szCs w:val="24"/>
        </w:rPr>
        <w:t xml:space="preserve">multi-cabeza basada en ventanas </w:t>
      </w:r>
      <w:r w:rsidR="00FF4A93">
        <w:rPr>
          <w:rFonts w:eastAsia="Times New Roman" w:cs="Times New Roman"/>
          <w:szCs w:val="24"/>
        </w:rPr>
        <w:t>que utiliza</w:t>
      </w:r>
      <w:r w:rsidRPr="00570775">
        <w:rPr>
          <w:rFonts w:eastAsia="Times New Roman" w:cs="Times New Roman"/>
          <w:szCs w:val="24"/>
        </w:rPr>
        <w:t xml:space="preserve"> configuraciones de particionamiento de ventana estándar y deslizante, respectivamente.</w:t>
      </w:r>
    </w:p>
    <w:p w14:paraId="0ED7ED98" w14:textId="52498C2B" w:rsidR="00F170A2" w:rsidRPr="00F170A2" w:rsidRDefault="00F170A2" w:rsidP="00EB01BA">
      <w:pPr>
        <w:spacing w:before="240" w:after="0"/>
        <w:ind w:firstLine="720"/>
        <w:rPr>
          <w:rFonts w:eastAsia="Times New Roman" w:cs="Times New Roman"/>
          <w:szCs w:val="24"/>
        </w:rPr>
      </w:pPr>
      <w:r w:rsidRPr="00F170A2">
        <w:rPr>
          <w:rFonts w:eastAsia="Times New Roman" w:cs="Times New Roman"/>
          <w:szCs w:val="24"/>
        </w:rPr>
        <w:t xml:space="preserve">Se introduce un sesgo de posición relativa para tener en cuenta las relaciones espaciales entre parches dentro de una ventana. Este sesgo mejora significativamente el rendimiento del modelo y es preferible a </w:t>
      </w:r>
      <w:r>
        <w:rPr>
          <w:rFonts w:eastAsia="Times New Roman" w:cs="Times New Roman"/>
          <w:szCs w:val="24"/>
        </w:rPr>
        <w:t xml:space="preserve">los </w:t>
      </w:r>
      <w:r w:rsidRPr="005805E6">
        <w:rPr>
          <w:rFonts w:eastAsia="Times New Roman" w:cs="Times New Roman"/>
          <w:szCs w:val="24"/>
        </w:rPr>
        <w:t>embeddings</w:t>
      </w:r>
      <w:r w:rsidRPr="00F170A2">
        <w:rPr>
          <w:rFonts w:eastAsia="Times New Roman" w:cs="Times New Roman"/>
          <w:szCs w:val="24"/>
        </w:rPr>
        <w:t xml:space="preserve"> de posición absoluta</w:t>
      </w:r>
      <w:r w:rsidR="005805E6">
        <w:rPr>
          <w:rFonts w:eastAsia="Times New Roman" w:cs="Times New Roman"/>
          <w:szCs w:val="24"/>
        </w:rPr>
        <w:t xml:space="preserve"> </w:t>
      </w:r>
      <w:r w:rsidR="005805E6" w:rsidRPr="007C5879">
        <w:rPr>
          <w:rFonts w:eastAsia="Times New Roman" w:cs="Times New Roman"/>
          <w:szCs w:val="24"/>
        </w:rPr>
        <w:t>(Liu et al., 2021)</w:t>
      </w:r>
      <w:r w:rsidRPr="00F170A2">
        <w:rPr>
          <w:rFonts w:eastAsia="Times New Roman" w:cs="Times New Roman"/>
          <w:szCs w:val="24"/>
        </w:rPr>
        <w:t>.</w:t>
      </w:r>
    </w:p>
    <w:p w14:paraId="0F162603" w14:textId="39D0BD31" w:rsidR="00EB01BA" w:rsidRPr="00C23ABB" w:rsidRDefault="00C23ABB" w:rsidP="00C861E9">
      <w:pPr>
        <w:pStyle w:val="Ttulo3"/>
      </w:pPr>
      <w:r w:rsidRPr="00C23ABB">
        <w:t>Estructura piramidal</w:t>
      </w:r>
    </w:p>
    <w:p w14:paraId="5FBCF59D" w14:textId="7DEC8B13" w:rsidR="00EB01BA" w:rsidRPr="006219B2" w:rsidRDefault="00100AA7" w:rsidP="006219B2">
      <w:pPr>
        <w:spacing w:before="240" w:after="0"/>
        <w:ind w:firstLine="720"/>
        <w:rPr>
          <w:rFonts w:eastAsia="Times New Roman" w:cs="Times New Roman"/>
          <w:szCs w:val="24"/>
        </w:rPr>
      </w:pPr>
      <w:r w:rsidRPr="00100AA7">
        <w:rPr>
          <w:rFonts w:eastAsia="Times New Roman" w:cs="Times New Roman"/>
          <w:szCs w:val="24"/>
        </w:rPr>
        <w:t xml:space="preserve">Swin Transformer procesa imágenes en una serie de resoluciones, </w:t>
      </w:r>
      <w:r w:rsidR="004A50D1" w:rsidRPr="004A50D1">
        <w:rPr>
          <w:rFonts w:eastAsia="Times New Roman" w:cs="Times New Roman"/>
          <w:szCs w:val="24"/>
        </w:rPr>
        <w:t>de forma similar a una</w:t>
      </w:r>
      <w:r w:rsidR="004A50D1">
        <w:rPr>
          <w:rFonts w:eastAsia="Times New Roman" w:cs="Times New Roman"/>
          <w:szCs w:val="24"/>
        </w:rPr>
        <w:t xml:space="preserve"> </w:t>
      </w:r>
      <w:r w:rsidRPr="00100AA7">
        <w:rPr>
          <w:rFonts w:eastAsia="Times New Roman" w:cs="Times New Roman"/>
          <w:szCs w:val="24"/>
        </w:rPr>
        <w:t>pirámide. Comienza con ventanas pequeñas en una resolución más alta y agrupa gradualmente los parches mientras reduce la resolución, permitiendo que el modelo capture características en diferentes escalas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4"/>
                    <a:srcRect/>
                    <a:stretch>
                      <a:fillRect/>
                    </a:stretch>
                  </pic:blipFill>
                  <pic:spPr>
                    <a:xfrm>
                      <a:off x="0" y="0"/>
                      <a:ext cx="5612400" cy="3251200"/>
                    </a:xfrm>
                    <a:prstGeom prst="rect">
                      <a:avLst/>
                    </a:prstGeom>
                    <a:ln/>
                  </pic:spPr>
                </pic:pic>
              </a:graphicData>
            </a:graphic>
          </wp:inline>
        </w:drawing>
      </w:r>
    </w:p>
    <w:p w14:paraId="2ECE24C4" w14:textId="0B678478" w:rsidR="00BB07AD" w:rsidRPr="00C80C27" w:rsidRDefault="00EB01BA" w:rsidP="00C80C27">
      <w:pPr>
        <w:spacing w:before="240" w:after="0"/>
        <w:jc w:val="center"/>
        <w:rPr>
          <w:rFonts w:eastAsia="Times New Roman" w:cs="Times New Roman"/>
          <w:szCs w:val="24"/>
        </w:rPr>
      </w:pPr>
      <w:r w:rsidRPr="00C80C27">
        <w:rPr>
          <w:rFonts w:eastAsia="Times New Roman" w:cs="Times New Roman"/>
          <w:b/>
          <w:szCs w:val="24"/>
        </w:rPr>
        <w:t>Figur</w:t>
      </w:r>
      <w:r w:rsidR="0067567F" w:rsidRPr="00C80C27">
        <w:rPr>
          <w:rFonts w:eastAsia="Times New Roman" w:cs="Times New Roman"/>
          <w:b/>
          <w:szCs w:val="24"/>
        </w:rPr>
        <w:t>a</w:t>
      </w:r>
      <w:r w:rsidRPr="00C80C27">
        <w:rPr>
          <w:rFonts w:eastAsia="Times New Roman" w:cs="Times New Roman"/>
          <w:b/>
          <w:szCs w:val="24"/>
        </w:rPr>
        <w:t xml:space="preserve"> 3. </w:t>
      </w:r>
      <w:r w:rsidR="00C80C27" w:rsidRPr="00C80C27">
        <w:rPr>
          <w:rFonts w:eastAsia="Times New Roman" w:cs="Times New Roman"/>
          <w:szCs w:val="24"/>
        </w:rPr>
        <w:t>Comparación del método de estructura piramidal utilizado por Swin tranformer y el método utilizado por Vit</w:t>
      </w:r>
      <w:r w:rsidRPr="00C80C27">
        <w:rPr>
          <w:rFonts w:eastAsia="Times New Roman" w:cs="Times New Roman"/>
          <w:szCs w:val="24"/>
        </w:rPr>
        <w:t>.</w:t>
      </w:r>
    </w:p>
    <w:p w14:paraId="619EAD58" w14:textId="60AD0B9D" w:rsidR="00EB01BA" w:rsidRPr="00B04422" w:rsidRDefault="00B04422" w:rsidP="00BB07AD">
      <w:pPr>
        <w:pStyle w:val="Ttulo3"/>
      </w:pPr>
      <w:r w:rsidRPr="00B04422">
        <w:t xml:space="preserve">Detalles </w:t>
      </w:r>
      <w:r>
        <w:t>arquitectónicos</w:t>
      </w:r>
      <w:r w:rsidRPr="00B04422">
        <w:t xml:space="preserve"> de</w:t>
      </w:r>
      <w:r w:rsidR="00BB07AD" w:rsidRPr="00B04422">
        <w:t xml:space="preserve"> Swin Transformer</w:t>
      </w:r>
    </w:p>
    <w:p w14:paraId="6EA87886" w14:textId="24069D6C" w:rsidR="00314F6E" w:rsidRPr="00067016" w:rsidRDefault="00EB01BA" w:rsidP="00EB01BA">
      <w:pPr>
        <w:spacing w:before="240" w:after="0"/>
        <w:rPr>
          <w:rFonts w:eastAsia="Times New Roman" w:cs="Times New Roman"/>
          <w:b/>
          <w:szCs w:val="24"/>
        </w:rPr>
      </w:pPr>
      <w:r w:rsidRPr="00067016">
        <w:rPr>
          <w:rFonts w:eastAsia="Times New Roman" w:cs="Times New Roman"/>
          <w:b/>
          <w:szCs w:val="24"/>
        </w:rPr>
        <w:t>Token</w:t>
      </w:r>
      <w:r w:rsidR="00314F6E" w:rsidRPr="00067016">
        <w:rPr>
          <w:rFonts w:eastAsia="Times New Roman" w:cs="Times New Roman"/>
          <w:b/>
          <w:szCs w:val="24"/>
        </w:rPr>
        <w:t>:</w:t>
      </w:r>
      <w:r w:rsidR="00067016" w:rsidRPr="00067016">
        <w:rPr>
          <w:rFonts w:eastAsia="Times New Roman" w:cs="Times New Roman"/>
          <w:b/>
          <w:szCs w:val="24"/>
        </w:rPr>
        <w:t xml:space="preserve"> </w:t>
      </w:r>
      <w:r w:rsidR="00067016" w:rsidRPr="00067016">
        <w:rPr>
          <w:rFonts w:eastAsia="Times New Roman" w:cs="Times New Roman"/>
          <w:bCs/>
          <w:szCs w:val="24"/>
        </w:rPr>
        <w:t xml:space="preserve">se refiere a un parche de la imagen original. Cada parche se convierte en una representación vectorial </w:t>
      </w:r>
      <w:r w:rsidR="00310CD9">
        <w:rPr>
          <w:rFonts w:eastAsia="Times New Roman" w:cs="Times New Roman"/>
          <w:bCs/>
          <w:szCs w:val="24"/>
        </w:rPr>
        <w:t xml:space="preserve">o embedding </w:t>
      </w:r>
      <w:r w:rsidR="00067016" w:rsidRPr="00067016">
        <w:rPr>
          <w:rFonts w:eastAsia="Times New Roman" w:cs="Times New Roman"/>
          <w:bCs/>
          <w:szCs w:val="24"/>
        </w:rPr>
        <w:t>que sirve como unidad básica de entrada para las capas posteriores del modelo.</w:t>
      </w:r>
    </w:p>
    <w:p w14:paraId="1F6CF71E" w14:textId="0792C119" w:rsidR="00EB01BA" w:rsidRPr="00067016" w:rsidRDefault="00EB01BA" w:rsidP="00EB01BA">
      <w:pPr>
        <w:spacing w:before="240" w:after="0"/>
        <w:rPr>
          <w:rFonts w:eastAsia="Times New Roman" w:cs="Times New Roman"/>
          <w:szCs w:val="24"/>
        </w:rPr>
      </w:pPr>
      <w:r w:rsidRPr="00067016">
        <w:rPr>
          <w:rFonts w:eastAsia="Times New Roman" w:cs="Times New Roman"/>
          <w:b/>
          <w:szCs w:val="24"/>
        </w:rPr>
        <w:t>Embedding:</w:t>
      </w:r>
      <w:r w:rsidRPr="00067016">
        <w:rPr>
          <w:rFonts w:eastAsia="Times New Roman" w:cs="Times New Roman"/>
          <w:szCs w:val="24"/>
        </w:rPr>
        <w:t xml:space="preserve"> </w:t>
      </w:r>
      <w:r w:rsidR="00F506E1" w:rsidRPr="00F506E1">
        <w:rPr>
          <w:rFonts w:eastAsia="Times New Roman" w:cs="Times New Roman"/>
          <w:szCs w:val="24"/>
        </w:rPr>
        <w:t>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215C33C3" w14:textId="544801B2" w:rsidR="00532DE8" w:rsidRDefault="00EB01BA" w:rsidP="00EB01BA">
      <w:pPr>
        <w:spacing w:before="240" w:after="0"/>
        <w:rPr>
          <w:rFonts w:eastAsia="Times New Roman" w:cs="Times New Roman"/>
          <w:bCs/>
          <w:szCs w:val="24"/>
        </w:rPr>
      </w:pPr>
      <w:r w:rsidRPr="00067016">
        <w:rPr>
          <w:rFonts w:eastAsia="Times New Roman" w:cs="Times New Roman"/>
          <w:b/>
          <w:szCs w:val="24"/>
        </w:rPr>
        <w:t>A</w:t>
      </w:r>
      <w:r w:rsidR="004D40DB">
        <w:rPr>
          <w:rFonts w:eastAsia="Times New Roman" w:cs="Times New Roman"/>
          <w:b/>
          <w:szCs w:val="24"/>
        </w:rPr>
        <w:t>tención</w:t>
      </w:r>
      <w:r w:rsidR="00655524" w:rsidRPr="00067016">
        <w:rPr>
          <w:rFonts w:eastAsia="Times New Roman" w:cs="Times New Roman"/>
          <w:b/>
          <w:szCs w:val="24"/>
        </w:rPr>
        <w:t>:</w:t>
      </w:r>
      <w:r w:rsidR="001F5205">
        <w:rPr>
          <w:rFonts w:eastAsia="Times New Roman" w:cs="Times New Roman"/>
          <w:b/>
          <w:szCs w:val="24"/>
        </w:rPr>
        <w:t xml:space="preserve"> </w:t>
      </w:r>
      <w:r w:rsidR="001F5205" w:rsidRPr="001F5205">
        <w:rPr>
          <w:rFonts w:eastAsia="Times New Roman" w:cs="Times New Roman"/>
          <w:bCs/>
          <w:szCs w:val="24"/>
        </w:rPr>
        <w:t xml:space="preserve">En el contexto de Swin Transformer, el mecanismo de atención permite al modelo asignar diferentes niveles de importancia a diversas partes de la entrada cuando está procesando </w:t>
      </w:r>
      <w:r w:rsidR="001F5205" w:rsidRPr="001F5205">
        <w:rPr>
          <w:rFonts w:eastAsia="Times New Roman" w:cs="Times New Roman"/>
          <w:bCs/>
          <w:szCs w:val="24"/>
        </w:rPr>
        <w:lastRenderedPageBreak/>
        <w:t>información. Esto se logra calculando pesos de atención que determinan qué tan relevante es un elemento de la entrada (token) en relación con otros. Esta ponderación facilita la captura de relaciones complejas, incluso a largas distancias, en la estructura de datos de entrada, como una imagen en el caso de Swin Transformer.</w:t>
      </w:r>
      <w:r w:rsidR="00BB0D1D">
        <w:rPr>
          <w:rFonts w:eastAsia="Times New Roman" w:cs="Times New Roman"/>
          <w:bCs/>
          <w:szCs w:val="24"/>
        </w:rPr>
        <w:t xml:space="preserve"> </w:t>
      </w:r>
      <w:r w:rsidR="000E3EC2" w:rsidRPr="000E3EC2">
        <w:rPr>
          <w:rFonts w:eastAsia="Times New Roman" w:cs="Times New Roman"/>
          <w:bCs/>
          <w:szCs w:val="24"/>
        </w:rPr>
        <w:t xml:space="preserve">Swin Transformer introduce una modificación en la fórmula clásica de la atención para incorporar un sesgo de posición relativa </w:t>
      </w:r>
      <m:oMath>
        <m:r>
          <w:rPr>
            <w:rFonts w:ascii="Cambria Math" w:eastAsia="Times New Roman" w:hAnsi="Cambria Math" w:cs="Times New Roman"/>
            <w:szCs w:val="24"/>
          </w:rPr>
          <m:t>B</m:t>
        </m:r>
      </m:oMath>
      <w:r w:rsidR="000E3EC2" w:rsidRPr="000E3EC2">
        <w:rPr>
          <w:rFonts w:eastAsia="Times New Roman" w:cs="Times New Roman"/>
          <w:bCs/>
          <w:szCs w:val="24"/>
        </w:rPr>
        <w:t>. Esta adaptación permite al modelo tener en cuenta la posición espacial relativa de los parches en una ventana</w:t>
      </w:r>
      <w:r w:rsidR="000E3EC2">
        <w:rPr>
          <w:rFonts w:eastAsia="Times New Roman" w:cs="Times New Roman"/>
          <w:bCs/>
          <w:szCs w:val="24"/>
        </w:rPr>
        <w:t>.</w:t>
      </w:r>
    </w:p>
    <w:p w14:paraId="3250EDD3" w14:textId="477B07C3" w:rsidR="00EB01BA" w:rsidRDefault="00532DE8" w:rsidP="00532DE8">
      <w:pPr>
        <w:spacing w:before="240" w:after="0"/>
        <w:jc w:val="left"/>
        <w:rPr>
          <w:rFonts w:eastAsia="Times New Roman" w:cs="Times New Roman"/>
          <w:bCs/>
          <w:szCs w:val="24"/>
          <w:lang w:val="en-US"/>
        </w:rPr>
      </w:pPr>
      <w:r w:rsidRPr="000E3EC2">
        <w:rPr>
          <w:rFonts w:eastAsia="Times New Roman" w:cs="Times New Roman"/>
          <w:bCs/>
          <w:szCs w:val="24"/>
          <w:lang w:val="en-US"/>
        </w:rPr>
        <w:t>(4)</w:t>
      </w:r>
      <w:r w:rsidRPr="000E3EC2">
        <w:rPr>
          <w:rFonts w:eastAsia="Times New Roman" w:cs="Times New Roman"/>
          <w:bCs/>
          <w:szCs w:val="24"/>
          <w:lang w:val="en-US"/>
        </w:rPr>
        <w:tab/>
      </w:r>
      <w:r w:rsidRPr="000E3EC2">
        <w:rPr>
          <w:rFonts w:eastAsia="Times New Roman" w:cs="Times New Roman"/>
          <w:bCs/>
          <w:szCs w:val="24"/>
          <w:lang w:val="en-US"/>
        </w:rPr>
        <w:tab/>
      </w:r>
      <w:r w:rsidRPr="000E3EC2">
        <w:rPr>
          <w:rFonts w:eastAsia="Times New Roman" w:cs="Times New Roman"/>
          <w:bCs/>
          <w:szCs w:val="24"/>
          <w:lang w:val="en-US"/>
        </w:rPr>
        <w:tab/>
      </w:r>
      <m:oMath>
        <m:r>
          <m:rPr>
            <m:nor/>
          </m:rPr>
          <w:rPr>
            <w:rFonts w:ascii="Cambria Math" w:eastAsia="Times New Roman" w:hAnsi="Cambria Math" w:cs="Times New Roman"/>
            <w:bCs/>
            <w:szCs w:val="24"/>
            <w:lang w:val="en-US"/>
          </w:rPr>
          <m:t>Attention</m:t>
        </m:r>
        <m:d>
          <m:dPr>
            <m:ctrlPr>
              <w:rPr>
                <w:rFonts w:ascii="Cambria Math" w:eastAsia="Times New Roman" w:hAnsi="Cambria Math" w:cs="Times New Roman"/>
                <w:bCs/>
                <w:i/>
                <w:szCs w:val="24"/>
                <w:lang w:val="en-US"/>
              </w:rPr>
            </m:ctrlPr>
          </m:dPr>
          <m:e>
            <m:r>
              <w:rPr>
                <w:rFonts w:ascii="Cambria Math" w:eastAsia="Times New Roman" w:hAnsi="Cambria Math" w:cs="Times New Roman"/>
                <w:szCs w:val="24"/>
                <w:lang w:val="en-US"/>
              </w:rPr>
              <m:t>Q,K,V</m:t>
            </m:r>
          </m:e>
        </m:d>
        <m:r>
          <w:rPr>
            <w:rFonts w:ascii="Cambria Math" w:eastAsia="Times New Roman" w:hAnsi="Cambria Math" w:cs="Times New Roman"/>
            <w:szCs w:val="24"/>
            <w:lang w:val="en-US"/>
          </w:rPr>
          <m:t>=</m:t>
        </m:r>
        <m:r>
          <m:rPr>
            <m:nor/>
          </m:rPr>
          <w:rPr>
            <w:rFonts w:ascii="Cambria Math" w:eastAsia="Times New Roman" w:hAnsi="Cambria Math" w:cs="Times New Roman"/>
            <w:bCs/>
            <w:szCs w:val="24"/>
            <w:lang w:val="en-US"/>
          </w:rPr>
          <m:t>SoftMax</m:t>
        </m:r>
        <m:d>
          <m:dPr>
            <m:ctrlPr>
              <w:rPr>
                <w:rFonts w:ascii="Cambria Math" w:eastAsia="Times New Roman" w:hAnsi="Cambria Math" w:cs="Times New Roman"/>
                <w:bCs/>
                <w:szCs w:val="24"/>
                <w:lang w:val="en-US"/>
              </w:rPr>
            </m:ctrlPr>
          </m:dPr>
          <m:e>
            <m:f>
              <m:fPr>
                <m:ctrlPr>
                  <w:rPr>
                    <w:rFonts w:ascii="Cambria Math" w:eastAsia="Times New Roman" w:hAnsi="Cambria Math" w:cs="Times New Roman"/>
                    <w:bCs/>
                    <w:szCs w:val="24"/>
                    <w:lang w:val="en-US"/>
                  </w:rPr>
                </m:ctrlPr>
              </m:fPr>
              <m:num>
                <m:r>
                  <w:rPr>
                    <w:rFonts w:ascii="Cambria Math" w:eastAsia="Times New Roman" w:hAnsi="Cambria Math" w:cs="Times New Roman"/>
                    <w:szCs w:val="24"/>
                    <w:lang w:val="en-US"/>
                  </w:rPr>
                  <m:t>Q</m:t>
                </m:r>
                <m:sSup>
                  <m:sSupPr>
                    <m:ctrlPr>
                      <w:rPr>
                        <w:rFonts w:ascii="Cambria Math" w:eastAsia="Times New Roman" w:hAnsi="Cambria Math" w:cs="Times New Roman"/>
                        <w:bCs/>
                        <w:i/>
                        <w:szCs w:val="24"/>
                        <w:lang w:val="en-US"/>
                      </w:rPr>
                    </m:ctrlPr>
                  </m:sSupPr>
                  <m:e>
                    <m:r>
                      <w:rPr>
                        <w:rFonts w:ascii="Cambria Math" w:eastAsia="Times New Roman" w:hAnsi="Cambria Math" w:cs="Times New Roman"/>
                        <w:szCs w:val="24"/>
                        <w:lang w:val="en-US"/>
                      </w:rPr>
                      <m:t>K</m:t>
                    </m:r>
                  </m:e>
                  <m:sup>
                    <m:r>
                      <w:rPr>
                        <w:rFonts w:ascii="Cambria Math" w:eastAsia="Times New Roman" w:hAnsi="Cambria Math" w:cs="Times New Roman"/>
                        <w:szCs w:val="24"/>
                        <w:lang w:val="en-US"/>
                      </w:rPr>
                      <m:t>T</m:t>
                    </m:r>
                  </m:sup>
                </m:sSup>
                <m:ctrlPr>
                  <w:rPr>
                    <w:rFonts w:ascii="Cambria Math" w:eastAsia="Times New Roman" w:hAnsi="Cambria Math" w:cs="Times New Roman"/>
                    <w:bCs/>
                    <w:i/>
                    <w:szCs w:val="24"/>
                    <w:lang w:val="en-US"/>
                  </w:rPr>
                </m:ctrlPr>
              </m:num>
              <m:den>
                <m:rad>
                  <m:radPr>
                    <m:degHide m:val="1"/>
                    <m:ctrlPr>
                      <w:rPr>
                        <w:rFonts w:ascii="Cambria Math" w:eastAsia="Times New Roman" w:hAnsi="Cambria Math" w:cs="Times New Roman"/>
                        <w:bCs/>
                        <w:szCs w:val="24"/>
                        <w:lang w:val="en-US"/>
                      </w:rPr>
                    </m:ctrlPr>
                  </m:radPr>
                  <m:deg>
                    <m:ctrlPr>
                      <w:rPr>
                        <w:rFonts w:ascii="Cambria Math" w:eastAsia="Times New Roman" w:hAnsi="Cambria Math" w:cs="Times New Roman"/>
                        <w:bCs/>
                        <w:i/>
                        <w:szCs w:val="24"/>
                        <w:lang w:val="en-US"/>
                      </w:rPr>
                    </m:ctrlPr>
                  </m:deg>
                  <m:e>
                    <m:r>
                      <w:rPr>
                        <w:rFonts w:ascii="Cambria Math" w:eastAsia="Times New Roman" w:hAnsi="Cambria Math" w:cs="Times New Roman"/>
                        <w:szCs w:val="24"/>
                        <w:lang w:val="en-US"/>
                      </w:rPr>
                      <m:t>d</m:t>
                    </m:r>
                  </m:e>
                </m:rad>
                <m:ctrlPr>
                  <w:rPr>
                    <w:rFonts w:ascii="Cambria Math" w:eastAsia="Times New Roman" w:hAnsi="Cambria Math" w:cs="Times New Roman"/>
                    <w:bCs/>
                    <w:i/>
                    <w:szCs w:val="24"/>
                    <w:lang w:val="en-US"/>
                  </w:rPr>
                </m:ctrlPr>
              </m:den>
            </m:f>
            <m:r>
              <w:rPr>
                <w:rFonts w:ascii="Cambria Math" w:eastAsia="Times New Roman" w:hAnsi="Cambria Math" w:cs="Times New Roman"/>
                <w:szCs w:val="24"/>
                <w:lang w:val="en-US"/>
              </w:rPr>
              <m:t>+B</m:t>
            </m:r>
            <m:ctrlPr>
              <w:rPr>
                <w:rFonts w:ascii="Cambria Math" w:eastAsia="Times New Roman" w:hAnsi="Cambria Math" w:cs="Times New Roman"/>
                <w:bCs/>
                <w:i/>
                <w:szCs w:val="24"/>
                <w:lang w:val="en-US"/>
              </w:rPr>
            </m:ctrlPr>
          </m:e>
        </m:d>
        <m:r>
          <w:rPr>
            <w:rFonts w:ascii="Cambria Math" w:eastAsia="Times New Roman" w:hAnsi="Cambria Math" w:cs="Times New Roman"/>
            <w:szCs w:val="24"/>
            <w:lang w:val="en-US"/>
          </w:rPr>
          <m:t>V</m:t>
        </m:r>
      </m:oMath>
    </w:p>
    <w:p w14:paraId="74890F9C" w14:textId="2182A7A4" w:rsidR="00D248C2" w:rsidRPr="00C27AB7" w:rsidRDefault="00D27D24" w:rsidP="00532DE8">
      <w:pPr>
        <w:spacing w:before="240" w:after="0"/>
        <w:jc w:val="left"/>
      </w:pPr>
      <w:r>
        <w:rPr>
          <w:rFonts w:eastAsia="Times New Roman" w:cs="Times New Roman"/>
          <w:szCs w:val="24"/>
        </w:rPr>
        <w:t>D</w:t>
      </w:r>
      <w:r w:rsidRPr="00D27D24">
        <w:rPr>
          <w:rFonts w:eastAsia="Times New Roman" w:cs="Times New Roman"/>
          <w:szCs w:val="24"/>
        </w:rPr>
        <w:t xml:space="preserve">onde </w:t>
      </w:r>
      <m:oMath>
        <m:r>
          <m:rPr>
            <m:lit/>
          </m:rPr>
          <w:rPr>
            <w:rFonts w:ascii="Cambria Math" w:eastAsia="Times New Roman" w:hAnsi="Cambria Math" w:cs="Times New Roman"/>
            <w:szCs w:val="24"/>
          </w:rPr>
          <m:t>(</m:t>
        </m:r>
        <m:r>
          <w:rPr>
            <w:rFonts w:ascii="Cambria Math" w:eastAsia="Times New Roman" w:hAnsi="Cambria Math" w:cs="Times New Roman"/>
            <w:szCs w:val="24"/>
          </w:rPr>
          <m:t>Q,K,V</m:t>
        </m:r>
        <m:r>
          <m:rPr>
            <m:sty m:val="p"/>
          </m:rPr>
          <w:rPr>
            <w:rFonts w:ascii="Cambria Math" w:eastAsia="Times New Roman" w:hAnsi="Cambria Math" w:cs="Times New Roman"/>
            <w:szCs w:val="24"/>
          </w:rPr>
          <m:t>∈</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R</m:t>
            </m:r>
          </m:e>
          <m:sup>
            <m:sSup>
              <m:sSupPr>
                <m:ctrlPr>
                  <w:rPr>
                    <w:rFonts w:ascii="Cambria Math" w:eastAsia="Times New Roman" w:hAnsi="Cambria Math" w:cs="Times New Roman"/>
                    <w:i/>
                    <w:szCs w:val="24"/>
                  </w:rPr>
                </m:ctrlPr>
              </m:sSupPr>
              <m:e>
                <m:r>
                  <w:rPr>
                    <w:rFonts w:ascii="Cambria Math" w:eastAsia="Times New Roman" w:hAnsi="Cambria Math" w:cs="Times New Roman"/>
                    <w:szCs w:val="24"/>
                  </w:rPr>
                  <m:t>M</m:t>
                </m:r>
              </m:e>
              <m:sup>
                <m:r>
                  <m:rPr>
                    <m:scr m:val="double-struck"/>
                  </m:rPr>
                  <w:rPr>
                    <w:rFonts w:ascii="Cambria Math" w:eastAsia="Times New Roman" w:hAnsi="Cambria Math" w:cs="Times New Roman"/>
                    <w:szCs w:val="24"/>
                  </w:rPr>
                  <m:t>2</m:t>
                </m:r>
              </m:sup>
            </m:sSup>
            <m:r>
              <m:rPr>
                <m:sty m:val="p"/>
              </m:rPr>
              <w:rPr>
                <w:rFonts w:ascii="Cambria Math" w:eastAsia="Times New Roman" w:hAnsi="Cambria Math" w:cs="Times New Roman"/>
                <w:szCs w:val="24"/>
              </w:rPr>
              <m:t>×</m:t>
            </m:r>
            <m:r>
              <w:rPr>
                <w:rFonts w:ascii="Cambria Math" w:eastAsia="Times New Roman" w:hAnsi="Cambria Math" w:cs="Times New Roman"/>
                <w:szCs w:val="24"/>
              </w:rPr>
              <m:t>d</m:t>
            </m:r>
          </m:sup>
        </m:sSup>
        <m:r>
          <m:rPr>
            <m:lit/>
          </m:rPr>
          <w:rPr>
            <w:rFonts w:ascii="Cambria Math" w:eastAsia="Times New Roman" w:hAnsi="Cambria Math" w:cs="Times New Roman"/>
            <w:szCs w:val="24"/>
          </w:rPr>
          <m:t>)</m:t>
        </m:r>
      </m:oMath>
      <w:r w:rsidRPr="00D27D24">
        <w:rPr>
          <w:rFonts w:eastAsia="Times New Roman" w:cs="Times New Roman"/>
          <w:szCs w:val="24"/>
        </w:rPr>
        <w:t xml:space="preserve"> son las matrices de </w:t>
      </w:r>
      <m:oMath>
        <m:r>
          <w:rPr>
            <w:rFonts w:ascii="Cambria Math" w:hAnsi="Cambria Math"/>
          </w:rPr>
          <m:t>query, key y value</m:t>
        </m:r>
      </m:oMath>
      <w:r w:rsidR="007832BB" w:rsidRPr="007832BB">
        <w:t xml:space="preserve">, respectivamente; </w:t>
      </w:r>
      <m:oMath>
        <m:r>
          <w:rPr>
            <w:rFonts w:ascii="Cambria Math" w:hAnsi="Cambria Math"/>
          </w:rPr>
          <m:t>d</m:t>
        </m:r>
      </m:oMath>
      <w:r w:rsidR="007832BB" w:rsidRPr="007832BB">
        <w:t xml:space="preserve"> es la dimensión de la </w:t>
      </w:r>
      <m:oMath>
        <m:r>
          <w:rPr>
            <w:rFonts w:ascii="Cambria Math" w:hAnsi="Cambria Math"/>
          </w:rPr>
          <m:t>query/key</m:t>
        </m:r>
      </m:oMath>
      <w:r w:rsidR="007832BB" w:rsidRPr="007832BB">
        <w:t xml:space="preserve">, y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7832BB" w:rsidRPr="007832BB">
        <w:t xml:space="preserve"> es el número de parches en una ventana.</w:t>
      </w:r>
      <w:r w:rsidR="00C27AB7">
        <w:t xml:space="preserve"> </w:t>
      </w:r>
      <w:r w:rsidR="00D248C2" w:rsidRPr="00D248C2">
        <w:rPr>
          <w:rFonts w:eastAsia="Times New Roman" w:cs="Times New Roman"/>
          <w:szCs w:val="24"/>
        </w:rPr>
        <w:t xml:space="preserve">En esta fórmula, </w:t>
      </w:r>
      <m:oMath>
        <m:r>
          <w:rPr>
            <w:rFonts w:ascii="Cambria Math" w:eastAsia="Times New Roman" w:hAnsi="Cambria Math" w:cs="Times New Roman"/>
            <w:szCs w:val="24"/>
          </w:rPr>
          <m:t>B</m:t>
        </m:r>
      </m:oMath>
      <w:r w:rsidR="00D248C2" w:rsidRPr="00D248C2">
        <w:rPr>
          <w:rFonts w:eastAsia="Times New Roman" w:cs="Times New Roman"/>
          <w:szCs w:val="24"/>
        </w:rPr>
        <w:t xml:space="preserve"> es el sesgo de posición relativa que se añade a la matriz de similitud </w:t>
      </w:r>
      <m:oMath>
        <m:r>
          <w:rPr>
            <w:rFonts w:ascii="Cambria Math" w:eastAsia="Times New Roman" w:hAnsi="Cambria Math" w:cs="Times New Roman"/>
            <w:szCs w:val="24"/>
          </w:rPr>
          <m:t>Q</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K</m:t>
            </m:r>
          </m:e>
          <m:sup>
            <m:r>
              <w:rPr>
                <w:rFonts w:ascii="Cambria Math" w:eastAsia="Times New Roman" w:hAnsi="Cambria Math" w:cs="Times New Roman"/>
                <w:szCs w:val="24"/>
              </w:rPr>
              <m:t>T</m:t>
            </m:r>
          </m:sup>
        </m:sSup>
        <m:r>
          <m:rPr>
            <m:lit/>
          </m:rPr>
          <w:rPr>
            <w:rFonts w:ascii="Cambria Math" w:eastAsia="Times New Roman" w:hAnsi="Cambria Math" w:cs="Times New Roman"/>
            <w:szCs w:val="24"/>
          </w:rPr>
          <m:t>/</m:t>
        </m:r>
        <m:rad>
          <m:radPr>
            <m:degHide m:val="1"/>
            <m:ctrlPr>
              <w:rPr>
                <w:rFonts w:ascii="Cambria Math" w:eastAsia="Times New Roman" w:hAnsi="Cambria Math" w:cs="Times New Roman"/>
                <w:szCs w:val="24"/>
              </w:rPr>
            </m:ctrlPr>
          </m:radPr>
          <m:deg>
            <m:ctrlPr>
              <w:rPr>
                <w:rFonts w:ascii="Cambria Math" w:eastAsia="Times New Roman" w:hAnsi="Cambria Math" w:cs="Times New Roman"/>
                <w:i/>
                <w:szCs w:val="24"/>
              </w:rPr>
            </m:ctrlPr>
          </m:deg>
          <m:e>
            <m:r>
              <w:rPr>
                <w:rFonts w:ascii="Cambria Math" w:eastAsia="Times New Roman" w:hAnsi="Cambria Math" w:cs="Times New Roman"/>
                <w:szCs w:val="24"/>
              </w:rPr>
              <m:t>d</m:t>
            </m:r>
          </m:e>
        </m:rad>
      </m:oMath>
      <w:r w:rsidR="00D248C2" w:rsidRPr="00D248C2">
        <w:rPr>
          <w:rFonts w:eastAsia="Times New Roman" w:cs="Times New Roman"/>
          <w:szCs w:val="24"/>
        </w:rPr>
        <w:t xml:space="preserve"> antes de aplicar la función SoftMax</w:t>
      </w:r>
      <w:r w:rsidR="00C27AB7">
        <w:rPr>
          <w:rFonts w:eastAsia="Times New Roman" w:cs="Times New Roman"/>
          <w:szCs w:val="24"/>
        </w:rPr>
        <w:t xml:space="preserve"> </w:t>
      </w:r>
      <w:r w:rsidR="00D248C2" w:rsidRPr="00D248C2">
        <w:rPr>
          <w:rFonts w:eastAsia="Times New Roman" w:cs="Times New Roman"/>
          <w:szCs w:val="24"/>
        </w:rPr>
        <w:t>y está diseñado para considerar la posición relativa de los parches dentro de una ventana</w:t>
      </w:r>
      <w:r w:rsidR="0078103A">
        <w:rPr>
          <w:rFonts w:eastAsia="Times New Roman" w:cs="Times New Roman"/>
          <w:szCs w:val="24"/>
        </w:rPr>
        <w:t xml:space="preserve"> </w:t>
      </w:r>
      <w:r w:rsidR="0078103A" w:rsidRPr="00100AA7">
        <w:rPr>
          <w:rFonts w:eastAsia="Times New Roman" w:cs="Times New Roman"/>
          <w:szCs w:val="24"/>
        </w:rPr>
        <w:t>(Liu et al., 2021)</w:t>
      </w:r>
      <w:r w:rsidR="00D248C2" w:rsidRPr="00D248C2">
        <w:rPr>
          <w:rFonts w:eastAsia="Times New Roman" w:cs="Times New Roman"/>
          <w:szCs w:val="24"/>
        </w:rPr>
        <w:t>.</w:t>
      </w:r>
    </w:p>
    <w:p w14:paraId="65C08CC5" w14:textId="61085577" w:rsidR="00EB01BA" w:rsidRPr="00C0571C" w:rsidRDefault="001E3502" w:rsidP="00EB01BA">
      <w:pPr>
        <w:spacing w:before="240" w:after="0"/>
        <w:rPr>
          <w:rFonts w:eastAsia="Times New Roman" w:cs="Times New Roman"/>
          <w:szCs w:val="24"/>
        </w:rPr>
      </w:pPr>
      <w:r w:rsidRPr="001E3502">
        <w:rPr>
          <w:rFonts w:eastAsia="Times New Roman" w:cs="Times New Roman"/>
          <w:b/>
          <w:szCs w:val="24"/>
        </w:rPr>
        <w:t>Bloque</w:t>
      </w:r>
      <w:r w:rsidRPr="00510BF8">
        <w:rPr>
          <w:rFonts w:eastAsia="Times New Roman" w:cs="Times New Roman"/>
          <w:b/>
          <w:szCs w:val="24"/>
        </w:rPr>
        <w:t xml:space="preserve"> </w:t>
      </w:r>
      <w:r w:rsidR="00EB01BA" w:rsidRPr="00C0571C">
        <w:rPr>
          <w:rFonts w:eastAsia="Times New Roman" w:cs="Times New Roman"/>
          <w:b/>
          <w:szCs w:val="24"/>
        </w:rPr>
        <w:t>Swin Transforme</w:t>
      </w:r>
      <w:r w:rsidRPr="00C0571C">
        <w:rPr>
          <w:rFonts w:eastAsia="Times New Roman" w:cs="Times New Roman"/>
          <w:b/>
          <w:szCs w:val="24"/>
        </w:rPr>
        <w:t>r</w:t>
      </w:r>
      <w:r w:rsidR="00EB01BA" w:rsidRPr="00C0571C">
        <w:rPr>
          <w:rFonts w:eastAsia="Times New Roman" w:cs="Times New Roman"/>
          <w:b/>
          <w:szCs w:val="24"/>
        </w:rPr>
        <w:t xml:space="preserve">: </w:t>
      </w:r>
      <w:r w:rsidR="00510BF8" w:rsidRPr="00510BF8">
        <w:rPr>
          <w:rFonts w:eastAsia="Times New Roman" w:cs="Times New Roman"/>
          <w:bCs/>
          <w:szCs w:val="24"/>
        </w:rPr>
        <w:t>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14:paraId="44F09D9B" w14:textId="28827BFD" w:rsidR="00C0571C" w:rsidRPr="00C0571C" w:rsidRDefault="00C0571C" w:rsidP="00F65E09">
      <w:pPr>
        <w:spacing w:before="240" w:after="0"/>
        <w:rPr>
          <w:rFonts w:eastAsia="Times New Roman" w:cs="Times New Roman"/>
          <w:szCs w:val="24"/>
        </w:rPr>
      </w:pPr>
      <w:r w:rsidRPr="00C0571C">
        <w:rPr>
          <w:rFonts w:eastAsia="Times New Roman" w:cs="Times New Roman"/>
          <w:b/>
          <w:szCs w:val="24"/>
        </w:rPr>
        <w:t>MSA (Multi-Head Self-Attention):</w:t>
      </w:r>
      <w:r w:rsidRPr="00C0571C">
        <w:rPr>
          <w:rFonts w:eastAsia="Times New Roman" w:cs="Times New Roman"/>
          <w:szCs w:val="24"/>
        </w:rPr>
        <w:t xml:space="preserve"> un tipo de mecanismo de atención que permite al modelo prestar atención a diferentes partes de la entrada de manera simultánea. Es esencial para la capacidad del transform</w:t>
      </w:r>
      <w:r>
        <w:rPr>
          <w:rFonts w:eastAsia="Times New Roman" w:cs="Times New Roman"/>
          <w:szCs w:val="24"/>
        </w:rPr>
        <w:t>er</w:t>
      </w:r>
      <w:r w:rsidRPr="00C0571C">
        <w:rPr>
          <w:rFonts w:eastAsia="Times New Roman" w:cs="Times New Roman"/>
          <w:szCs w:val="24"/>
        </w:rPr>
        <w:t xml:space="preserve"> de capturar relaciones a larga distancia.</w:t>
      </w:r>
    </w:p>
    <w:p w14:paraId="13C67097" w14:textId="77777777" w:rsidR="00EB01BA" w:rsidRPr="00327E79" w:rsidRDefault="00EB01BA" w:rsidP="00F20BF5">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5"/>
                    <a:srcRect/>
                    <a:stretch>
                      <a:fillRect/>
                    </a:stretch>
                  </pic:blipFill>
                  <pic:spPr>
                    <a:xfrm>
                      <a:off x="0" y="0"/>
                      <a:ext cx="5612400" cy="1574800"/>
                    </a:xfrm>
                    <a:prstGeom prst="rect">
                      <a:avLst/>
                    </a:prstGeom>
                    <a:ln/>
                  </pic:spPr>
                </pic:pic>
              </a:graphicData>
            </a:graphic>
          </wp:inline>
        </w:drawing>
      </w:r>
    </w:p>
    <w:p w14:paraId="3EDA0767" w14:textId="7C7CC9FE" w:rsidR="00EB01BA" w:rsidRPr="009E0C53" w:rsidRDefault="00EB01BA" w:rsidP="00EB01BA">
      <w:pPr>
        <w:spacing w:before="240" w:after="0"/>
        <w:jc w:val="center"/>
        <w:rPr>
          <w:rFonts w:eastAsia="Times New Roman" w:cs="Times New Roman"/>
          <w:szCs w:val="24"/>
        </w:rPr>
      </w:pPr>
      <w:r w:rsidRPr="009E0C53">
        <w:rPr>
          <w:rFonts w:eastAsia="Times New Roman" w:cs="Times New Roman"/>
          <w:b/>
          <w:szCs w:val="24"/>
        </w:rPr>
        <w:t>Figur</w:t>
      </w:r>
      <w:r w:rsidR="009E0C53" w:rsidRPr="009E0C53">
        <w:rPr>
          <w:rFonts w:eastAsia="Times New Roman" w:cs="Times New Roman"/>
          <w:b/>
          <w:szCs w:val="24"/>
        </w:rPr>
        <w:t>a</w:t>
      </w:r>
      <w:r w:rsidRPr="009E0C53">
        <w:rPr>
          <w:rFonts w:eastAsia="Times New Roman" w:cs="Times New Roman"/>
          <w:b/>
          <w:szCs w:val="24"/>
        </w:rPr>
        <w:t xml:space="preserve"> 4. </w:t>
      </w:r>
      <w:r w:rsidR="009E0C53" w:rsidRPr="009E0C53">
        <w:rPr>
          <w:rFonts w:eastAsia="Times New Roman" w:cs="Times New Roman"/>
          <w:szCs w:val="24"/>
        </w:rPr>
        <w:t xml:space="preserve">A la izquierda se encuentra la arquitectura de un Swin Transformer (Swin-T) y a la derecha están dos bloques sucesivos del Swin Transformer W-MSA y SW-MSA, que son módulos de </w:t>
      </w:r>
      <w:r w:rsidR="009E0C53">
        <w:rPr>
          <w:rFonts w:eastAsia="Times New Roman" w:cs="Times New Roman"/>
          <w:szCs w:val="24"/>
        </w:rPr>
        <w:t>auto-atención</w:t>
      </w:r>
      <w:r w:rsidR="009E0C53" w:rsidRPr="009E0C53">
        <w:rPr>
          <w:rFonts w:eastAsia="Times New Roman" w:cs="Times New Roman"/>
          <w:szCs w:val="24"/>
        </w:rPr>
        <w:t xml:space="preserve"> multi-cabeza con configuraciones de ventana regulares y </w:t>
      </w:r>
      <w:r w:rsidR="00C25344">
        <w:rPr>
          <w:rFonts w:eastAsia="Times New Roman" w:cs="Times New Roman"/>
          <w:szCs w:val="24"/>
        </w:rPr>
        <w:t>deslizantes</w:t>
      </w:r>
      <w:r w:rsidR="009E0C53" w:rsidRPr="009E0C53">
        <w:rPr>
          <w:rFonts w:eastAsia="Times New Roman" w:cs="Times New Roman"/>
          <w:szCs w:val="24"/>
        </w:rPr>
        <w:t>, respectivamente.</w:t>
      </w:r>
    </w:p>
    <w:p w14:paraId="5829D0B4" w14:textId="77FC615C" w:rsidR="007602A3" w:rsidRPr="007602A3" w:rsidRDefault="007602A3" w:rsidP="00D56E30">
      <w:pPr>
        <w:spacing w:before="240" w:after="0"/>
        <w:rPr>
          <w:rFonts w:eastAsia="Times New Roman" w:cs="Times New Roman"/>
          <w:b/>
          <w:szCs w:val="24"/>
        </w:rPr>
      </w:pPr>
      <w:r w:rsidRPr="007602A3">
        <w:rPr>
          <w:rFonts w:eastAsia="Times New Roman" w:cs="Times New Roman"/>
          <w:b/>
          <w:szCs w:val="24"/>
        </w:rPr>
        <w:t xml:space="preserve">MLP (Multi-Layer Perceptron): </w:t>
      </w:r>
      <w:r w:rsidRPr="007602A3">
        <w:rPr>
          <w:rFonts w:eastAsia="Times New Roman" w:cs="Times New Roman"/>
          <w:bCs/>
          <w:szCs w:val="24"/>
        </w:rPr>
        <w:t>Se refiere a una red neuronal completamente conectada. En el contexto de los transformadores, los MLP se utilizan para transformar características después de capas de atención.</w:t>
      </w:r>
    </w:p>
    <w:p w14:paraId="26D41BE1" w14:textId="5C703839" w:rsidR="008C4A24" w:rsidRPr="006D01A7" w:rsidRDefault="008C4A24" w:rsidP="00D56E30">
      <w:pPr>
        <w:spacing w:before="240" w:after="0"/>
        <w:rPr>
          <w:rFonts w:eastAsia="Times New Roman" w:cs="Times New Roman"/>
          <w:szCs w:val="24"/>
        </w:rPr>
      </w:pPr>
      <w:r w:rsidRPr="008C4A24">
        <w:rPr>
          <w:rFonts w:eastAsia="Times New Roman" w:cs="Times New Roman"/>
          <w:b/>
          <w:bCs/>
          <w:szCs w:val="24"/>
        </w:rPr>
        <w:t>LN (LayerNorm):</w:t>
      </w:r>
      <w:r w:rsidRPr="008C4A24">
        <w:rPr>
          <w:rFonts w:eastAsia="Times New Roman" w:cs="Times New Roman"/>
          <w:szCs w:val="24"/>
        </w:rPr>
        <w:t xml:space="preserve"> LN, o Normalización de Capa, es una técnica de normalización que se aplica a las características en una capa específica, en lugar de a un mini-lote específico. En Swin Transformer, </w:t>
      </w:r>
      <w:r>
        <w:rPr>
          <w:rFonts w:eastAsia="Times New Roman" w:cs="Times New Roman"/>
          <w:szCs w:val="24"/>
        </w:rPr>
        <w:t>LN</w:t>
      </w:r>
      <w:r w:rsidRPr="008C4A24">
        <w:rPr>
          <w:rFonts w:eastAsia="Times New Roman" w:cs="Times New Roman"/>
          <w:szCs w:val="24"/>
        </w:rPr>
        <w:t xml:space="preserve"> se aplica antes de cada módulo de </w:t>
      </w:r>
      <w:r>
        <w:rPr>
          <w:rFonts w:eastAsia="Times New Roman" w:cs="Times New Roman"/>
          <w:szCs w:val="24"/>
        </w:rPr>
        <w:t>auto-atención</w:t>
      </w:r>
      <w:r w:rsidRPr="008C4A24">
        <w:rPr>
          <w:rFonts w:eastAsia="Times New Roman" w:cs="Times New Roman"/>
          <w:szCs w:val="24"/>
        </w:rPr>
        <w:t xml:space="preserve"> multi-cabeza (MSA) y cada MLP. </w:t>
      </w:r>
      <w:r w:rsidRPr="006D01A7">
        <w:rPr>
          <w:rFonts w:eastAsia="Times New Roman" w:cs="Times New Roman"/>
          <w:szCs w:val="24"/>
        </w:rPr>
        <w:t>La normalización ayuda a estabilizar y acelerar el entrenamiento.</w:t>
      </w:r>
    </w:p>
    <w:p w14:paraId="1813E4E0" w14:textId="28671CF3" w:rsidR="00CF3E22" w:rsidRPr="00C13D1A" w:rsidRDefault="00CF3E22" w:rsidP="00D56E30">
      <w:pPr>
        <w:spacing w:before="240" w:after="0"/>
        <w:rPr>
          <w:rFonts w:eastAsia="Times New Roman" w:cs="Times New Roman"/>
          <w:szCs w:val="24"/>
        </w:rPr>
      </w:pPr>
      <w:r w:rsidRPr="00CF3E22">
        <w:rPr>
          <w:rFonts w:eastAsia="Times New Roman" w:cs="Times New Roman"/>
          <w:b/>
          <w:bCs/>
          <w:szCs w:val="24"/>
        </w:rPr>
        <w:t>Conexión Residual:</w:t>
      </w:r>
      <w:r w:rsidRPr="00CF3E22">
        <w:rPr>
          <w:rFonts w:eastAsia="Times New Roman" w:cs="Times New Roman"/>
          <w:szCs w:val="24"/>
        </w:rPr>
        <w:t xml:space="preserve"> En redes profundas, las conexiones residuales ayudan a evitar el problema de desvanecimiento del gradiente al permitir que las activaciones </w:t>
      </w:r>
      <w:r w:rsidR="00984548">
        <w:rPr>
          <w:rFonts w:eastAsia="Times New Roman" w:cs="Times New Roman"/>
          <w:szCs w:val="24"/>
        </w:rPr>
        <w:t>se salten</w:t>
      </w:r>
      <w:r w:rsidRPr="00CF3E22">
        <w:rPr>
          <w:rFonts w:eastAsia="Times New Roman" w:cs="Times New Roman"/>
          <w:szCs w:val="24"/>
        </w:rPr>
        <w:t xml:space="preserve"> una o más capas. En Swin Transformer, se aplica una conexión residual después de cada módulo de atención y cada MLP.</w:t>
      </w:r>
    </w:p>
    <w:p w14:paraId="0CCFC07C" w14:textId="0128B6F8" w:rsidR="00DE4269" w:rsidRPr="00DE4269" w:rsidRDefault="00DE4269" w:rsidP="00D56E30">
      <w:pPr>
        <w:spacing w:before="240" w:after="0"/>
        <w:rPr>
          <w:rFonts w:eastAsia="Times New Roman" w:cs="Times New Roman"/>
          <w:szCs w:val="24"/>
        </w:rPr>
      </w:pPr>
      <w:r w:rsidRPr="00DE4269">
        <w:rPr>
          <w:rFonts w:eastAsia="Times New Roman" w:cs="Times New Roman"/>
          <w:b/>
          <w:bCs/>
          <w:szCs w:val="24"/>
        </w:rPr>
        <w:lastRenderedPageBreak/>
        <w:t>Fusión de Parches:</w:t>
      </w:r>
      <w:r w:rsidRPr="00DE4269">
        <w:rPr>
          <w:rFonts w:eastAsia="Times New Roman" w:cs="Times New Roman"/>
          <w:szCs w:val="24"/>
        </w:rPr>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w:t>
      </w:r>
      <w:r w:rsidR="00B64D89">
        <w:rPr>
          <w:rFonts w:eastAsia="Times New Roman" w:cs="Times New Roman"/>
          <w:szCs w:val="24"/>
        </w:rPr>
        <w:t xml:space="preserve"> </w:t>
      </w:r>
      <w:r w:rsidR="00B64D89" w:rsidRPr="00100AA7">
        <w:rPr>
          <w:rFonts w:eastAsia="Times New Roman" w:cs="Times New Roman"/>
          <w:szCs w:val="24"/>
        </w:rPr>
        <w:t>(Liu et al., 2021)</w:t>
      </w:r>
      <w:r w:rsidRPr="00DE4269">
        <w:rPr>
          <w:rFonts w:eastAsia="Times New Roman" w:cs="Times New Roman"/>
          <w:szCs w:val="24"/>
        </w:rPr>
        <w:t>.</w:t>
      </w:r>
    </w:p>
    <w:p w14:paraId="4D5ADD3F" w14:textId="32DB5BA9" w:rsidR="00EB01BA" w:rsidRPr="00327E79" w:rsidRDefault="00306D07" w:rsidP="005B41C2">
      <w:pPr>
        <w:pStyle w:val="Ttulo3"/>
        <w:rPr>
          <w:lang w:val="en-US"/>
        </w:rPr>
      </w:pPr>
      <w:r w:rsidRPr="00306D07">
        <w:t>Ventajas</w:t>
      </w:r>
      <w:r>
        <w:rPr>
          <w:lang w:val="en-US"/>
        </w:rPr>
        <w:t xml:space="preserve"> de</w:t>
      </w:r>
      <w:r w:rsidR="00EB01BA" w:rsidRPr="00327E79">
        <w:rPr>
          <w:lang w:val="en-US"/>
        </w:rPr>
        <w:t xml:space="preserve"> Swin Transformer</w:t>
      </w:r>
    </w:p>
    <w:p w14:paraId="0E2AFFBB" w14:textId="088EFF83" w:rsidR="0075560B" w:rsidRPr="0075560B" w:rsidRDefault="0075560B" w:rsidP="00EB01BA">
      <w:pPr>
        <w:pStyle w:val="Prrafodelista"/>
        <w:numPr>
          <w:ilvl w:val="0"/>
          <w:numId w:val="28"/>
        </w:numPr>
        <w:spacing w:before="240" w:after="0"/>
        <w:rPr>
          <w:rFonts w:eastAsia="Times New Roman" w:cs="Times New Roman"/>
          <w:szCs w:val="24"/>
        </w:rPr>
      </w:pPr>
      <w:r w:rsidRPr="0075560B">
        <w:rPr>
          <w:rFonts w:eastAsia="Times New Roman" w:cs="Times New Roman"/>
          <w:b/>
          <w:bCs/>
          <w:szCs w:val="24"/>
        </w:rPr>
        <w:t>Eficiencia Computacional:</w:t>
      </w:r>
      <w:r w:rsidRPr="0075560B">
        <w:rPr>
          <w:rFonts w:eastAsia="Times New Roman" w:cs="Times New Roman"/>
          <w:szCs w:val="24"/>
        </w:rPr>
        <w:t xml:space="preserve"> Al evitar un enfoque global en toda la imagen, Swin Transformer es considerablemente más eficiente que los ViTs tradicionales, especialmente para imágenes de alta resolución.</w:t>
      </w:r>
    </w:p>
    <w:p w14:paraId="48065191" w14:textId="6E66FAD4" w:rsidR="00001F6E" w:rsidRPr="00001F6E" w:rsidRDefault="00001F6E" w:rsidP="00EB01BA">
      <w:pPr>
        <w:pStyle w:val="Prrafodelista"/>
        <w:numPr>
          <w:ilvl w:val="0"/>
          <w:numId w:val="28"/>
        </w:numPr>
        <w:spacing w:before="240" w:after="0"/>
        <w:rPr>
          <w:rFonts w:eastAsia="Times New Roman" w:cs="Times New Roman"/>
          <w:szCs w:val="24"/>
        </w:rPr>
      </w:pPr>
      <w:r w:rsidRPr="00001F6E">
        <w:rPr>
          <w:rFonts w:eastAsia="Times New Roman" w:cs="Times New Roman"/>
          <w:b/>
          <w:bCs/>
          <w:szCs w:val="24"/>
        </w:rPr>
        <w:t>Capacidad de Modelado:</w:t>
      </w:r>
      <w:r w:rsidRPr="00001F6E">
        <w:rPr>
          <w:rFonts w:eastAsia="Times New Roman" w:cs="Times New Roman"/>
          <w:szCs w:val="24"/>
        </w:rPr>
        <w:t xml:space="preserve"> La estructura piramidal permite al Swin Transformer capturar características en diferentes escalas, lo cual puede ser crucial para tareas como la detección de enfermedades en plantas, donde los patrones pueden variar en tamaño.</w:t>
      </w:r>
    </w:p>
    <w:p w14:paraId="2F309AAF" w14:textId="3A5B175F" w:rsidR="00463D5F" w:rsidRPr="00463D5F" w:rsidRDefault="00EB01BA" w:rsidP="008B4814">
      <w:pPr>
        <w:pStyle w:val="Prrafodelista"/>
        <w:numPr>
          <w:ilvl w:val="0"/>
          <w:numId w:val="28"/>
        </w:numPr>
        <w:spacing w:before="240" w:after="0"/>
        <w:rPr>
          <w:rFonts w:eastAsia="Times New Roman" w:cs="Times New Roman"/>
          <w:szCs w:val="24"/>
        </w:rPr>
      </w:pPr>
      <w:r w:rsidRPr="00463D5F">
        <w:rPr>
          <w:rFonts w:eastAsia="Times New Roman" w:cs="Times New Roman"/>
          <w:b/>
          <w:szCs w:val="24"/>
        </w:rPr>
        <w:t xml:space="preserve">Benchmarking: </w:t>
      </w:r>
      <w:r w:rsidR="00463D5F" w:rsidRPr="00463D5F">
        <w:rPr>
          <w:rFonts w:eastAsia="Times New Roman" w:cs="Times New Roman"/>
          <w:szCs w:val="24"/>
        </w:rPr>
        <w:t>Las pruebas han mostrado que el Swin Transformer tiene un</w:t>
      </w:r>
      <w:r w:rsidR="00463D5F">
        <w:rPr>
          <w:rFonts w:eastAsia="Times New Roman" w:cs="Times New Roman"/>
          <w:szCs w:val="24"/>
        </w:rPr>
        <w:t xml:space="preserve"> buen</w:t>
      </w:r>
      <w:r w:rsidR="00463D5F" w:rsidRPr="00463D5F">
        <w:rPr>
          <w:rFonts w:eastAsia="Times New Roman" w:cs="Times New Roman"/>
          <w:szCs w:val="24"/>
        </w:rPr>
        <w:t xml:space="preserve"> rendimiento</w:t>
      </w:r>
      <w:r w:rsidR="00463D5F">
        <w:rPr>
          <w:rFonts w:eastAsia="Times New Roman" w:cs="Times New Roman"/>
          <w:szCs w:val="24"/>
        </w:rPr>
        <w:t xml:space="preserve"> y supera a otras arquitecturas de</w:t>
      </w:r>
      <w:r w:rsidR="00463D5F" w:rsidRPr="00463D5F">
        <w:rPr>
          <w:rFonts w:eastAsia="Times New Roman" w:cs="Times New Roman"/>
          <w:szCs w:val="24"/>
        </w:rPr>
        <w:t xml:space="preserve"> ViTs y CNN en varios puntos de referencia</w:t>
      </w:r>
      <w:r w:rsidR="00DF2FAB">
        <w:rPr>
          <w:rFonts w:eastAsia="Times New Roman" w:cs="Times New Roman"/>
          <w:szCs w:val="24"/>
        </w:rPr>
        <w:t xml:space="preserve"> </w:t>
      </w:r>
      <w:r w:rsidR="00DF2FAB" w:rsidRPr="00B55F62">
        <w:t>(</w:t>
      </w:r>
      <w:r w:rsidR="00330F41" w:rsidRPr="00100AA7">
        <w:rPr>
          <w:rFonts w:eastAsia="Times New Roman" w:cs="Times New Roman"/>
          <w:szCs w:val="24"/>
        </w:rPr>
        <w:t>Liu et al., 2021</w:t>
      </w:r>
      <w:r w:rsidR="00330F41">
        <w:rPr>
          <w:rFonts w:eastAsia="Times New Roman" w:cs="Times New Roman"/>
          <w:szCs w:val="24"/>
        </w:rPr>
        <w:t xml:space="preserve">; </w:t>
      </w:r>
      <w:r w:rsidR="00DF2FAB" w:rsidRPr="00B55F62">
        <w:t>Papers With Code, 2023)</w:t>
      </w:r>
      <w:r w:rsidR="00463D5F" w:rsidRPr="00463D5F">
        <w:rPr>
          <w:rFonts w:eastAsia="Times New Roman" w:cs="Times New Roman"/>
          <w:szCs w:val="24"/>
        </w:rPr>
        <w:t>.</w:t>
      </w:r>
    </w:p>
    <w:p w14:paraId="5DEE25D8" w14:textId="3AF2D4DC" w:rsidR="000C345A" w:rsidRDefault="00046D3A" w:rsidP="000C345A">
      <w:pPr>
        <w:ind w:firstLine="360"/>
      </w:pPr>
      <w:r w:rsidRPr="00046D3A">
        <w:t xml:space="preserve">Después de explorar la arquitectura Swin Transformer, es </w:t>
      </w:r>
      <w:r w:rsidR="0040116E">
        <w:t>necesario</w:t>
      </w:r>
      <w:r w:rsidRPr="00046D3A">
        <w:t xml:space="preserve"> considerar </w:t>
      </w:r>
      <w:r w:rsidR="0040116E">
        <w:t>el</w:t>
      </w:r>
      <w:r w:rsidRPr="00046D3A">
        <w:t xml:space="preserve"> </w:t>
      </w:r>
      <w:r>
        <w:t>dataset</w:t>
      </w:r>
      <w:r w:rsidRPr="00046D3A">
        <w:t xml:space="preserve"> </w:t>
      </w:r>
      <w:r w:rsidR="0040116E">
        <w:t>en el que este modelo se va a entrenar y evaluar</w:t>
      </w:r>
      <w:r w:rsidR="000C345A">
        <w:t xml:space="preserve"> ya que las características propias del dataset también pueden influir en el resultado de</w:t>
      </w:r>
      <w:r w:rsidR="00D92BE6">
        <w:t>l entrenamiento</w:t>
      </w:r>
      <w:r w:rsidR="0011615D">
        <w:t xml:space="preserve"> del modelo.</w:t>
      </w:r>
    </w:p>
    <w:p w14:paraId="7428F355" w14:textId="7BBEB16B" w:rsidR="009408D0" w:rsidRDefault="009408D0" w:rsidP="00892F6C">
      <w:pPr>
        <w:pStyle w:val="Ttulo2"/>
      </w:pPr>
      <w:r>
        <w:t>Dataset</w:t>
      </w:r>
    </w:p>
    <w:p w14:paraId="3E64E06C" w14:textId="5780115E" w:rsidR="008761D7" w:rsidRDefault="00D15CE2" w:rsidP="00257544">
      <w:pPr>
        <w:ind w:firstLine="360"/>
      </w:pPr>
      <w:r>
        <w:t xml:space="preserve">Según Cappi et al. (2021) un "dataset" es una serie de realizaciones de una variable aleatoria o muestra, que es considerada representativa de alguna población si contiene características clave en proporciones similares a las de la población. En el contexto </w:t>
      </w:r>
      <w:r w:rsidR="00A16CBB">
        <w:t>del Machine Learning</w:t>
      </w:r>
      <w:r>
        <w:t xml:space="preserve">, un dataset </w:t>
      </w:r>
      <w:r>
        <w:lastRenderedPageBreak/>
        <w:t>agrupa muestras utilizadas para el desarrollo de un modelo. La población aquí corresponde a todas las posibles observaciones que pueden realizarse en el dominio operacional.</w:t>
      </w:r>
      <w:r w:rsidR="00257544">
        <w:t xml:space="preserve"> </w:t>
      </w:r>
      <w:r>
        <w:t>Los elementos de un dataset son llamados datos o muestras y son las realizaciones de las variables aleatorias de interés. Estos datos pueden incluir, por ejemplo, píxeles, imágenes o series temporales.</w:t>
      </w:r>
    </w:p>
    <w:p w14:paraId="2384ECA2" w14:textId="539886A8" w:rsidR="00D15CE2" w:rsidRDefault="00E3398B" w:rsidP="008761D7">
      <w:pPr>
        <w:ind w:firstLine="360"/>
      </w:pPr>
      <w:r w:rsidRPr="00E3398B">
        <w:t xml:space="preserve">La representatividad del dataset es crucial durante la fase de prueba </w:t>
      </w:r>
      <w:r>
        <w:t xml:space="preserve">y entrenamiento </w:t>
      </w:r>
      <w:r w:rsidRPr="00E3398B">
        <w:t xml:space="preserve">para evaluar correctamente el rendimiento operacional del sistema. </w:t>
      </w:r>
      <w:r w:rsidR="00D15CE2">
        <w:t>El dataset debe cubrir tanto como sea posible el dominio de situaciones que el sistema encontrará en operación. En el caso de procesamiento de imágenes, esto incluye varias condiciones físicas y ambientales, como objetos de interés, condiciones de exposición y condiciones ambientales, entre otros</w:t>
      </w:r>
      <w:r w:rsidR="006E7321">
        <w:t xml:space="preserve"> </w:t>
      </w:r>
      <w:r w:rsidR="001C1CF6" w:rsidRPr="001C1CF6">
        <w:t>(Cappi et al., 2021)</w:t>
      </w:r>
      <w:r w:rsidR="00D15CE2">
        <w:t>.</w:t>
      </w:r>
    </w:p>
    <w:p w14:paraId="7FF171C1" w14:textId="0203682F" w:rsidR="00AE54F0" w:rsidRDefault="002A4B29" w:rsidP="001E43BD">
      <w:pPr>
        <w:ind w:firstLine="360"/>
      </w:pPr>
      <w:r w:rsidRPr="00D24573">
        <w:t xml:space="preserve">Szeliski (2020) </w:t>
      </w:r>
      <w:r>
        <w:t>también</w:t>
      </w:r>
      <w:r w:rsidRPr="008C6C53">
        <w:t xml:space="preserve"> destaca la importancia de probar algoritmos en datasets desafiantes y representativos</w:t>
      </w:r>
      <w:r>
        <w:t xml:space="preserve"> y </w:t>
      </w:r>
      <w:r w:rsidR="00D24573" w:rsidRPr="00D24573">
        <w:t xml:space="preserve">describe cómo la disponibilidad de datasets etiquetados a gran escala, como ImageNet y Microsoft COCO, revolucionó el desarrollo de algoritmos de reconocimiento de imágenes. Estos conjuntos de datos no solo proporcionan métricas confiables para el seguimiento del progreso de los algoritmos, sino que también ofrecen suficientes datos etiquetados para desarrollar soluciones completas basadas en </w:t>
      </w:r>
      <w:r w:rsidR="008C45F4">
        <w:t>machine learning y Deep learning</w:t>
      </w:r>
      <w:r w:rsidR="00D24573">
        <w:t xml:space="preserve">. </w:t>
      </w:r>
    </w:p>
    <w:p w14:paraId="101E4BC4" w14:textId="7AFB860F" w:rsidR="00967BF3" w:rsidRPr="00D15CE2" w:rsidRDefault="00967BF3" w:rsidP="000538C6">
      <w:pPr>
        <w:ind w:firstLine="360"/>
      </w:pPr>
      <w:r w:rsidRPr="00967BF3">
        <w:t>Mohanty et al. (2016) abordan la complejidad de crear un dataset que minimice sesgos que puedan surgir durante el proceso de recopilación de datos. Subrayan la importancia de disponer de un conjunto de datos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14:paraId="2F259E94" w14:textId="3C90BD16" w:rsidR="0045324E" w:rsidRDefault="002A450E" w:rsidP="00892F6C">
      <w:pPr>
        <w:pStyle w:val="Ttulo2"/>
      </w:pPr>
      <w:r>
        <w:lastRenderedPageBreak/>
        <w:t>Dataset de p</w:t>
      </w:r>
      <w:r w:rsidR="00195D43">
        <w:t>lantVillage</w:t>
      </w:r>
    </w:p>
    <w:p w14:paraId="36D8C594" w14:textId="1B4615BD" w:rsidR="00B41261" w:rsidRPr="00327E79" w:rsidRDefault="00B41261" w:rsidP="006E4343">
      <w:pPr>
        <w:spacing w:before="240" w:after="0"/>
        <w:ind w:firstLine="720"/>
        <w:rPr>
          <w:rFonts w:eastAsia="Times New Roman" w:cs="Times New Roman"/>
          <w:szCs w:val="24"/>
        </w:rPr>
      </w:pPr>
      <w:r w:rsidRPr="004519FA">
        <w:rPr>
          <w:rFonts w:eastAsia="Times New Roman" w:cs="Times New Roman"/>
          <w:szCs w:val="24"/>
        </w:rPr>
        <w:t>El dataset PlantVillage proporciona un conjunto de datos de alta calidad para entrenar modelos de detección de enfermedades en plantas</w:t>
      </w:r>
      <w:r w:rsidR="00302F0B">
        <w:rPr>
          <w:rFonts w:eastAsia="Times New Roman" w:cs="Times New Roman"/>
          <w:szCs w:val="24"/>
        </w:rPr>
        <w:t>.</w:t>
      </w:r>
      <w:r w:rsidRPr="00B41261">
        <w:rPr>
          <w:rFonts w:eastAsia="Times New Roman" w:cs="Times New Roman"/>
          <w:szCs w:val="24"/>
        </w:rPr>
        <w:t xml:space="preserve"> Mohanty et al. (2016) afirman </w:t>
      </w:r>
      <w:r w:rsidR="006E4343" w:rsidRPr="00B41261">
        <w:rPr>
          <w:rFonts w:eastAsia="Times New Roman" w:cs="Times New Roman"/>
          <w:szCs w:val="24"/>
        </w:rPr>
        <w:t>que,</w:t>
      </w:r>
      <w:r w:rsidRPr="00B41261">
        <w:rPr>
          <w:rFonts w:eastAsia="Times New Roman" w:cs="Times New Roman"/>
          <w:szCs w:val="24"/>
        </w:rPr>
        <w:t xml:space="preserv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w:t>
      </w:r>
      <w:r w:rsidR="006E4343">
        <w:rPr>
          <w:rFonts w:eastAsia="Times New Roman" w:cs="Times New Roman"/>
          <w:szCs w:val="24"/>
        </w:rPr>
        <w:t xml:space="preserve"> </w:t>
      </w:r>
      <w:r w:rsidR="006E4343" w:rsidRPr="004519FA">
        <w:rPr>
          <w:rFonts w:eastAsia="Times New Roman" w:cs="Times New Roman"/>
          <w:szCs w:val="24"/>
        </w:rPr>
        <w:t>Este dataset incluye una amplia gama de clases de enfermedades del tomate, lo que lo hace idóneo para el objeto de esta investigación.</w:t>
      </w:r>
    </w:p>
    <w:p w14:paraId="33ADB411" w14:textId="681AD955" w:rsidR="00FD6CBD" w:rsidRDefault="008C13E8" w:rsidP="004E72C5">
      <w:pPr>
        <w:pStyle w:val="Ttulo3"/>
      </w:pPr>
      <w:r w:rsidRPr="00327E79">
        <w:t>Clases</w:t>
      </w:r>
      <w:r w:rsidR="0054452F">
        <w:t xml:space="preserve"> asociadas a la planta del tomate en</w:t>
      </w:r>
      <w:r w:rsidRPr="00327E79">
        <w:t xml:space="preserve"> del</w:t>
      </w:r>
      <w:r w:rsidR="00FD6CBD" w:rsidRPr="00327E79">
        <w:t xml:space="preserve"> dataset de plantVillage:</w:t>
      </w:r>
    </w:p>
    <w:p w14:paraId="651C5C16" w14:textId="22D5AE9E" w:rsidR="006E4343" w:rsidRPr="006E4343" w:rsidRDefault="006E4343" w:rsidP="006E4343">
      <w:r>
        <w:t xml:space="preserve">El dataset de plantVillage contiene 9 clases para enfermedades de </w:t>
      </w:r>
      <w:r w:rsidR="00570F86">
        <w:t>la planta</w:t>
      </w:r>
      <w:r>
        <w:t xml:space="preserve"> del tomate y una clase para la planta sana.</w:t>
      </w:r>
    </w:p>
    <w:p w14:paraId="29E1B5F0"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Yellow Leaf Curl Virus (YLCV)</w:t>
      </w:r>
    </w:p>
    <w:p w14:paraId="530D6FC9"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Bacterial Spot (Bctsp)</w:t>
      </w:r>
    </w:p>
    <w:p w14:paraId="45864351"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Late Blight (TLB)</w:t>
      </w:r>
    </w:p>
    <w:p w14:paraId="4AD15756"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Septoria leaf spot (SptL)</w:t>
      </w:r>
    </w:p>
    <w:p w14:paraId="5C106112"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Two Spotted Spider Mite (SpdM)</w:t>
      </w:r>
    </w:p>
    <w:p w14:paraId="7B68DFC7"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Target Spot (TISS)</w:t>
      </w:r>
    </w:p>
    <w:p w14:paraId="015DD93F"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Early Blight (TEB)</w:t>
      </w:r>
    </w:p>
    <w:p w14:paraId="0863F46C"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Leaf Mold (LMld)</w:t>
      </w:r>
    </w:p>
    <w:p w14:paraId="7DA47EFE"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Mosaic Virus (MscV)</w:t>
      </w:r>
    </w:p>
    <w:p w14:paraId="2FEAA118" w14:textId="2AA8BE9D"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healthy (Hlth)</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2095C1C7" w14:textId="74DE283E" w:rsidR="00B46410" w:rsidRPr="00B46410" w:rsidRDefault="00B46410" w:rsidP="00B46410">
      <w:pPr>
        <w:ind w:firstLine="360"/>
      </w:pPr>
      <w:r w:rsidRPr="00B46410">
        <w:t xml:space="preserve">El dataset de PlantVillage constituye una base sólida para el entrenamiento de modelos de diagnóstico de enfermedades en plantas. Sin embargo, como se menciona en la obra de Szeliski (2020), un método eficaz para minimizar el sobreajuste en tareas de clasificación de imágenes es el aumento de datos. Esta técnica consiste en perturbar las entradas y/o salidas de las muestras ya recogidas para ampliar el conjunto de entrenamiento. En el contexto de tareas de </w:t>
      </w:r>
      <w:r w:rsidR="006D01A7">
        <w:t>visión artificial</w:t>
      </w:r>
      <w:r w:rsidRPr="00B46410">
        <w:t>, como la clasificación de imágenes, este enfoque resulta especialmente útil dado que obtener ejemplos etiquetados puede ser costoso y las clases de imágenes deben mantenerse constantes bajo pequeñas perturbaciones locales.</w:t>
      </w:r>
    </w:p>
    <w:p w14:paraId="016FF7D7" w14:textId="77777777" w:rsidR="009F147C" w:rsidRPr="009F147C" w:rsidRDefault="009F147C" w:rsidP="009F147C">
      <w:pPr>
        <w:ind w:firstLine="360"/>
      </w:pPr>
      <w:r w:rsidRPr="009F147C">
        <w:t>De acuerdo con el artículo de Khosla y Saini (2020), el aumento de datos se clasifica en dos categorías principales: transformaciones geométricas y sobremuestreo. Las transformaciones geométricas abarcan una variedad de técnicas que alteran la estructura y apariencia de las imágenes. Entre ellas se incluyen el volteo, que invierte la imagen; el cambio en el espacio de color, que podría convertir una imagen de RGB a escala de grises; el recorte, que elimina segmentos de la imagen; la rotación, que gira la imagen en un ángulo específico; la traslación, que desplaza la imagen en su plano; y la inyección de ruido, que añade ruido a la imagen. Aunque estas técnicas pueden incrementar la memoria y el tiempo de entrenamiento, son útiles para mitigar sesgos posicionales en los conjuntos de datos.</w:t>
      </w:r>
    </w:p>
    <w:p w14:paraId="06BD123A" w14:textId="455C9387" w:rsidR="009F147C" w:rsidRDefault="009F147C" w:rsidP="00F16A4C">
      <w:pPr>
        <w:ind w:firstLine="360"/>
      </w:pPr>
      <w:r w:rsidRPr="009F147C">
        <w:t>Por otro lado, el sobremuestreo incluye métodos como la mezcla de imágenes, donde una nueva imagen se crea superponiendo dos imágenes seleccionadas al azar del conjunto de entrenamiento. Este método puede generar</w:t>
      </w:r>
      <w:r w:rsidR="006A6573">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9F147C">
        <w:t xml:space="preserve"> nuevas muestras a partir d</w:t>
      </w:r>
      <w:r w:rsidR="006A6573">
        <w:t xml:space="preserve">e </w:t>
      </w:r>
      <m:oMath>
        <m:r>
          <w:rPr>
            <w:rFonts w:ascii="Cambria Math" w:hAnsi="Cambria Math"/>
          </w:rPr>
          <m:t>N</m:t>
        </m:r>
      </m:oMath>
      <w:r w:rsidR="006A6573">
        <w:t xml:space="preserve"> m</w:t>
      </w:r>
      <w:r w:rsidRPr="009F147C">
        <w:t xml:space="preserve">uestras existentes. </w:t>
      </w:r>
      <w:r w:rsidRPr="009F147C">
        <w:lastRenderedPageBreak/>
        <w:t xml:space="preserve">Además, se pueden hacer modificaciones en el espacio de características de bajo nivel de las imágenes, a través de técnicas como la interpolación y la extrapolación. Las Redes Generativas Antagónicas (GANs) también se utilizan en el sobremuestreo para crear muestras sintéticas que mantienen las características del conjunto de datos original. </w:t>
      </w:r>
      <w:r w:rsidR="00E02FA5">
        <w:t>La</w:t>
      </w:r>
      <w:r w:rsidRPr="009F147C">
        <w:t xml:space="preserve"> incorporación de estas técnicas de aumento de datos tiene el potencial de mejorar el rendimiento del modelo, especialmente cuando el conjunto de datos original es limitado o desequilibrado.</w:t>
      </w:r>
    </w:p>
    <w:p w14:paraId="6FBF3677" w14:textId="63D1E7F8" w:rsidR="00B46410" w:rsidRDefault="00B46410" w:rsidP="00E02FA5">
      <w:pPr>
        <w:ind w:firstLine="360"/>
      </w:pPr>
      <w:r w:rsidRPr="00B46410">
        <w:t xml:space="preserve">Yang et al. (2022) señalan que, aunque se ha prestado mucha atención al diseño de arquitecturas de red y al aumento de la capacidad de cálculo, se ha prestado menos atención a la generación de datos de entrenamiento cualificados mediante métodos de aumento de datos. Este descuido limita la eficiencia y la escalabilidad de las soluciones de visión </w:t>
      </w:r>
      <w:r w:rsidR="006342D7">
        <w:t>artificial</w:t>
      </w:r>
      <w:r w:rsidR="009F147C">
        <w:t>.</w:t>
      </w:r>
    </w:p>
    <w:p w14:paraId="18BE9BDF" w14:textId="5033FF9C" w:rsidR="00D6421E" w:rsidRPr="00B46410" w:rsidRDefault="00D6421E" w:rsidP="00D6421E">
      <w:pPr>
        <w:ind w:firstLine="360"/>
      </w:pPr>
      <w:r>
        <w:t>En</w:t>
      </w:r>
      <w:r w:rsidRPr="00D6421E">
        <w:t xml:space="preserve"> el ámbito de la visión </w:t>
      </w:r>
      <w:r w:rsidR="00993F5C">
        <w:t>artificial</w:t>
      </w:r>
      <w:r w:rsidRPr="00D6421E">
        <w:t>, el aumento de datos puede añadir variabilidad al conjunto de datos de entrenamiento, lo que es especialmente valioso cuando el conjunto de datos es limitado o desequilibrado. Este proceso tiene implicaciones directas en las métricas de evaluación, ya que un modelo bien ajustado a un conjunto de datos más diverso podría mostrar un rendimiento más generalizado.</w:t>
      </w:r>
    </w:p>
    <w:p w14:paraId="28CAA28D" w14:textId="77777777" w:rsidR="00892F6C" w:rsidRDefault="00892F6C" w:rsidP="00892F6C">
      <w:pPr>
        <w:pStyle w:val="Ttulo2"/>
        <w:rPr>
          <w:rStyle w:val="Ttulo2Car"/>
          <w:b/>
          <w:bCs/>
        </w:rPr>
      </w:pPr>
      <w:r w:rsidRPr="00892F6C">
        <w:rPr>
          <w:rStyle w:val="Ttulo2Car"/>
          <w:b/>
          <w:bCs/>
        </w:rPr>
        <w:t>Métricas de Evaluación</w:t>
      </w:r>
    </w:p>
    <w:p w14:paraId="425B661A" w14:textId="5BD93EFD" w:rsidR="00993F5C" w:rsidRDefault="00993F5C" w:rsidP="008C6BF7">
      <w:pPr>
        <w:ind w:firstLine="360"/>
      </w:pPr>
      <w:r w:rsidRPr="00993F5C">
        <w:t xml:space="preserve">Para evaluar el rendimiento de un modelo de clasificación, Szeliski (2020) y Flach &amp; Kull (2015) sugieren una serie de métricas, incluyendo </w:t>
      </w:r>
      <w:r>
        <w:t>Accuracy</w:t>
      </w:r>
      <w:r w:rsidRPr="00993F5C">
        <w:t>,</w:t>
      </w:r>
      <w:r>
        <w:t xml:space="preserve"> Precision</w:t>
      </w:r>
      <w:r w:rsidR="00CF0732">
        <w:t xml:space="preserve">, </w:t>
      </w:r>
      <w:r>
        <w:t>Recall y F1-score</w:t>
      </w:r>
      <w:r w:rsidR="006420CD">
        <w:t>.</w:t>
      </w:r>
      <w:r w:rsidRPr="00993F5C">
        <w:t xml:space="preserve"> Estas métricas son especialmente relevantes para conjuntos de datos desequilibrados, que </w:t>
      </w:r>
      <w:r w:rsidR="009D4A95">
        <w:t xml:space="preserve">es </w:t>
      </w:r>
      <w:r w:rsidR="006420CD">
        <w:t>uno de los</w:t>
      </w:r>
      <w:r w:rsidR="009D4A95">
        <w:t xml:space="preserve"> caso</w:t>
      </w:r>
      <w:r w:rsidR="006420CD">
        <w:t>s</w:t>
      </w:r>
      <w:r w:rsidR="009D4A95">
        <w:t xml:space="preserve"> más habitual</w:t>
      </w:r>
      <w:r w:rsidR="006420CD">
        <w:t>es</w:t>
      </w:r>
      <w:r w:rsidRPr="00993F5C">
        <w:t xml:space="preserve"> en tareas de visión </w:t>
      </w:r>
      <w:r>
        <w:t>artificial</w:t>
      </w:r>
      <w:r w:rsidRPr="00993F5C">
        <w:t>.</w:t>
      </w:r>
      <w:r w:rsidR="008C6BF7">
        <w:t xml:space="preserve"> </w:t>
      </w:r>
      <w:r w:rsidR="002462AF" w:rsidRPr="002462AF">
        <w:t>Antes de profundizar en dichas métricas, es fundamental clasificar las predicciones del modelo en las siguientes categorías:</w:t>
      </w:r>
    </w:p>
    <w:p w14:paraId="1B71CD04" w14:textId="77777777" w:rsidR="00955CAD" w:rsidRDefault="00955CAD" w:rsidP="008C6BF7">
      <w:pPr>
        <w:ind w:firstLine="360"/>
      </w:pP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lastRenderedPageBreak/>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ACCC712" w14:textId="4402761E" w:rsidR="00F150AC" w:rsidRDefault="00F150AC" w:rsidP="008C6BF7">
      <w:pPr>
        <w:spacing w:before="240" w:after="0"/>
        <w:ind w:left="360"/>
        <w:rPr>
          <w:rFonts w:eastAsia="Times New Roman" w:cs="Times New Roman"/>
          <w:szCs w:val="24"/>
        </w:rPr>
      </w:pPr>
      <w:r w:rsidRPr="00F150AC">
        <w:rPr>
          <w:rFonts w:eastAsia="Times New Roman" w:cs="Times New Roman"/>
          <w:szCs w:val="24"/>
        </w:rPr>
        <w:t>A partir de estas categorizaciones, se derivan las siguientes métricas</w:t>
      </w:r>
      <w:r>
        <w:rPr>
          <w:rFonts w:eastAsia="Times New Roman" w:cs="Times New Roman"/>
          <w:szCs w:val="24"/>
        </w:rPr>
        <w:t>:</w:t>
      </w:r>
    </w:p>
    <w:p w14:paraId="638CE44C" w14:textId="6BF9C8A6" w:rsidR="00892F6C" w:rsidRPr="007A1CF2" w:rsidRDefault="00F00FC9" w:rsidP="00641C82">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 xml:space="preserve">Accuracy </m:t>
          </m:r>
          <m:d>
            <m:dPr>
              <m:ctrlPr>
                <w:rPr>
                  <w:rFonts w:ascii="Cambria Math" w:eastAsia="Times New Roman" w:hAnsi="Cambria Math" w:cs="Times New Roman"/>
                  <w:i/>
                  <w:szCs w:val="24"/>
                </w:rPr>
              </m:ctrlPr>
            </m:dPr>
            <m:e>
              <m:r>
                <w:rPr>
                  <w:rFonts w:ascii="Cambria Math" w:eastAsia="Times New Roman" w:hAnsi="Cambria Math" w:cs="Times New Roman"/>
                  <w:szCs w:val="24"/>
                </w:rPr>
                <m:t>Exactitud</m:t>
              </m:r>
            </m:e>
          </m:d>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TP+TN</m:t>
              </m:r>
            </m:num>
            <m:den>
              <m:r>
                <w:rPr>
                  <w:rFonts w:ascii="Cambria Math" w:eastAsia="Times New Roman" w:hAnsi="Cambria Math" w:cs="Times New Roman"/>
                  <w:szCs w:val="24"/>
                </w:rPr>
                <m:t>TP+TN+FP+FN</m:t>
              </m:r>
            </m:den>
          </m:f>
        </m:oMath>
      </m:oMathPara>
    </w:p>
    <w:p w14:paraId="472CBF93" w14:textId="12A41C29" w:rsidR="00C17EA8" w:rsidRPr="007A1CF2" w:rsidRDefault="00C17EA8" w:rsidP="00641C82">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Precision=</m:t>
          </m:r>
          <m:f>
            <m:fPr>
              <m:ctrlPr>
                <w:rPr>
                  <w:rFonts w:ascii="Cambria Math" w:eastAsia="Times New Roman" w:hAnsi="Cambria Math" w:cs="Times New Roman"/>
                  <w:i/>
                  <w:szCs w:val="24"/>
                </w:rPr>
              </m:ctrlPr>
            </m:fPr>
            <m:num>
              <m:r>
                <w:rPr>
                  <w:rFonts w:ascii="Cambria Math" w:eastAsia="Times New Roman" w:hAnsi="Cambria Math" w:cs="Times New Roman"/>
                  <w:szCs w:val="24"/>
                </w:rPr>
                <m:t>TP</m:t>
              </m:r>
            </m:num>
            <m:den>
              <m:r>
                <w:rPr>
                  <w:rFonts w:ascii="Cambria Math" w:eastAsia="Times New Roman" w:hAnsi="Cambria Math" w:cs="Times New Roman"/>
                  <w:szCs w:val="24"/>
                </w:rPr>
                <m:t>TP+FP</m:t>
              </m:r>
            </m:den>
          </m:f>
        </m:oMath>
      </m:oMathPara>
    </w:p>
    <w:p w14:paraId="24FF5312" w14:textId="662945E8" w:rsidR="007A1CF2" w:rsidRPr="007A1CF2" w:rsidRDefault="007A1CF2" w:rsidP="007A1CF2">
      <w:pPr>
        <w:spacing w:before="240" w:after="0"/>
        <w:ind w:left="360"/>
        <w:rPr>
          <w:rFonts w:eastAsia="Times New Roman" w:cs="Times New Roman"/>
          <w:szCs w:val="24"/>
        </w:rPr>
      </w:pPr>
      <w:r>
        <w:rPr>
          <w:rFonts w:eastAsia="Times New Roman" w:cs="Times New Roman"/>
          <w:szCs w:val="24"/>
        </w:rPr>
        <w:t>(5)</w:t>
      </w:r>
    </w:p>
    <w:p w14:paraId="59DB4D2F" w14:textId="73ABE9EC" w:rsidR="00892F6C" w:rsidRPr="007A1CF2" w:rsidRDefault="00C17EA8" w:rsidP="00C17EA8">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Recall=</m:t>
          </m:r>
          <m:f>
            <m:fPr>
              <m:ctrlPr>
                <w:rPr>
                  <w:rFonts w:ascii="Cambria Math" w:eastAsia="Times New Roman" w:hAnsi="Cambria Math" w:cs="Times New Roman"/>
                  <w:i/>
                  <w:szCs w:val="24"/>
                </w:rPr>
              </m:ctrlPr>
            </m:fPr>
            <m:num>
              <m:r>
                <w:rPr>
                  <w:rFonts w:ascii="Cambria Math" w:eastAsia="Times New Roman" w:hAnsi="Cambria Math" w:cs="Times New Roman"/>
                  <w:szCs w:val="24"/>
                </w:rPr>
                <m:t>TP</m:t>
              </m:r>
            </m:num>
            <m:den>
              <m:r>
                <w:rPr>
                  <w:rFonts w:ascii="Cambria Math" w:eastAsia="Times New Roman" w:hAnsi="Cambria Math" w:cs="Times New Roman"/>
                  <w:szCs w:val="24"/>
                </w:rPr>
                <m:t>TP+FN</m:t>
              </m:r>
            </m:den>
          </m:f>
        </m:oMath>
      </m:oMathPara>
    </w:p>
    <w:p w14:paraId="4DD4E747" w14:textId="112D7811" w:rsidR="00772DCE" w:rsidRPr="007A1CF2" w:rsidRDefault="00C17EA8" w:rsidP="00C17EA8">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F1-Score=2×</m:t>
          </m:r>
          <m:f>
            <m:fPr>
              <m:ctrlPr>
                <w:rPr>
                  <w:rFonts w:ascii="Cambria Math" w:eastAsia="Times New Roman" w:hAnsi="Cambria Math" w:cs="Times New Roman"/>
                  <w:i/>
                  <w:szCs w:val="24"/>
                </w:rPr>
              </m:ctrlPr>
            </m:fPr>
            <m:num>
              <m:r>
                <w:rPr>
                  <w:rFonts w:ascii="Cambria Math" w:eastAsia="Times New Roman" w:hAnsi="Cambria Math" w:cs="Times New Roman"/>
                  <w:szCs w:val="24"/>
                </w:rPr>
                <m:t>Precision×Recall</m:t>
              </m:r>
            </m:num>
            <m:den>
              <m:r>
                <w:rPr>
                  <w:rFonts w:ascii="Cambria Math" w:eastAsia="Times New Roman" w:hAnsi="Cambria Math" w:cs="Times New Roman"/>
                  <w:szCs w:val="24"/>
                </w:rPr>
                <m:t>Precision+Recall</m:t>
              </m:r>
            </m:den>
          </m:f>
        </m:oMath>
      </m:oMathPara>
    </w:p>
    <w:p w14:paraId="7AE31970" w14:textId="44886591" w:rsidR="00F97186" w:rsidRPr="00F97186" w:rsidRDefault="00F97186" w:rsidP="00F027BF">
      <w:pPr>
        <w:spacing w:before="240" w:after="0"/>
        <w:ind w:firstLine="360"/>
        <w:rPr>
          <w:rFonts w:eastAsia="Times New Roman" w:cs="Times New Roman"/>
          <w:szCs w:val="24"/>
        </w:rPr>
      </w:pPr>
      <w:r>
        <w:rPr>
          <w:rFonts w:eastAsia="Times New Roman" w:cs="Times New Roman"/>
          <w:szCs w:val="24"/>
        </w:rPr>
        <w:t xml:space="preserve">El </w:t>
      </w:r>
      <w:r w:rsidR="000C3546">
        <w:rPr>
          <w:rFonts w:eastAsia="Times New Roman" w:cs="Times New Roman"/>
          <w:szCs w:val="24"/>
        </w:rPr>
        <w:t>A</w:t>
      </w:r>
      <w:r>
        <w:rPr>
          <w:rFonts w:eastAsia="Times New Roman" w:cs="Times New Roman"/>
          <w:szCs w:val="24"/>
        </w:rPr>
        <w:t>ccuracy</w:t>
      </w:r>
      <w:r w:rsidRPr="00F97186">
        <w:rPr>
          <w:rFonts w:eastAsia="Times New Roman" w:cs="Times New Roman"/>
          <w:szCs w:val="24"/>
        </w:rPr>
        <w:t xml:space="preserve">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w:t>
      </w:r>
      <w:r w:rsidR="00F027BF">
        <w:rPr>
          <w:rFonts w:eastAsia="Times New Roman" w:cs="Times New Roman"/>
          <w:szCs w:val="24"/>
        </w:rPr>
        <w:t xml:space="preserve"> La “P</w:t>
      </w:r>
      <w:r w:rsidR="000C3546">
        <w:rPr>
          <w:rFonts w:eastAsia="Times New Roman" w:cs="Times New Roman"/>
          <w:szCs w:val="24"/>
        </w:rPr>
        <w:t>recision</w:t>
      </w:r>
      <w:r w:rsidR="00F027BF">
        <w:rPr>
          <w:rFonts w:eastAsia="Times New Roman" w:cs="Times New Roman"/>
          <w:szCs w:val="24"/>
        </w:rPr>
        <w:t>”</w:t>
      </w:r>
      <w:r w:rsidR="000C3546" w:rsidRPr="000C3546">
        <w:rPr>
          <w:rFonts w:eastAsia="Times New Roman" w:cs="Times New Roman"/>
          <w:szCs w:val="24"/>
        </w:rPr>
        <w:t xml:space="preserve"> mide la proporción de verdaderos positivos (casos positivos predichos correctamente) de todos los casos predichos como positivos</w:t>
      </w:r>
      <w:r w:rsidR="005959D5">
        <w:rPr>
          <w:rFonts w:eastAsia="Times New Roman" w:cs="Times New Roman"/>
          <w:szCs w:val="24"/>
        </w:rPr>
        <w:t xml:space="preserve">, </w:t>
      </w:r>
      <w:r w:rsidR="000C3546" w:rsidRPr="000C3546">
        <w:rPr>
          <w:rFonts w:eastAsia="Times New Roman" w:cs="Times New Roman"/>
          <w:szCs w:val="24"/>
        </w:rPr>
        <w:t>es útil cuando el coste de los falsos positivos es elevado, como en el diagnóstico médico.</w:t>
      </w:r>
      <w:r w:rsidR="00F027BF">
        <w:rPr>
          <w:rFonts w:eastAsia="Times New Roman" w:cs="Times New Roman"/>
          <w:szCs w:val="24"/>
        </w:rPr>
        <w:t xml:space="preserve"> El “Recall”</w:t>
      </w:r>
      <w:r w:rsidR="00F027BF" w:rsidRPr="00F027BF">
        <w:rPr>
          <w:rFonts w:eastAsia="Times New Roman" w:cs="Times New Roman"/>
          <w:szCs w:val="24"/>
        </w:rPr>
        <w:t xml:space="preserve"> mide la </w:t>
      </w:r>
      <w:r w:rsidR="00F027BF" w:rsidRPr="00F027BF">
        <w:rPr>
          <w:rFonts w:eastAsia="Times New Roman" w:cs="Times New Roman"/>
          <w:szCs w:val="24"/>
        </w:rPr>
        <w:lastRenderedPageBreak/>
        <w:t>proporción de verdaderos positivos entre todos los casos positivos reales</w:t>
      </w:r>
      <w:r w:rsidR="005959D5">
        <w:rPr>
          <w:rFonts w:eastAsia="Times New Roman" w:cs="Times New Roman"/>
          <w:szCs w:val="24"/>
        </w:rPr>
        <w:t xml:space="preserve"> y </w:t>
      </w:r>
      <w:r w:rsidR="00F027BF" w:rsidRPr="00F027BF">
        <w:rPr>
          <w:rFonts w:eastAsia="Times New Roman" w:cs="Times New Roman"/>
          <w:szCs w:val="24"/>
        </w:rPr>
        <w:t>es útil cuando el coste de los falsos negativos es elevado, como en la detección de fraudes.</w:t>
      </w:r>
      <w:r w:rsidR="00F7278F">
        <w:rPr>
          <w:rFonts w:eastAsia="Times New Roman" w:cs="Times New Roman"/>
          <w:szCs w:val="24"/>
        </w:rPr>
        <w:t xml:space="preserve"> “F1-score”</w:t>
      </w:r>
      <w:r w:rsidR="00F7278F" w:rsidRPr="00F7278F">
        <w:rPr>
          <w:rFonts w:eastAsia="Times New Roman" w:cs="Times New Roman"/>
          <w:szCs w:val="24"/>
        </w:rPr>
        <w:t xml:space="preserve"> es la media armónica de </w:t>
      </w:r>
      <w:r w:rsidR="00605C4B">
        <w:rPr>
          <w:rFonts w:eastAsia="Times New Roman" w:cs="Times New Roman"/>
          <w:szCs w:val="24"/>
        </w:rPr>
        <w:t>“Precision”</w:t>
      </w:r>
      <w:r w:rsidR="00F7278F" w:rsidRPr="00F7278F">
        <w:rPr>
          <w:rFonts w:eastAsia="Times New Roman" w:cs="Times New Roman"/>
          <w:szCs w:val="24"/>
        </w:rPr>
        <w:t xml:space="preserve"> </w:t>
      </w:r>
      <w:r w:rsidR="00447567" w:rsidRPr="00F7278F">
        <w:rPr>
          <w:rFonts w:eastAsia="Times New Roman" w:cs="Times New Roman"/>
          <w:szCs w:val="24"/>
        </w:rPr>
        <w:t>y</w:t>
      </w:r>
      <w:r w:rsidR="00447567">
        <w:rPr>
          <w:rFonts w:eastAsia="Times New Roman" w:cs="Times New Roman"/>
          <w:szCs w:val="24"/>
        </w:rPr>
        <w:t>” Recall</w:t>
      </w:r>
      <w:r w:rsidR="00605C4B">
        <w:rPr>
          <w:rFonts w:eastAsia="Times New Roman" w:cs="Times New Roman"/>
          <w:szCs w:val="24"/>
        </w:rPr>
        <w:t>”</w:t>
      </w:r>
      <w:r w:rsidR="00F7278F" w:rsidRPr="00F7278F">
        <w:rPr>
          <w:rFonts w:eastAsia="Times New Roman" w:cs="Times New Roman"/>
          <w:szCs w:val="24"/>
        </w:rPr>
        <w:t>, y equilibra la compensación entre ambas</w:t>
      </w:r>
      <w:r w:rsidR="00605C4B">
        <w:rPr>
          <w:rFonts w:eastAsia="Times New Roman" w:cs="Times New Roman"/>
          <w:szCs w:val="24"/>
        </w:rPr>
        <w:t xml:space="preserve">, </w:t>
      </w:r>
      <w:r w:rsidR="00F7278F" w:rsidRPr="00F7278F">
        <w:rPr>
          <w:rFonts w:eastAsia="Times New Roman" w:cs="Times New Roman"/>
          <w:szCs w:val="24"/>
        </w:rPr>
        <w:t>es útil cuando tanto la precisión como la recuperación son importantes, y se suele utilizar en problemas de clasificación binaria</w:t>
      </w:r>
      <w:r w:rsidR="00F00FC9">
        <w:rPr>
          <w:rFonts w:eastAsia="Times New Roman" w:cs="Times New Roman"/>
          <w:szCs w:val="24"/>
        </w:rPr>
        <w:t xml:space="preserve"> </w:t>
      </w:r>
      <w:r w:rsidR="00F00FC9" w:rsidRPr="00F00FC9">
        <w:rPr>
          <w:rFonts w:eastAsia="Times New Roman" w:cs="Times New Roman"/>
          <w:szCs w:val="24"/>
        </w:rPr>
        <w:t>(Flach &amp; Kull, 2015)</w:t>
      </w:r>
      <w:r w:rsidR="00F7278F" w:rsidRPr="00F7278F">
        <w:rPr>
          <w:rFonts w:eastAsia="Times New Roman" w:cs="Times New Roman"/>
          <w:szCs w:val="24"/>
        </w:rPr>
        <w:t>.</w:t>
      </w:r>
    </w:p>
    <w:p w14:paraId="5ABD9AD9" w14:textId="77777777" w:rsidR="002B086C" w:rsidRDefault="00E46A97" w:rsidP="00892F6C">
      <w:pPr>
        <w:pStyle w:val="Ttulo2"/>
      </w:pPr>
      <w:r w:rsidRPr="00327E79">
        <w:t>Matriz de Confusión</w:t>
      </w:r>
    </w:p>
    <w:p w14:paraId="0B7A7392" w14:textId="25B26DBE" w:rsidR="00461EF8" w:rsidRDefault="00461EF8" w:rsidP="00C5669B">
      <w:pPr>
        <w:ind w:firstLine="360"/>
      </w:pPr>
      <w:r>
        <w:t xml:space="preserve">La matriz de confusión es un recurso visual y analítico que permite descomponer las predicciones en TP, TN, FP y FN, facilitando así el cálculo de las métricas previamente discutidas (Susmaga, 2004). Según Susmaga (2004), la matriz de confusión es una matriz entera no negativa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oMath>
      <w:r>
        <w:t xml:space="preserve">, donde </w:t>
      </w:r>
      <m:oMath>
        <m:r>
          <w:rPr>
            <w:rFonts w:ascii="Cambria Math" w:hAnsi="Cambria Math"/>
          </w:rPr>
          <m:t>i = 1, …, N</m:t>
        </m:r>
      </m:oMath>
      <w:r>
        <w:t xml:space="preserve"> y </w:t>
      </w:r>
      <m:oMath>
        <m:r>
          <w:rPr>
            <w:rFonts w:ascii="Cambria Math" w:hAnsi="Cambria Math"/>
          </w:rPr>
          <m:t>j = 1, …, N</m:t>
        </m:r>
      </m:oMath>
      <w:r>
        <w:t xml:space="preserve"> y </w:t>
      </w:r>
      <m:oMath>
        <m:r>
          <w:rPr>
            <w:rFonts w:ascii="Cambria Math" w:hAnsi="Cambria Math"/>
          </w:rPr>
          <m:t>N</m:t>
        </m:r>
      </m:oMath>
      <w:r>
        <w:t xml:space="preserve"> es el número de clases. El elemento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representa el número de objetos de la clase </w:t>
      </w:r>
      <m:oMath>
        <m:r>
          <w:rPr>
            <w:rFonts w:ascii="Cambria Math" w:hAnsi="Cambria Math"/>
          </w:rPr>
          <m:t>i</m:t>
        </m:r>
      </m:oMath>
      <w:r>
        <w:t xml:space="preserve"> que han sido asignados a la clase </w:t>
      </w:r>
      <m:oMath>
        <m:r>
          <w:rPr>
            <w:rFonts w:ascii="Cambria Math" w:hAnsi="Cambria Math"/>
          </w:rPr>
          <m:t>j</m:t>
        </m:r>
      </m:oMath>
      <w:r>
        <w:t xml:space="preserve"> durante la prueba. Los elementos en la diagonal principal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ii</m:t>
                </m:r>
              </m:sub>
            </m:sSub>
          </m:e>
        </m:d>
      </m:oMath>
      <w:r>
        <w:t xml:space="preserve"> indican una clasificación correcta, mientras que los elementos fuera de la diagonal representan errores del clasificador.</w:t>
      </w:r>
    </w:p>
    <w:p w14:paraId="699B548C" w14:textId="1F2F8893" w:rsidR="00461EF8" w:rsidRPr="00461EF8" w:rsidRDefault="00461EF8" w:rsidP="00C5669B">
      <w:pPr>
        <w:ind w:firstLine="360"/>
      </w:pPr>
      <w:r>
        <w:t>En este contexto, las clases no se observan en el espacio de los atributos que describen los objetos, sino en el espacio que el clasificador implica. Si el clasificador puede discriminar correctamente entre dos clases, se consideran distantes entre sí. En cambio, clases que son mal clasificadas por el clasificador se consideran cercanas. La matriz de confusión, por lo tanto, ofrece una representación efectiva de cómo el clasificador percibe las diferentes clases</w:t>
      </w:r>
      <w:r w:rsidR="00246349">
        <w:t xml:space="preserve"> </w:t>
      </w:r>
      <w:r w:rsidR="00246349" w:rsidRPr="00246349">
        <w:t>(Susmaga, 2004)</w:t>
      </w:r>
      <w:r>
        <w:t>.</w:t>
      </w:r>
    </w:p>
    <w:p w14:paraId="453A837C" w14:textId="68DA9F8E" w:rsidR="009B0987" w:rsidRDefault="009B0987" w:rsidP="00892F6C">
      <w:pPr>
        <w:pStyle w:val="Ttulo2"/>
      </w:pPr>
      <w:r w:rsidRPr="00327E79">
        <w:t xml:space="preserve">Interpretabilidad </w:t>
      </w:r>
      <w:r w:rsidR="00A83C42">
        <w:t>mediante mapas de atención</w:t>
      </w:r>
    </w:p>
    <w:p w14:paraId="6C0D2A2D" w14:textId="7D19FB68" w:rsidR="008C0BBF" w:rsidRPr="00327E79" w:rsidRDefault="008C0BBF" w:rsidP="009B0987">
      <w:pPr>
        <w:spacing w:before="240" w:after="0"/>
        <w:ind w:firstLine="720"/>
        <w:rPr>
          <w:rFonts w:eastAsia="Times New Roman" w:cs="Times New Roman"/>
          <w:szCs w:val="24"/>
        </w:rPr>
      </w:pPr>
      <w:r w:rsidRPr="008C0BBF">
        <w:rPr>
          <w:rFonts w:eastAsia="Times New Roman" w:cs="Times New Roman"/>
          <w:szCs w:val="24"/>
        </w:rPr>
        <w:t xml:space="preserve">Los mapas de atención en visión por ordenador se refieren a una técnica utilizada en modelos de aprendizaje profundo para visualizar qué partes de una imagen están siendo atendidas por el modelo. Los mapas de atención son generados por el modelo y resaltan las regiones de la </w:t>
      </w:r>
      <w:r w:rsidRPr="008C0BBF">
        <w:rPr>
          <w:rFonts w:eastAsia="Times New Roman" w:cs="Times New Roman"/>
          <w:szCs w:val="24"/>
        </w:rPr>
        <w:lastRenderedPageBreak/>
        <w:t>imagen de entrada que son más relevantes para la salida. Esta técnica se utiliza para mejorar la interpretabilidad de los modelos de aprendizaje profundo y para comprender mejor cómo realizan las predicciones</w:t>
      </w:r>
      <w:r w:rsidR="00E045CF">
        <w:rPr>
          <w:rFonts w:eastAsia="Times New Roman" w:cs="Times New Roman"/>
          <w:szCs w:val="24"/>
        </w:rPr>
        <w:t xml:space="preserve"> </w:t>
      </w:r>
      <w:r w:rsidR="00E045CF" w:rsidRPr="00E045CF">
        <w:rPr>
          <w:rFonts w:eastAsia="Times New Roman" w:cs="Times New Roman"/>
          <w:szCs w:val="24"/>
        </w:rPr>
        <w:t>(Ulutan et al., 2020)</w:t>
      </w:r>
      <w:r w:rsidRPr="008C0BBF">
        <w:rPr>
          <w:rFonts w:eastAsia="Times New Roman" w:cs="Times New Roman"/>
          <w:szCs w:val="24"/>
        </w:rPr>
        <w:t>.</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lastRenderedPageBreak/>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lastRenderedPageBreak/>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4927A29A"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w:t>
      </w:r>
      <w:r w:rsidR="00AB1000" w:rsidRPr="00AB1000">
        <w:rPr>
          <w:lang w:val="en-US"/>
        </w:rPr>
        <w:t xml:space="preserve"> </w:t>
      </w:r>
      <w:r w:rsidR="00AB1000" w:rsidRPr="00327E79">
        <w:rPr>
          <w:lang w:val="en-US"/>
        </w:rPr>
        <w:t>Montreal, QC, Canada, 2021, pp. 9992-10002, doi: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4E046C">
        <w:rPr>
          <w:lang w:val="en-US"/>
        </w:rPr>
        <w:t xml:space="preserve">Uppada, R., &amp; Kumar, D. R. (2023). </w:t>
      </w:r>
      <w:r w:rsidRPr="00327E79">
        <w:rPr>
          <w:lang w:val="en-US"/>
        </w:rPr>
        <w:t>Computer-aided fusion-based neural network in application to categorize tomato plants.Springer-Verlag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lastRenderedPageBreak/>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t xml:space="preserve">Verma, S., Chug,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(Solanum lycopersicum l.)</w:t>
      </w:r>
      <w:r w:rsidRPr="00290AA7">
        <w:rPr>
          <w:rFonts w:eastAsia="Times New Roman" w:cs="Times New Roman"/>
          <w:szCs w:val="24"/>
        </w:rPr>
        <w:t xml:space="preserve"> (p. 105) [MSc Thesis].</w:t>
      </w:r>
    </w:p>
    <w:p w14:paraId="12642093" w14:textId="092E4F2F" w:rsidR="00061C3E" w:rsidRDefault="00061C3E" w:rsidP="00A84A27">
      <w:pPr>
        <w:pStyle w:val="NormalWeb"/>
        <w:spacing w:before="0" w:beforeAutospacing="0" w:after="0" w:afterAutospacing="0" w:line="480" w:lineRule="auto"/>
        <w:ind w:left="720" w:hanging="720"/>
      </w:pPr>
      <w:r w:rsidRPr="00061C3E">
        <w:lastRenderedPageBreak/>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r w:rsidRPr="00A70561">
        <w:rPr>
          <w:lang w:val="en-US"/>
        </w:rPr>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lastRenderedPageBreak/>
        <w:t xml:space="preserve">Shorten, C., &amp; Khoshgoftaar,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Pr="004E046C" w:rsidRDefault="007F7BA4" w:rsidP="007F7BA4">
      <w:pPr>
        <w:spacing w:after="0"/>
        <w:ind w:left="720" w:hanging="720"/>
        <w:jc w:val="left"/>
        <w:rPr>
          <w:rFonts w:eastAsia="Times New Roman" w:cs="Times New Roman"/>
          <w:szCs w:val="24"/>
          <w:lang w:val="en-US"/>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4E046C">
        <w:rPr>
          <w:rFonts w:eastAsia="Times New Roman" w:cs="Times New Roman"/>
          <w:i/>
          <w:iCs/>
          <w:szCs w:val="24"/>
          <w:lang w:val="en-US"/>
        </w:rPr>
        <w:t>Frontiers in Nutrition</w:t>
      </w:r>
      <w:r w:rsidRPr="004E046C">
        <w:rPr>
          <w:rFonts w:eastAsia="Times New Roman" w:cs="Times New Roman"/>
          <w:szCs w:val="24"/>
          <w:lang w:val="en-US"/>
        </w:rPr>
        <w:t xml:space="preserve">, </w:t>
      </w:r>
      <w:r w:rsidRPr="004E046C">
        <w:rPr>
          <w:rFonts w:eastAsia="Times New Roman" w:cs="Times New Roman"/>
          <w:i/>
          <w:iCs/>
          <w:szCs w:val="24"/>
          <w:lang w:val="en-US"/>
        </w:rPr>
        <w:t>9</w:t>
      </w:r>
      <w:r w:rsidRPr="004E046C">
        <w:rPr>
          <w:rFonts w:eastAsia="Times New Roman" w:cs="Times New Roman"/>
          <w:szCs w:val="24"/>
          <w:lang w:val="en-US"/>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Accessed on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r w:rsidRPr="0045242D">
        <w:rPr>
          <w:rFonts w:eastAsia="Times New Roman" w:cs="Times New Roman"/>
          <w:szCs w:val="24"/>
        </w:rPr>
        <w:t xml:space="preserve">Ouhami, M., Hafiane, A., Es-Saady, Y., El Hajji,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Pr="005C39B0" w:rsidRDefault="0020779A" w:rsidP="0020779A">
      <w:pPr>
        <w:spacing w:after="0"/>
        <w:ind w:left="720" w:hanging="720"/>
        <w:jc w:val="left"/>
        <w:rPr>
          <w:rFonts w:eastAsia="Times New Roman" w:cs="Times New Roman"/>
          <w:szCs w:val="24"/>
          <w:lang w:val="en-US"/>
        </w:rPr>
      </w:pPr>
      <w:r w:rsidRPr="0020779A">
        <w:rPr>
          <w:rFonts w:eastAsia="Times New Roman" w:cs="Times New Roman"/>
          <w:szCs w:val="24"/>
          <w:lang w:val="en-US"/>
        </w:rPr>
        <w:t xml:space="preserve">Szeliski,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5C39B0">
        <w:rPr>
          <w:rFonts w:eastAsia="Times New Roman" w:cs="Times New Roman"/>
          <w:szCs w:val="24"/>
          <w:lang w:val="en-US"/>
        </w:rPr>
        <w:t>Springer Nature.</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Pr="005C39B0" w:rsidRDefault="00CA1D5B" w:rsidP="00CA1D5B">
      <w:pPr>
        <w:spacing w:after="0"/>
        <w:ind w:left="720" w:hanging="720"/>
        <w:jc w:val="left"/>
        <w:rPr>
          <w:rFonts w:eastAsia="Times New Roman" w:cs="Times New Roman"/>
          <w:szCs w:val="24"/>
          <w:lang w:val="en-US"/>
        </w:rPr>
      </w:pPr>
      <w:r w:rsidRPr="00CA1D5B">
        <w:rPr>
          <w:rFonts w:eastAsia="Times New Roman" w:cs="Times New Roman"/>
          <w:szCs w:val="24"/>
        </w:rPr>
        <w:t xml:space="preserve">Sanghvi, K., Aralkar, A., Sanghvi, S., &amp; Saha, I. (2020). </w:t>
      </w:r>
      <w:r w:rsidRPr="00CA1D5B">
        <w:rPr>
          <w:rFonts w:eastAsia="Times New Roman" w:cs="Times New Roman"/>
          <w:szCs w:val="24"/>
          <w:lang w:val="en-US"/>
        </w:rPr>
        <w:t xml:space="preserve">A survey on image classification techniques. </w:t>
      </w:r>
      <w:r w:rsidRPr="005C39B0">
        <w:rPr>
          <w:rFonts w:eastAsia="Times New Roman" w:cs="Times New Roman"/>
          <w:szCs w:val="24"/>
          <w:lang w:val="en-US"/>
        </w:rPr>
        <w:t xml:space="preserve">In </w:t>
      </w:r>
      <w:r w:rsidRPr="005C39B0">
        <w:rPr>
          <w:rFonts w:eastAsia="Times New Roman" w:cs="Times New Roman"/>
          <w:i/>
          <w:iCs/>
          <w:szCs w:val="24"/>
          <w:lang w:val="en-US"/>
        </w:rPr>
        <w:t>Available at SSRN 3754116</w:t>
      </w:r>
      <w:r w:rsidRPr="005C39B0">
        <w:rPr>
          <w:rFonts w:eastAsia="Times New Roman" w:cs="Times New Roman"/>
          <w:szCs w:val="24"/>
          <w:lang w:val="en-US"/>
        </w:rPr>
        <w:t>.</w:t>
      </w:r>
    </w:p>
    <w:p w14:paraId="4A236019" w14:textId="20153029" w:rsidR="006332ED" w:rsidRPr="004E046C" w:rsidRDefault="00592E95" w:rsidP="006F1529">
      <w:pPr>
        <w:spacing w:after="0"/>
        <w:ind w:left="720" w:hanging="720"/>
        <w:jc w:val="left"/>
        <w:rPr>
          <w:rFonts w:eastAsia="Times New Roman" w:cs="Times New Roman"/>
          <w:szCs w:val="24"/>
          <w:lang w:val="en-US"/>
        </w:rPr>
      </w:pPr>
      <w:r w:rsidRPr="00592E95">
        <w:rPr>
          <w:rFonts w:eastAsia="Times New Roman" w:cs="Times New Roman"/>
          <w:szCs w:val="24"/>
          <w:lang w:val="en-US"/>
        </w:rPr>
        <w:t xml:space="preserve">Shah, U., &amp; Harpale, A. (2018). A review of deep learning models for computer vision. </w:t>
      </w:r>
      <w:r w:rsidRPr="004E046C">
        <w:rPr>
          <w:rFonts w:eastAsia="Times New Roman" w:cs="Times New Roman"/>
          <w:szCs w:val="24"/>
          <w:lang w:val="en-US"/>
        </w:rPr>
        <w:t xml:space="preserve">In </w:t>
      </w:r>
      <w:r w:rsidRPr="004E046C">
        <w:rPr>
          <w:rFonts w:eastAsia="Times New Roman" w:cs="Times New Roman"/>
          <w:i/>
          <w:iCs/>
          <w:szCs w:val="24"/>
          <w:lang w:val="en-US"/>
        </w:rPr>
        <w:t>2018 IEEE Punecon</w:t>
      </w:r>
      <w:r w:rsidRPr="004E046C">
        <w:rPr>
          <w:rFonts w:eastAsia="Times New Roman" w:cs="Times New Roman"/>
          <w:szCs w:val="24"/>
          <w:lang w:val="en-US"/>
        </w:rPr>
        <w:t xml:space="preserve"> (pp. 1–6). IEEE.</w:t>
      </w:r>
    </w:p>
    <w:p w14:paraId="4683213B" w14:textId="53F97C62" w:rsidR="00651907" w:rsidRDefault="00651907" w:rsidP="00651907">
      <w:pPr>
        <w:spacing w:after="0"/>
        <w:ind w:left="720" w:hanging="720"/>
        <w:jc w:val="left"/>
        <w:rPr>
          <w:rFonts w:eastAsia="Times New Roman" w:cs="Times New Roman"/>
          <w:szCs w:val="24"/>
          <w:lang w:val="en-US"/>
        </w:rPr>
      </w:pPr>
      <w:r w:rsidRPr="00651907">
        <w:rPr>
          <w:rFonts w:eastAsia="Times New Roman" w:cs="Times New Roman"/>
          <w:szCs w:val="24"/>
          <w:lang w:val="en-US"/>
        </w:rPr>
        <w:t xml:space="preserve">Amjoud, A. B., &amp; Amrouch, M. (2023). Object detection using deep learning, CNN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73CA8202" w14:textId="77777777" w:rsidR="00B24EBB" w:rsidRPr="006D01A7" w:rsidRDefault="00B24EBB" w:rsidP="00B24EBB">
      <w:pPr>
        <w:spacing w:after="0"/>
        <w:ind w:left="720" w:hanging="720"/>
        <w:jc w:val="left"/>
        <w:rPr>
          <w:rFonts w:eastAsia="Times New Roman" w:cs="Times New Roman"/>
          <w:szCs w:val="24"/>
          <w:lang w:val="en-US"/>
        </w:rPr>
      </w:pPr>
      <w:r w:rsidRPr="00B24EBB">
        <w:rPr>
          <w:rFonts w:eastAsia="Times New Roman" w:cs="Times New Roman"/>
          <w:szCs w:val="24"/>
          <w:lang w:val="en-US"/>
        </w:rPr>
        <w:lastRenderedPageBreak/>
        <w:t xml:space="preserve">Cappi, C., Chapdelaine, C., Gardes, L., Jenn, E., Lefevre, B., Picard, S., &amp; Soumarmon, T. (2021). </w:t>
      </w:r>
      <w:r w:rsidRPr="006D01A7">
        <w:rPr>
          <w:rFonts w:eastAsia="Times New Roman" w:cs="Times New Roman"/>
          <w:szCs w:val="24"/>
          <w:lang w:val="en-US"/>
        </w:rPr>
        <w:t xml:space="preserve">Dataset definition standard (dds). In </w:t>
      </w:r>
      <w:r w:rsidRPr="006D01A7">
        <w:rPr>
          <w:rFonts w:eastAsia="Times New Roman" w:cs="Times New Roman"/>
          <w:i/>
          <w:iCs/>
          <w:szCs w:val="24"/>
          <w:lang w:val="en-US"/>
        </w:rPr>
        <w:t>arXiv preprint arXiv:2101.03020</w:t>
      </w:r>
      <w:r w:rsidRPr="006D01A7">
        <w:rPr>
          <w:rFonts w:eastAsia="Times New Roman" w:cs="Times New Roman"/>
          <w:szCs w:val="24"/>
          <w:lang w:val="en-US"/>
        </w:rPr>
        <w:t>.</w:t>
      </w:r>
    </w:p>
    <w:p w14:paraId="6D5E6AA5" w14:textId="5C75FB7D" w:rsidR="00594929" w:rsidRPr="00222A98" w:rsidRDefault="00594929" w:rsidP="00594929">
      <w:pPr>
        <w:spacing w:after="0"/>
        <w:ind w:left="720" w:hanging="720"/>
        <w:jc w:val="left"/>
        <w:rPr>
          <w:rFonts w:eastAsia="Times New Roman" w:cs="Times New Roman"/>
          <w:szCs w:val="24"/>
          <w:lang w:val="en-US"/>
        </w:rPr>
      </w:pPr>
      <w:r w:rsidRPr="00594929">
        <w:rPr>
          <w:rFonts w:eastAsia="Times New Roman" w:cs="Times New Roman"/>
          <w:szCs w:val="24"/>
          <w:lang w:val="en-US"/>
        </w:rPr>
        <w:t xml:space="preserve">Mohanty, S. P., Hughes, D. P., &amp; Salathé, M. (2016). Using Deep Learning for Image-Based Plant Disease Detection. </w:t>
      </w:r>
      <w:r w:rsidRPr="006D01A7">
        <w:rPr>
          <w:rFonts w:eastAsia="Times New Roman" w:cs="Times New Roman"/>
          <w:i/>
          <w:iCs/>
          <w:szCs w:val="24"/>
          <w:lang w:val="en-US"/>
        </w:rPr>
        <w:t>Frontiers in Plant Science</w:t>
      </w:r>
      <w:r w:rsidRPr="006D01A7">
        <w:rPr>
          <w:rFonts w:eastAsia="Times New Roman" w:cs="Times New Roman"/>
          <w:szCs w:val="24"/>
          <w:lang w:val="en-US"/>
        </w:rPr>
        <w:t xml:space="preserve">, </w:t>
      </w:r>
      <w:r w:rsidRPr="006D01A7">
        <w:rPr>
          <w:rFonts w:eastAsia="Times New Roman" w:cs="Times New Roman"/>
          <w:i/>
          <w:iCs/>
          <w:szCs w:val="24"/>
          <w:lang w:val="en-US"/>
        </w:rPr>
        <w:t>7</w:t>
      </w:r>
      <w:r w:rsidRPr="006D01A7">
        <w:rPr>
          <w:rFonts w:eastAsia="Times New Roman" w:cs="Times New Roman"/>
          <w:szCs w:val="24"/>
          <w:lang w:val="en-US"/>
        </w:rPr>
        <w:t xml:space="preserve">. </w:t>
      </w:r>
      <w:r w:rsidR="00222A98" w:rsidRPr="00594929">
        <w:rPr>
          <w:rFonts w:eastAsia="Times New Roman" w:cs="Times New Roman"/>
          <w:szCs w:val="24"/>
          <w:lang w:val="en-US"/>
        </w:rPr>
        <w:t>https://doi.org/10.3389/fpls.2016.01419</w:t>
      </w:r>
    </w:p>
    <w:p w14:paraId="06A3FF6A" w14:textId="77777777" w:rsidR="00222A98" w:rsidRPr="006D01A7" w:rsidRDefault="00222A98" w:rsidP="00222A98">
      <w:pPr>
        <w:spacing w:after="0"/>
        <w:ind w:left="720" w:hanging="720"/>
        <w:jc w:val="left"/>
        <w:rPr>
          <w:rFonts w:eastAsia="Times New Roman" w:cs="Times New Roman"/>
          <w:szCs w:val="24"/>
          <w:lang w:val="en-US"/>
        </w:rPr>
      </w:pPr>
      <w:r w:rsidRPr="00222A98">
        <w:rPr>
          <w:rFonts w:eastAsia="Times New Roman" w:cs="Times New Roman"/>
          <w:szCs w:val="24"/>
          <w:lang w:val="en-US"/>
        </w:rPr>
        <w:t xml:space="preserve">Khosla, C., &amp; Saini, B. S. (2020). Enhancing performance of deep learning models with different data augmentation techniques: A survey. </w:t>
      </w:r>
      <w:r w:rsidRPr="006D01A7">
        <w:rPr>
          <w:rFonts w:eastAsia="Times New Roman" w:cs="Times New Roman"/>
          <w:i/>
          <w:iCs/>
          <w:szCs w:val="24"/>
          <w:lang w:val="en-US"/>
        </w:rPr>
        <w:t>IEEE</w:t>
      </w:r>
      <w:r w:rsidRPr="006D01A7">
        <w:rPr>
          <w:rFonts w:eastAsia="Times New Roman" w:cs="Times New Roman"/>
          <w:szCs w:val="24"/>
          <w:lang w:val="en-US"/>
        </w:rPr>
        <w:t>, 79–85.</w:t>
      </w:r>
    </w:p>
    <w:p w14:paraId="2454727C" w14:textId="77777777" w:rsidR="004549C3" w:rsidRDefault="004549C3" w:rsidP="004549C3">
      <w:pPr>
        <w:spacing w:after="0"/>
        <w:ind w:left="720" w:hanging="720"/>
        <w:jc w:val="left"/>
        <w:rPr>
          <w:rFonts w:eastAsia="Times New Roman" w:cs="Times New Roman"/>
          <w:szCs w:val="24"/>
          <w:lang w:val="en-US"/>
        </w:rPr>
      </w:pPr>
      <w:r w:rsidRPr="004549C3">
        <w:rPr>
          <w:rFonts w:eastAsia="Times New Roman" w:cs="Times New Roman"/>
          <w:szCs w:val="24"/>
          <w:lang w:val="en-US"/>
        </w:rPr>
        <w:t xml:space="preserve">Yang, S., Xiao, W., Zhang, M., Guo, S., Zhao, J., &amp; Shen, F. (2022). Image data augmentation for deep learning: A survey. In </w:t>
      </w:r>
      <w:r w:rsidRPr="004549C3">
        <w:rPr>
          <w:rFonts w:eastAsia="Times New Roman" w:cs="Times New Roman"/>
          <w:i/>
          <w:iCs/>
          <w:szCs w:val="24"/>
          <w:lang w:val="en-US"/>
        </w:rPr>
        <w:t>arXiv preprint arXiv:2204.08610</w:t>
      </w:r>
      <w:r w:rsidRPr="004549C3">
        <w:rPr>
          <w:rFonts w:eastAsia="Times New Roman" w:cs="Times New Roman"/>
          <w:szCs w:val="24"/>
          <w:lang w:val="en-US"/>
        </w:rPr>
        <w:t>.</w:t>
      </w:r>
    </w:p>
    <w:p w14:paraId="0CC34D4B" w14:textId="5AF2167C" w:rsidR="002D6B19" w:rsidRDefault="002D6B19" w:rsidP="002D6B19">
      <w:pPr>
        <w:spacing w:after="0"/>
        <w:ind w:left="720" w:hanging="720"/>
        <w:jc w:val="left"/>
        <w:rPr>
          <w:rFonts w:eastAsia="Times New Roman" w:cs="Times New Roman"/>
          <w:szCs w:val="24"/>
          <w:lang w:val="en-US"/>
        </w:rPr>
      </w:pPr>
      <w:r w:rsidRPr="002D6B19">
        <w:rPr>
          <w:rFonts w:eastAsia="Times New Roman" w:cs="Times New Roman"/>
          <w:szCs w:val="24"/>
          <w:lang w:val="en-US"/>
        </w:rPr>
        <w:t xml:space="preserve">Dyk, V., &amp; Meng, X.-L. (2001). The art of data augmentation. </w:t>
      </w:r>
      <w:r w:rsidRPr="002D6B19">
        <w:rPr>
          <w:rFonts w:eastAsia="Times New Roman" w:cs="Times New Roman"/>
          <w:i/>
          <w:iCs/>
          <w:szCs w:val="24"/>
          <w:lang w:val="en-US"/>
        </w:rPr>
        <w:t>Journal of Computational and Graphical Statistics</w:t>
      </w:r>
      <w:r w:rsidRPr="002D6B19">
        <w:rPr>
          <w:rFonts w:eastAsia="Times New Roman" w:cs="Times New Roman"/>
          <w:szCs w:val="24"/>
          <w:lang w:val="en-US"/>
        </w:rPr>
        <w:t xml:space="preserve">, </w:t>
      </w:r>
      <w:r w:rsidRPr="002D6B19">
        <w:rPr>
          <w:rFonts w:eastAsia="Times New Roman" w:cs="Times New Roman"/>
          <w:i/>
          <w:iCs/>
          <w:szCs w:val="24"/>
          <w:lang w:val="en-US"/>
        </w:rPr>
        <w:t>10</w:t>
      </w:r>
      <w:r w:rsidRPr="002D6B19">
        <w:rPr>
          <w:rFonts w:eastAsia="Times New Roman" w:cs="Times New Roman"/>
          <w:szCs w:val="24"/>
          <w:lang w:val="en-US"/>
        </w:rPr>
        <w:t>, 1.</w:t>
      </w:r>
    </w:p>
    <w:p w14:paraId="5A1C93D2" w14:textId="03016BC0" w:rsidR="00D93F93" w:rsidRPr="00F57497" w:rsidRDefault="00D93F93" w:rsidP="00D93F93">
      <w:pPr>
        <w:spacing w:after="0"/>
        <w:ind w:left="720" w:hanging="720"/>
        <w:jc w:val="left"/>
        <w:rPr>
          <w:rFonts w:eastAsia="Times New Roman" w:cs="Times New Roman"/>
          <w:szCs w:val="24"/>
          <w:lang w:val="en-US"/>
        </w:rPr>
      </w:pPr>
      <w:r w:rsidRPr="00D93F93">
        <w:rPr>
          <w:rFonts w:eastAsia="Times New Roman" w:cs="Times New Roman"/>
          <w:szCs w:val="24"/>
          <w:lang w:val="en-US"/>
        </w:rPr>
        <w:t xml:space="preserve">Flach, P. A., &amp; Kull, M. (2015, December). Precision-recall-gain curves: PR analysis done right. </w:t>
      </w:r>
      <w:r w:rsidRPr="006D01A7">
        <w:rPr>
          <w:rFonts w:eastAsia="Times New Roman" w:cs="Times New Roman"/>
          <w:i/>
          <w:iCs/>
          <w:szCs w:val="24"/>
          <w:lang w:val="en-US"/>
        </w:rPr>
        <w:t>NIPS</w:t>
      </w:r>
      <w:r w:rsidRPr="006D01A7">
        <w:rPr>
          <w:rFonts w:eastAsia="Times New Roman" w:cs="Times New Roman"/>
          <w:szCs w:val="24"/>
          <w:lang w:val="en-US"/>
        </w:rPr>
        <w:t xml:space="preserve">. </w:t>
      </w:r>
      <w:r w:rsidR="00F57497" w:rsidRPr="00D93F93">
        <w:rPr>
          <w:rFonts w:eastAsia="Times New Roman" w:cs="Times New Roman"/>
          <w:szCs w:val="24"/>
          <w:lang w:val="en-US"/>
        </w:rPr>
        <w:t>https://api.semanticscholar.org/CorpusID:937625</w:t>
      </w:r>
    </w:p>
    <w:p w14:paraId="7F5D2D74" w14:textId="77777777" w:rsidR="00F57497" w:rsidRPr="006D01A7" w:rsidRDefault="00F57497" w:rsidP="00F57497">
      <w:pPr>
        <w:spacing w:after="0"/>
        <w:ind w:left="720" w:hanging="720"/>
        <w:jc w:val="left"/>
        <w:rPr>
          <w:rFonts w:eastAsia="Times New Roman" w:cs="Times New Roman"/>
          <w:szCs w:val="24"/>
          <w:lang w:val="en-US"/>
        </w:rPr>
      </w:pPr>
      <w:r w:rsidRPr="00F57497">
        <w:rPr>
          <w:rFonts w:eastAsia="Times New Roman" w:cs="Times New Roman"/>
          <w:szCs w:val="24"/>
          <w:lang w:val="en-US"/>
        </w:rPr>
        <w:t xml:space="preserve">Susmaga, R. (2004). Confusion matrix visualization. In A. Kłopotek, Mieczysław, T. Wierzchoń, Sławomir, &amp; K. Trojanowski (Eds.), </w:t>
      </w:r>
      <w:r w:rsidRPr="00F57497">
        <w:rPr>
          <w:rFonts w:eastAsia="Times New Roman" w:cs="Times New Roman"/>
          <w:i/>
          <w:iCs/>
          <w:szCs w:val="24"/>
          <w:lang w:val="en-US"/>
        </w:rPr>
        <w:t>Springer, Berlin, Heidelberg</w:t>
      </w:r>
      <w:r w:rsidRPr="00F57497">
        <w:rPr>
          <w:rFonts w:eastAsia="Times New Roman" w:cs="Times New Roman"/>
          <w:szCs w:val="24"/>
          <w:lang w:val="en-US"/>
        </w:rPr>
        <w:t xml:space="preserve"> (pp. 107–116). </w:t>
      </w:r>
      <w:r w:rsidRPr="006D01A7">
        <w:rPr>
          <w:rFonts w:eastAsia="Times New Roman" w:cs="Times New Roman"/>
          <w:szCs w:val="24"/>
          <w:lang w:val="en-US"/>
        </w:rPr>
        <w:t>Springer Berlin Heidelberg.</w:t>
      </w:r>
    </w:p>
    <w:p w14:paraId="0BEC2A12" w14:textId="77777777" w:rsidR="005E79BB" w:rsidRPr="005E79BB" w:rsidRDefault="005E79BB" w:rsidP="005E79BB">
      <w:pPr>
        <w:spacing w:after="0"/>
        <w:ind w:left="720" w:hanging="720"/>
        <w:jc w:val="left"/>
        <w:rPr>
          <w:rFonts w:eastAsia="Times New Roman" w:cs="Times New Roman"/>
          <w:szCs w:val="24"/>
          <w:lang w:val="en-US"/>
        </w:rPr>
      </w:pPr>
      <w:r w:rsidRPr="006D01A7">
        <w:rPr>
          <w:rFonts w:eastAsia="Times New Roman" w:cs="Times New Roman"/>
          <w:szCs w:val="24"/>
          <w:lang w:val="en-US"/>
        </w:rPr>
        <w:t xml:space="preserve">Ulutan, O., Rallapalli, S., Srivatsa, M., Torres, C., &amp; Manjunath, B. (2020). </w:t>
      </w:r>
      <w:r w:rsidRPr="005E79BB">
        <w:rPr>
          <w:rFonts w:eastAsia="Times New Roman" w:cs="Times New Roman"/>
          <w:szCs w:val="24"/>
          <w:lang w:val="en-US"/>
        </w:rPr>
        <w:t xml:space="preserve">Actor conditioned attention maps for video action detection. </w:t>
      </w:r>
      <w:r w:rsidRPr="005E79BB">
        <w:rPr>
          <w:rFonts w:eastAsia="Times New Roman" w:cs="Times New Roman"/>
          <w:i/>
          <w:iCs/>
          <w:szCs w:val="24"/>
          <w:lang w:val="en-US"/>
        </w:rPr>
        <w:t>Proceedings of the IEEE/CVF Winter Conference on Applications of Computer Vision</w:t>
      </w:r>
      <w:r w:rsidRPr="005E79BB">
        <w:rPr>
          <w:rFonts w:eastAsia="Times New Roman" w:cs="Times New Roman"/>
          <w:szCs w:val="24"/>
          <w:lang w:val="en-US"/>
        </w:rPr>
        <w:t>, 527–536.</w:t>
      </w:r>
    </w:p>
    <w:p w14:paraId="0FAA4413" w14:textId="77777777" w:rsidR="005E79BB" w:rsidRPr="00F57497" w:rsidRDefault="005E79BB" w:rsidP="00F57497">
      <w:pPr>
        <w:spacing w:after="0"/>
        <w:ind w:left="720" w:hanging="720"/>
        <w:jc w:val="left"/>
        <w:rPr>
          <w:rFonts w:eastAsia="Times New Roman" w:cs="Times New Roman"/>
          <w:szCs w:val="24"/>
          <w:lang w:val="en-US"/>
        </w:rPr>
      </w:pPr>
    </w:p>
    <w:p w14:paraId="53516DAB" w14:textId="77777777" w:rsidR="00F57497" w:rsidRPr="00D93F93" w:rsidRDefault="00F57497" w:rsidP="00D93F93">
      <w:pPr>
        <w:spacing w:after="0"/>
        <w:ind w:left="720" w:hanging="720"/>
        <w:jc w:val="left"/>
        <w:rPr>
          <w:rFonts w:eastAsia="Times New Roman" w:cs="Times New Roman"/>
          <w:szCs w:val="24"/>
          <w:lang w:val="en-US"/>
        </w:rPr>
      </w:pPr>
    </w:p>
    <w:p w14:paraId="60AC905B" w14:textId="77777777" w:rsidR="00D93F93" w:rsidRPr="004549C3" w:rsidRDefault="00D93F93" w:rsidP="002D6B19">
      <w:pPr>
        <w:spacing w:after="0"/>
        <w:ind w:left="720" w:hanging="720"/>
        <w:jc w:val="left"/>
        <w:rPr>
          <w:rFonts w:eastAsia="Times New Roman" w:cs="Times New Roman"/>
          <w:szCs w:val="24"/>
          <w:lang w:val="en-US"/>
        </w:rPr>
      </w:pPr>
    </w:p>
    <w:p w14:paraId="6026EE3D" w14:textId="77777777" w:rsidR="004549C3" w:rsidRPr="00222A98" w:rsidRDefault="004549C3" w:rsidP="00222A98">
      <w:pPr>
        <w:spacing w:after="0"/>
        <w:ind w:left="720" w:hanging="720"/>
        <w:jc w:val="left"/>
        <w:rPr>
          <w:rFonts w:eastAsia="Times New Roman" w:cs="Times New Roman"/>
          <w:szCs w:val="24"/>
          <w:lang w:val="en-US"/>
        </w:rPr>
      </w:pPr>
    </w:p>
    <w:p w14:paraId="2CD9A601" w14:textId="77777777" w:rsidR="00222A98" w:rsidRPr="00594929" w:rsidRDefault="00222A98" w:rsidP="00594929">
      <w:pPr>
        <w:spacing w:after="0"/>
        <w:ind w:left="720" w:hanging="720"/>
        <w:jc w:val="left"/>
        <w:rPr>
          <w:rFonts w:eastAsia="Times New Roman" w:cs="Times New Roman"/>
          <w:szCs w:val="24"/>
          <w:lang w:val="en-US"/>
        </w:rPr>
      </w:pPr>
    </w:p>
    <w:p w14:paraId="6780605F" w14:textId="77777777" w:rsidR="00594929" w:rsidRPr="00B24EBB" w:rsidRDefault="00594929" w:rsidP="00B24EBB">
      <w:pPr>
        <w:spacing w:after="0"/>
        <w:ind w:left="720" w:hanging="720"/>
        <w:jc w:val="left"/>
        <w:rPr>
          <w:rFonts w:eastAsia="Times New Roman" w:cs="Times New Roman"/>
          <w:szCs w:val="24"/>
          <w:lang w:val="en-US"/>
        </w:rPr>
      </w:pPr>
    </w:p>
    <w:p w14:paraId="4C10B961" w14:textId="77777777" w:rsidR="00B24EBB" w:rsidRPr="00651907" w:rsidRDefault="00B24EBB" w:rsidP="00B24EBB">
      <w:pPr>
        <w:spacing w:after="0"/>
        <w:jc w:val="left"/>
        <w:rPr>
          <w:rFonts w:eastAsia="Times New Roman" w:cs="Times New Roman"/>
          <w:szCs w:val="24"/>
          <w:lang w:val="en-US"/>
        </w:rPr>
      </w:pP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16"/>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F61D7" w14:textId="77777777" w:rsidR="007C3BB2" w:rsidRDefault="007C3BB2">
      <w:pPr>
        <w:spacing w:after="0" w:line="240" w:lineRule="auto"/>
      </w:pPr>
      <w:r>
        <w:separator/>
      </w:r>
    </w:p>
  </w:endnote>
  <w:endnote w:type="continuationSeparator" w:id="0">
    <w:p w14:paraId="554B2204" w14:textId="77777777" w:rsidR="007C3BB2" w:rsidRDefault="007C3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C3B76" w14:textId="77777777" w:rsidR="007C3BB2" w:rsidRDefault="007C3BB2">
      <w:pPr>
        <w:spacing w:after="0" w:line="240" w:lineRule="auto"/>
      </w:pPr>
      <w:r>
        <w:separator/>
      </w:r>
    </w:p>
  </w:footnote>
  <w:footnote w:type="continuationSeparator" w:id="0">
    <w:p w14:paraId="69F5E782" w14:textId="77777777" w:rsidR="007C3BB2" w:rsidRDefault="007C3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A92BF6"/>
    <w:multiLevelType w:val="hybridMultilevel"/>
    <w:tmpl w:val="64569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1"/>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30"/>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100594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1F6E"/>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38B7"/>
    <w:rsid w:val="00034F59"/>
    <w:rsid w:val="00035D08"/>
    <w:rsid w:val="00035FC4"/>
    <w:rsid w:val="00036D60"/>
    <w:rsid w:val="00040455"/>
    <w:rsid w:val="00042EE8"/>
    <w:rsid w:val="00043401"/>
    <w:rsid w:val="00043EBE"/>
    <w:rsid w:val="00045839"/>
    <w:rsid w:val="00045B36"/>
    <w:rsid w:val="00046C26"/>
    <w:rsid w:val="00046D3A"/>
    <w:rsid w:val="00050D61"/>
    <w:rsid w:val="00051CF7"/>
    <w:rsid w:val="0005292D"/>
    <w:rsid w:val="00052C12"/>
    <w:rsid w:val="000537EF"/>
    <w:rsid w:val="000538C6"/>
    <w:rsid w:val="00053CB7"/>
    <w:rsid w:val="00054A86"/>
    <w:rsid w:val="00055BA2"/>
    <w:rsid w:val="00055DDF"/>
    <w:rsid w:val="00060064"/>
    <w:rsid w:val="00060E4F"/>
    <w:rsid w:val="000610B1"/>
    <w:rsid w:val="00061C3E"/>
    <w:rsid w:val="000637C9"/>
    <w:rsid w:val="00066BB1"/>
    <w:rsid w:val="00067016"/>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833D8"/>
    <w:rsid w:val="00090021"/>
    <w:rsid w:val="00090100"/>
    <w:rsid w:val="00090476"/>
    <w:rsid w:val="00090D0A"/>
    <w:rsid w:val="0009107E"/>
    <w:rsid w:val="0009248A"/>
    <w:rsid w:val="000957BA"/>
    <w:rsid w:val="00095AB1"/>
    <w:rsid w:val="00095DF1"/>
    <w:rsid w:val="00096057"/>
    <w:rsid w:val="00097DB5"/>
    <w:rsid w:val="000A1209"/>
    <w:rsid w:val="000A1925"/>
    <w:rsid w:val="000A2D45"/>
    <w:rsid w:val="000A3F09"/>
    <w:rsid w:val="000A5728"/>
    <w:rsid w:val="000A5D5B"/>
    <w:rsid w:val="000A6A15"/>
    <w:rsid w:val="000B07F9"/>
    <w:rsid w:val="000B0EBB"/>
    <w:rsid w:val="000B23CC"/>
    <w:rsid w:val="000B33E6"/>
    <w:rsid w:val="000B5174"/>
    <w:rsid w:val="000B56B5"/>
    <w:rsid w:val="000B63FD"/>
    <w:rsid w:val="000B74FA"/>
    <w:rsid w:val="000C0035"/>
    <w:rsid w:val="000C1581"/>
    <w:rsid w:val="000C323A"/>
    <w:rsid w:val="000C345A"/>
    <w:rsid w:val="000C3546"/>
    <w:rsid w:val="000C3D23"/>
    <w:rsid w:val="000C4669"/>
    <w:rsid w:val="000C4C77"/>
    <w:rsid w:val="000C7878"/>
    <w:rsid w:val="000C794A"/>
    <w:rsid w:val="000D086B"/>
    <w:rsid w:val="000D14B0"/>
    <w:rsid w:val="000D2252"/>
    <w:rsid w:val="000D2AF3"/>
    <w:rsid w:val="000D53DB"/>
    <w:rsid w:val="000D5B3E"/>
    <w:rsid w:val="000D6D02"/>
    <w:rsid w:val="000D70E3"/>
    <w:rsid w:val="000E027E"/>
    <w:rsid w:val="000E060C"/>
    <w:rsid w:val="000E0EF8"/>
    <w:rsid w:val="000E3EC2"/>
    <w:rsid w:val="000E439E"/>
    <w:rsid w:val="000E5C15"/>
    <w:rsid w:val="000E6F34"/>
    <w:rsid w:val="000E7B1E"/>
    <w:rsid w:val="000F0198"/>
    <w:rsid w:val="000F0378"/>
    <w:rsid w:val="000F0E2F"/>
    <w:rsid w:val="000F344C"/>
    <w:rsid w:val="000F410B"/>
    <w:rsid w:val="000F4120"/>
    <w:rsid w:val="00100AA7"/>
    <w:rsid w:val="00100E9D"/>
    <w:rsid w:val="00101E91"/>
    <w:rsid w:val="0010238F"/>
    <w:rsid w:val="00105178"/>
    <w:rsid w:val="001053F1"/>
    <w:rsid w:val="00105A68"/>
    <w:rsid w:val="001107B4"/>
    <w:rsid w:val="00110831"/>
    <w:rsid w:val="00110D91"/>
    <w:rsid w:val="001116E5"/>
    <w:rsid w:val="001145CA"/>
    <w:rsid w:val="0011615D"/>
    <w:rsid w:val="001168A6"/>
    <w:rsid w:val="00121A85"/>
    <w:rsid w:val="001228D6"/>
    <w:rsid w:val="00122EBC"/>
    <w:rsid w:val="0012347C"/>
    <w:rsid w:val="00123638"/>
    <w:rsid w:val="00124A24"/>
    <w:rsid w:val="0012599D"/>
    <w:rsid w:val="0013142E"/>
    <w:rsid w:val="00131587"/>
    <w:rsid w:val="00131B0F"/>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049D"/>
    <w:rsid w:val="001B2769"/>
    <w:rsid w:val="001B5378"/>
    <w:rsid w:val="001B5DF4"/>
    <w:rsid w:val="001B6792"/>
    <w:rsid w:val="001B7669"/>
    <w:rsid w:val="001B7687"/>
    <w:rsid w:val="001B7A08"/>
    <w:rsid w:val="001B7E4E"/>
    <w:rsid w:val="001C0CC7"/>
    <w:rsid w:val="001C1246"/>
    <w:rsid w:val="001C1541"/>
    <w:rsid w:val="001C1CF6"/>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4CA3"/>
    <w:rsid w:val="001D57F8"/>
    <w:rsid w:val="001D5B71"/>
    <w:rsid w:val="001D6013"/>
    <w:rsid w:val="001D67CC"/>
    <w:rsid w:val="001E272F"/>
    <w:rsid w:val="001E3502"/>
    <w:rsid w:val="001E429B"/>
    <w:rsid w:val="001E43BD"/>
    <w:rsid w:val="001E4834"/>
    <w:rsid w:val="001E4E82"/>
    <w:rsid w:val="001E5055"/>
    <w:rsid w:val="001E6189"/>
    <w:rsid w:val="001E645D"/>
    <w:rsid w:val="001E6D49"/>
    <w:rsid w:val="001E7730"/>
    <w:rsid w:val="001E7A9E"/>
    <w:rsid w:val="001F050E"/>
    <w:rsid w:val="001F0FB4"/>
    <w:rsid w:val="001F1420"/>
    <w:rsid w:val="001F2139"/>
    <w:rsid w:val="001F26D2"/>
    <w:rsid w:val="001F2B30"/>
    <w:rsid w:val="001F36A3"/>
    <w:rsid w:val="001F3B05"/>
    <w:rsid w:val="001F51BB"/>
    <w:rsid w:val="001F5205"/>
    <w:rsid w:val="001F6AC2"/>
    <w:rsid w:val="001F6C67"/>
    <w:rsid w:val="001F798D"/>
    <w:rsid w:val="00200938"/>
    <w:rsid w:val="00200999"/>
    <w:rsid w:val="00200AC6"/>
    <w:rsid w:val="00202607"/>
    <w:rsid w:val="00202C05"/>
    <w:rsid w:val="00205C0D"/>
    <w:rsid w:val="0020779A"/>
    <w:rsid w:val="0020787A"/>
    <w:rsid w:val="002117CB"/>
    <w:rsid w:val="00211B37"/>
    <w:rsid w:val="002122C2"/>
    <w:rsid w:val="00213D4F"/>
    <w:rsid w:val="0021448A"/>
    <w:rsid w:val="002162A2"/>
    <w:rsid w:val="00217455"/>
    <w:rsid w:val="002175A8"/>
    <w:rsid w:val="002178F3"/>
    <w:rsid w:val="00217BAF"/>
    <w:rsid w:val="00217BEA"/>
    <w:rsid w:val="002202F7"/>
    <w:rsid w:val="00222A98"/>
    <w:rsid w:val="00222E4E"/>
    <w:rsid w:val="00222FB1"/>
    <w:rsid w:val="002238A7"/>
    <w:rsid w:val="00224D11"/>
    <w:rsid w:val="002253D8"/>
    <w:rsid w:val="00230B73"/>
    <w:rsid w:val="002329EC"/>
    <w:rsid w:val="00233671"/>
    <w:rsid w:val="00234622"/>
    <w:rsid w:val="00234AE6"/>
    <w:rsid w:val="002379A1"/>
    <w:rsid w:val="00241A37"/>
    <w:rsid w:val="00241E5A"/>
    <w:rsid w:val="00242DF8"/>
    <w:rsid w:val="002446B9"/>
    <w:rsid w:val="0024583F"/>
    <w:rsid w:val="00246191"/>
    <w:rsid w:val="002462AF"/>
    <w:rsid w:val="00246349"/>
    <w:rsid w:val="0024729E"/>
    <w:rsid w:val="0024751D"/>
    <w:rsid w:val="00247A1F"/>
    <w:rsid w:val="00251537"/>
    <w:rsid w:val="0025185A"/>
    <w:rsid w:val="00252366"/>
    <w:rsid w:val="0025428A"/>
    <w:rsid w:val="0025590E"/>
    <w:rsid w:val="00256192"/>
    <w:rsid w:val="00257544"/>
    <w:rsid w:val="00260671"/>
    <w:rsid w:val="00260E04"/>
    <w:rsid w:val="00261457"/>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2C7"/>
    <w:rsid w:val="002A450E"/>
    <w:rsid w:val="002A47EE"/>
    <w:rsid w:val="002A4889"/>
    <w:rsid w:val="002A48DA"/>
    <w:rsid w:val="002A4AF2"/>
    <w:rsid w:val="002A4B29"/>
    <w:rsid w:val="002A7489"/>
    <w:rsid w:val="002A7B13"/>
    <w:rsid w:val="002B086C"/>
    <w:rsid w:val="002B1CB0"/>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1F57"/>
    <w:rsid w:val="002D2D11"/>
    <w:rsid w:val="002D3802"/>
    <w:rsid w:val="002D3F18"/>
    <w:rsid w:val="002D42D6"/>
    <w:rsid w:val="002D43D9"/>
    <w:rsid w:val="002D5A68"/>
    <w:rsid w:val="002D6B19"/>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2F0B"/>
    <w:rsid w:val="00304AC0"/>
    <w:rsid w:val="00305959"/>
    <w:rsid w:val="00306C75"/>
    <w:rsid w:val="00306D07"/>
    <w:rsid w:val="00307925"/>
    <w:rsid w:val="00310232"/>
    <w:rsid w:val="00310CD9"/>
    <w:rsid w:val="003136CF"/>
    <w:rsid w:val="00313B8A"/>
    <w:rsid w:val="00314F6E"/>
    <w:rsid w:val="00315D27"/>
    <w:rsid w:val="003176C9"/>
    <w:rsid w:val="00322D29"/>
    <w:rsid w:val="00322D93"/>
    <w:rsid w:val="00325B76"/>
    <w:rsid w:val="00327E79"/>
    <w:rsid w:val="00330F41"/>
    <w:rsid w:val="0033345A"/>
    <w:rsid w:val="00335564"/>
    <w:rsid w:val="00337129"/>
    <w:rsid w:val="00341219"/>
    <w:rsid w:val="00342BB4"/>
    <w:rsid w:val="00342BF7"/>
    <w:rsid w:val="00343C2C"/>
    <w:rsid w:val="00346C41"/>
    <w:rsid w:val="00346D53"/>
    <w:rsid w:val="003479F6"/>
    <w:rsid w:val="00350F9B"/>
    <w:rsid w:val="003513DC"/>
    <w:rsid w:val="0035156B"/>
    <w:rsid w:val="00351DDA"/>
    <w:rsid w:val="00351FD1"/>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0898"/>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3C1"/>
    <w:rsid w:val="003F073A"/>
    <w:rsid w:val="003F0F6F"/>
    <w:rsid w:val="003F35C0"/>
    <w:rsid w:val="003F41A9"/>
    <w:rsid w:val="003F41B2"/>
    <w:rsid w:val="003F735C"/>
    <w:rsid w:val="00400084"/>
    <w:rsid w:val="0040116E"/>
    <w:rsid w:val="0040397C"/>
    <w:rsid w:val="004074DE"/>
    <w:rsid w:val="004077DC"/>
    <w:rsid w:val="00410A3C"/>
    <w:rsid w:val="00412EA0"/>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47567"/>
    <w:rsid w:val="0045065D"/>
    <w:rsid w:val="004519FA"/>
    <w:rsid w:val="00451D90"/>
    <w:rsid w:val="0045242D"/>
    <w:rsid w:val="00452CFB"/>
    <w:rsid w:val="0045324E"/>
    <w:rsid w:val="00453524"/>
    <w:rsid w:val="00453CE4"/>
    <w:rsid w:val="004542D5"/>
    <w:rsid w:val="004545E7"/>
    <w:rsid w:val="004549C3"/>
    <w:rsid w:val="0045533B"/>
    <w:rsid w:val="00455421"/>
    <w:rsid w:val="004555C0"/>
    <w:rsid w:val="004559EC"/>
    <w:rsid w:val="00456C95"/>
    <w:rsid w:val="0045794C"/>
    <w:rsid w:val="004610AF"/>
    <w:rsid w:val="00461EF8"/>
    <w:rsid w:val="00462862"/>
    <w:rsid w:val="004634BA"/>
    <w:rsid w:val="00463D5F"/>
    <w:rsid w:val="00464539"/>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338F"/>
    <w:rsid w:val="00487013"/>
    <w:rsid w:val="004873A2"/>
    <w:rsid w:val="004901A2"/>
    <w:rsid w:val="00491A2F"/>
    <w:rsid w:val="004932C5"/>
    <w:rsid w:val="004949E5"/>
    <w:rsid w:val="00496DD6"/>
    <w:rsid w:val="00497EC3"/>
    <w:rsid w:val="004A1EC6"/>
    <w:rsid w:val="004A2648"/>
    <w:rsid w:val="004A50D1"/>
    <w:rsid w:val="004A5765"/>
    <w:rsid w:val="004A57E5"/>
    <w:rsid w:val="004B268F"/>
    <w:rsid w:val="004B41E8"/>
    <w:rsid w:val="004B4526"/>
    <w:rsid w:val="004B5447"/>
    <w:rsid w:val="004B760C"/>
    <w:rsid w:val="004B78F6"/>
    <w:rsid w:val="004B7FA4"/>
    <w:rsid w:val="004C00D4"/>
    <w:rsid w:val="004C01E3"/>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0DB"/>
    <w:rsid w:val="004D47E5"/>
    <w:rsid w:val="004D4980"/>
    <w:rsid w:val="004D695D"/>
    <w:rsid w:val="004D7412"/>
    <w:rsid w:val="004D760C"/>
    <w:rsid w:val="004E046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0C9"/>
    <w:rsid w:val="00505732"/>
    <w:rsid w:val="00505932"/>
    <w:rsid w:val="005076FA"/>
    <w:rsid w:val="00510BF8"/>
    <w:rsid w:val="005119DD"/>
    <w:rsid w:val="005143F9"/>
    <w:rsid w:val="00514703"/>
    <w:rsid w:val="00515B9F"/>
    <w:rsid w:val="00515D12"/>
    <w:rsid w:val="00516476"/>
    <w:rsid w:val="00521884"/>
    <w:rsid w:val="00521F0E"/>
    <w:rsid w:val="00523FC3"/>
    <w:rsid w:val="005250B3"/>
    <w:rsid w:val="0053029B"/>
    <w:rsid w:val="00531097"/>
    <w:rsid w:val="00532337"/>
    <w:rsid w:val="00532511"/>
    <w:rsid w:val="00532DE8"/>
    <w:rsid w:val="005344F8"/>
    <w:rsid w:val="005347FA"/>
    <w:rsid w:val="00535B55"/>
    <w:rsid w:val="00542994"/>
    <w:rsid w:val="0054306C"/>
    <w:rsid w:val="0054330B"/>
    <w:rsid w:val="0054452F"/>
    <w:rsid w:val="00546D0C"/>
    <w:rsid w:val="0054767E"/>
    <w:rsid w:val="00550A89"/>
    <w:rsid w:val="005510BC"/>
    <w:rsid w:val="005542A9"/>
    <w:rsid w:val="00554E09"/>
    <w:rsid w:val="005552EE"/>
    <w:rsid w:val="0055577F"/>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0775"/>
    <w:rsid w:val="00570A52"/>
    <w:rsid w:val="00570F86"/>
    <w:rsid w:val="005719B5"/>
    <w:rsid w:val="00573CB9"/>
    <w:rsid w:val="00574C0D"/>
    <w:rsid w:val="00575456"/>
    <w:rsid w:val="00575C17"/>
    <w:rsid w:val="005762C6"/>
    <w:rsid w:val="0058036E"/>
    <w:rsid w:val="005805E6"/>
    <w:rsid w:val="005819C8"/>
    <w:rsid w:val="005825F0"/>
    <w:rsid w:val="00582BCB"/>
    <w:rsid w:val="00583294"/>
    <w:rsid w:val="005836FB"/>
    <w:rsid w:val="00583C83"/>
    <w:rsid w:val="00586C3F"/>
    <w:rsid w:val="00587515"/>
    <w:rsid w:val="005875A5"/>
    <w:rsid w:val="005879BE"/>
    <w:rsid w:val="00590ADC"/>
    <w:rsid w:val="005923F2"/>
    <w:rsid w:val="00592E95"/>
    <w:rsid w:val="0059319F"/>
    <w:rsid w:val="005939C9"/>
    <w:rsid w:val="005941D8"/>
    <w:rsid w:val="00594929"/>
    <w:rsid w:val="005959D5"/>
    <w:rsid w:val="005A018B"/>
    <w:rsid w:val="005A1649"/>
    <w:rsid w:val="005A1F27"/>
    <w:rsid w:val="005A58D0"/>
    <w:rsid w:val="005B164F"/>
    <w:rsid w:val="005B26B0"/>
    <w:rsid w:val="005B41C2"/>
    <w:rsid w:val="005B42CE"/>
    <w:rsid w:val="005B4834"/>
    <w:rsid w:val="005B4FD1"/>
    <w:rsid w:val="005B773E"/>
    <w:rsid w:val="005C06D4"/>
    <w:rsid w:val="005C2259"/>
    <w:rsid w:val="005C39B0"/>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E79BB"/>
    <w:rsid w:val="005F06E5"/>
    <w:rsid w:val="005F0B3E"/>
    <w:rsid w:val="005F14BA"/>
    <w:rsid w:val="005F2DC4"/>
    <w:rsid w:val="005F3858"/>
    <w:rsid w:val="005F6148"/>
    <w:rsid w:val="005F78B6"/>
    <w:rsid w:val="00600553"/>
    <w:rsid w:val="00601BD1"/>
    <w:rsid w:val="00605785"/>
    <w:rsid w:val="00605C4B"/>
    <w:rsid w:val="006061E6"/>
    <w:rsid w:val="0060692A"/>
    <w:rsid w:val="00607C3A"/>
    <w:rsid w:val="00607D55"/>
    <w:rsid w:val="00611064"/>
    <w:rsid w:val="00614976"/>
    <w:rsid w:val="00614DF4"/>
    <w:rsid w:val="00615D58"/>
    <w:rsid w:val="006167D0"/>
    <w:rsid w:val="00616B7E"/>
    <w:rsid w:val="00620CE9"/>
    <w:rsid w:val="006219B2"/>
    <w:rsid w:val="00621EBE"/>
    <w:rsid w:val="0062512A"/>
    <w:rsid w:val="006261BE"/>
    <w:rsid w:val="00626E7A"/>
    <w:rsid w:val="00630F4B"/>
    <w:rsid w:val="006320C6"/>
    <w:rsid w:val="00632576"/>
    <w:rsid w:val="006332ED"/>
    <w:rsid w:val="00633D58"/>
    <w:rsid w:val="006342D7"/>
    <w:rsid w:val="006347C0"/>
    <w:rsid w:val="00637397"/>
    <w:rsid w:val="006378F3"/>
    <w:rsid w:val="00641867"/>
    <w:rsid w:val="00641C82"/>
    <w:rsid w:val="006420CD"/>
    <w:rsid w:val="00643153"/>
    <w:rsid w:val="006440DC"/>
    <w:rsid w:val="006440EA"/>
    <w:rsid w:val="00644898"/>
    <w:rsid w:val="00644B51"/>
    <w:rsid w:val="00647EEB"/>
    <w:rsid w:val="00650648"/>
    <w:rsid w:val="00651907"/>
    <w:rsid w:val="00651B7D"/>
    <w:rsid w:val="00653C39"/>
    <w:rsid w:val="0065515E"/>
    <w:rsid w:val="00655524"/>
    <w:rsid w:val="00657BC0"/>
    <w:rsid w:val="00660717"/>
    <w:rsid w:val="00665414"/>
    <w:rsid w:val="00665428"/>
    <w:rsid w:val="0066770E"/>
    <w:rsid w:val="0067056E"/>
    <w:rsid w:val="00670B5C"/>
    <w:rsid w:val="00670EC2"/>
    <w:rsid w:val="00671281"/>
    <w:rsid w:val="006729C8"/>
    <w:rsid w:val="006742E0"/>
    <w:rsid w:val="0067537F"/>
    <w:rsid w:val="0067567F"/>
    <w:rsid w:val="00676129"/>
    <w:rsid w:val="0067757C"/>
    <w:rsid w:val="006802C5"/>
    <w:rsid w:val="00681AB3"/>
    <w:rsid w:val="00682914"/>
    <w:rsid w:val="00683C83"/>
    <w:rsid w:val="00684040"/>
    <w:rsid w:val="00684578"/>
    <w:rsid w:val="00684901"/>
    <w:rsid w:val="006860C6"/>
    <w:rsid w:val="00687D4D"/>
    <w:rsid w:val="0069030B"/>
    <w:rsid w:val="0069078C"/>
    <w:rsid w:val="00693786"/>
    <w:rsid w:val="00694B7D"/>
    <w:rsid w:val="00695150"/>
    <w:rsid w:val="006954ED"/>
    <w:rsid w:val="00695A8B"/>
    <w:rsid w:val="00696D01"/>
    <w:rsid w:val="00697981"/>
    <w:rsid w:val="006A19E5"/>
    <w:rsid w:val="006A1FB8"/>
    <w:rsid w:val="006A268B"/>
    <w:rsid w:val="006A4C62"/>
    <w:rsid w:val="006A5C5F"/>
    <w:rsid w:val="006A5D34"/>
    <w:rsid w:val="006A60E9"/>
    <w:rsid w:val="006A6573"/>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01A7"/>
    <w:rsid w:val="006D292E"/>
    <w:rsid w:val="006D32C9"/>
    <w:rsid w:val="006D340A"/>
    <w:rsid w:val="006D3AED"/>
    <w:rsid w:val="006D4379"/>
    <w:rsid w:val="006D5318"/>
    <w:rsid w:val="006D5F11"/>
    <w:rsid w:val="006D6288"/>
    <w:rsid w:val="006D6F1E"/>
    <w:rsid w:val="006E0976"/>
    <w:rsid w:val="006E1867"/>
    <w:rsid w:val="006E202F"/>
    <w:rsid w:val="006E3ED9"/>
    <w:rsid w:val="006E4343"/>
    <w:rsid w:val="006E446A"/>
    <w:rsid w:val="006E459A"/>
    <w:rsid w:val="006E46F4"/>
    <w:rsid w:val="006E65A0"/>
    <w:rsid w:val="006E6C84"/>
    <w:rsid w:val="006E7321"/>
    <w:rsid w:val="006E7696"/>
    <w:rsid w:val="006F1529"/>
    <w:rsid w:val="006F2BC4"/>
    <w:rsid w:val="006F2E38"/>
    <w:rsid w:val="006F5631"/>
    <w:rsid w:val="006F5A50"/>
    <w:rsid w:val="00702497"/>
    <w:rsid w:val="00702741"/>
    <w:rsid w:val="00702A6C"/>
    <w:rsid w:val="00702D0E"/>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47951"/>
    <w:rsid w:val="0075118C"/>
    <w:rsid w:val="007514ED"/>
    <w:rsid w:val="0075179C"/>
    <w:rsid w:val="007523C5"/>
    <w:rsid w:val="00753897"/>
    <w:rsid w:val="007544C6"/>
    <w:rsid w:val="0075453A"/>
    <w:rsid w:val="0075560B"/>
    <w:rsid w:val="0075700F"/>
    <w:rsid w:val="0075711E"/>
    <w:rsid w:val="007602A3"/>
    <w:rsid w:val="007605A4"/>
    <w:rsid w:val="00761523"/>
    <w:rsid w:val="00762A30"/>
    <w:rsid w:val="007632C1"/>
    <w:rsid w:val="007654F0"/>
    <w:rsid w:val="007668BA"/>
    <w:rsid w:val="00767E8A"/>
    <w:rsid w:val="0077082B"/>
    <w:rsid w:val="00770951"/>
    <w:rsid w:val="00771F9F"/>
    <w:rsid w:val="00772DCE"/>
    <w:rsid w:val="0077387E"/>
    <w:rsid w:val="00773D66"/>
    <w:rsid w:val="00776566"/>
    <w:rsid w:val="0077661A"/>
    <w:rsid w:val="00776D29"/>
    <w:rsid w:val="0077732F"/>
    <w:rsid w:val="0078091A"/>
    <w:rsid w:val="0078103A"/>
    <w:rsid w:val="00782F70"/>
    <w:rsid w:val="007832BB"/>
    <w:rsid w:val="00783610"/>
    <w:rsid w:val="0078409C"/>
    <w:rsid w:val="007856A7"/>
    <w:rsid w:val="007857F7"/>
    <w:rsid w:val="00785F51"/>
    <w:rsid w:val="007861DE"/>
    <w:rsid w:val="007865C7"/>
    <w:rsid w:val="00787326"/>
    <w:rsid w:val="00787881"/>
    <w:rsid w:val="00787C81"/>
    <w:rsid w:val="00790586"/>
    <w:rsid w:val="00790C95"/>
    <w:rsid w:val="00791898"/>
    <w:rsid w:val="00794894"/>
    <w:rsid w:val="00795DEF"/>
    <w:rsid w:val="007A057C"/>
    <w:rsid w:val="007A0D49"/>
    <w:rsid w:val="007A1CF2"/>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3BB2"/>
    <w:rsid w:val="007C449B"/>
    <w:rsid w:val="007C4D90"/>
    <w:rsid w:val="007C57CB"/>
    <w:rsid w:val="007C5879"/>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3D2"/>
    <w:rsid w:val="00800B7F"/>
    <w:rsid w:val="008051BB"/>
    <w:rsid w:val="00810B8F"/>
    <w:rsid w:val="00810DF7"/>
    <w:rsid w:val="00811460"/>
    <w:rsid w:val="008114EA"/>
    <w:rsid w:val="008115A8"/>
    <w:rsid w:val="00811C2D"/>
    <w:rsid w:val="00812239"/>
    <w:rsid w:val="0081269B"/>
    <w:rsid w:val="008129F9"/>
    <w:rsid w:val="0081316B"/>
    <w:rsid w:val="00814201"/>
    <w:rsid w:val="00814B15"/>
    <w:rsid w:val="00816D42"/>
    <w:rsid w:val="00817D3A"/>
    <w:rsid w:val="00822680"/>
    <w:rsid w:val="00822AE1"/>
    <w:rsid w:val="00823E5D"/>
    <w:rsid w:val="0083072B"/>
    <w:rsid w:val="0083207A"/>
    <w:rsid w:val="00832F32"/>
    <w:rsid w:val="00833A59"/>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6626"/>
    <w:rsid w:val="008676CB"/>
    <w:rsid w:val="00867F02"/>
    <w:rsid w:val="00871871"/>
    <w:rsid w:val="00872120"/>
    <w:rsid w:val="008761D7"/>
    <w:rsid w:val="00876625"/>
    <w:rsid w:val="008803AD"/>
    <w:rsid w:val="00880FA8"/>
    <w:rsid w:val="0088242C"/>
    <w:rsid w:val="00882A73"/>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0B5D"/>
    <w:rsid w:val="008B1FF2"/>
    <w:rsid w:val="008B222F"/>
    <w:rsid w:val="008B279E"/>
    <w:rsid w:val="008B46B5"/>
    <w:rsid w:val="008B4E69"/>
    <w:rsid w:val="008B5CF1"/>
    <w:rsid w:val="008B68DC"/>
    <w:rsid w:val="008B6A34"/>
    <w:rsid w:val="008B76C8"/>
    <w:rsid w:val="008C0BBF"/>
    <w:rsid w:val="008C135F"/>
    <w:rsid w:val="008C13E8"/>
    <w:rsid w:val="008C22F4"/>
    <w:rsid w:val="008C3C40"/>
    <w:rsid w:val="008C45F4"/>
    <w:rsid w:val="008C4A24"/>
    <w:rsid w:val="008C539A"/>
    <w:rsid w:val="008C5BC6"/>
    <w:rsid w:val="008C5DB2"/>
    <w:rsid w:val="008C65C0"/>
    <w:rsid w:val="008C670D"/>
    <w:rsid w:val="008C6899"/>
    <w:rsid w:val="008C6BF7"/>
    <w:rsid w:val="008C6C53"/>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2046"/>
    <w:rsid w:val="008F3F46"/>
    <w:rsid w:val="008F54DD"/>
    <w:rsid w:val="008F58AD"/>
    <w:rsid w:val="008F5A49"/>
    <w:rsid w:val="008F7176"/>
    <w:rsid w:val="00901AE3"/>
    <w:rsid w:val="00902ECF"/>
    <w:rsid w:val="009040E2"/>
    <w:rsid w:val="00905674"/>
    <w:rsid w:val="009072AB"/>
    <w:rsid w:val="00907D3F"/>
    <w:rsid w:val="00910844"/>
    <w:rsid w:val="00911C69"/>
    <w:rsid w:val="00913B42"/>
    <w:rsid w:val="00913EFA"/>
    <w:rsid w:val="00914B82"/>
    <w:rsid w:val="00914E72"/>
    <w:rsid w:val="00916657"/>
    <w:rsid w:val="009170E9"/>
    <w:rsid w:val="00917191"/>
    <w:rsid w:val="009202ED"/>
    <w:rsid w:val="009229EA"/>
    <w:rsid w:val="00923DC3"/>
    <w:rsid w:val="00926E8E"/>
    <w:rsid w:val="0092781F"/>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AD"/>
    <w:rsid w:val="00955CCF"/>
    <w:rsid w:val="00955F11"/>
    <w:rsid w:val="009608F8"/>
    <w:rsid w:val="00961F3A"/>
    <w:rsid w:val="00967040"/>
    <w:rsid w:val="009673DA"/>
    <w:rsid w:val="00967894"/>
    <w:rsid w:val="00967BF3"/>
    <w:rsid w:val="0097008D"/>
    <w:rsid w:val="0097009C"/>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4548"/>
    <w:rsid w:val="00987B36"/>
    <w:rsid w:val="009906EE"/>
    <w:rsid w:val="00991060"/>
    <w:rsid w:val="009910A0"/>
    <w:rsid w:val="009927AB"/>
    <w:rsid w:val="00993F5C"/>
    <w:rsid w:val="009965CD"/>
    <w:rsid w:val="009976A9"/>
    <w:rsid w:val="009A015D"/>
    <w:rsid w:val="009A2981"/>
    <w:rsid w:val="009A305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4A95"/>
    <w:rsid w:val="009D68B1"/>
    <w:rsid w:val="009D73BA"/>
    <w:rsid w:val="009D77AA"/>
    <w:rsid w:val="009D7969"/>
    <w:rsid w:val="009D7AC0"/>
    <w:rsid w:val="009D7E71"/>
    <w:rsid w:val="009E030E"/>
    <w:rsid w:val="009E0628"/>
    <w:rsid w:val="009E0C53"/>
    <w:rsid w:val="009E1600"/>
    <w:rsid w:val="009E181F"/>
    <w:rsid w:val="009E39E8"/>
    <w:rsid w:val="009E5083"/>
    <w:rsid w:val="009E52A5"/>
    <w:rsid w:val="009F028C"/>
    <w:rsid w:val="009F1143"/>
    <w:rsid w:val="009F147C"/>
    <w:rsid w:val="009F18D0"/>
    <w:rsid w:val="009F1B0B"/>
    <w:rsid w:val="009F2490"/>
    <w:rsid w:val="009F41C2"/>
    <w:rsid w:val="009F4EA5"/>
    <w:rsid w:val="009F57B6"/>
    <w:rsid w:val="009F7930"/>
    <w:rsid w:val="009F7E85"/>
    <w:rsid w:val="00A00523"/>
    <w:rsid w:val="00A00561"/>
    <w:rsid w:val="00A010AA"/>
    <w:rsid w:val="00A01112"/>
    <w:rsid w:val="00A045A4"/>
    <w:rsid w:val="00A05287"/>
    <w:rsid w:val="00A05B6F"/>
    <w:rsid w:val="00A061AF"/>
    <w:rsid w:val="00A079BF"/>
    <w:rsid w:val="00A117D9"/>
    <w:rsid w:val="00A123AA"/>
    <w:rsid w:val="00A16CBB"/>
    <w:rsid w:val="00A2136C"/>
    <w:rsid w:val="00A2209F"/>
    <w:rsid w:val="00A224E7"/>
    <w:rsid w:val="00A22C7E"/>
    <w:rsid w:val="00A22F26"/>
    <w:rsid w:val="00A22F47"/>
    <w:rsid w:val="00A2303A"/>
    <w:rsid w:val="00A23A45"/>
    <w:rsid w:val="00A24082"/>
    <w:rsid w:val="00A24A51"/>
    <w:rsid w:val="00A2562B"/>
    <w:rsid w:val="00A275E6"/>
    <w:rsid w:val="00A3041B"/>
    <w:rsid w:val="00A30FC1"/>
    <w:rsid w:val="00A322ED"/>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42D6"/>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3C42"/>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000"/>
    <w:rsid w:val="00AB14A5"/>
    <w:rsid w:val="00AB17BA"/>
    <w:rsid w:val="00AB1B40"/>
    <w:rsid w:val="00AB1B5D"/>
    <w:rsid w:val="00AB2E99"/>
    <w:rsid w:val="00AB52BA"/>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4F0"/>
    <w:rsid w:val="00AE5A4D"/>
    <w:rsid w:val="00AE6931"/>
    <w:rsid w:val="00AE711E"/>
    <w:rsid w:val="00AE7CDC"/>
    <w:rsid w:val="00AF220A"/>
    <w:rsid w:val="00AF2611"/>
    <w:rsid w:val="00AF2A4D"/>
    <w:rsid w:val="00AF5198"/>
    <w:rsid w:val="00AF5BEA"/>
    <w:rsid w:val="00AF67A8"/>
    <w:rsid w:val="00B01320"/>
    <w:rsid w:val="00B0195B"/>
    <w:rsid w:val="00B02635"/>
    <w:rsid w:val="00B04422"/>
    <w:rsid w:val="00B06935"/>
    <w:rsid w:val="00B127CF"/>
    <w:rsid w:val="00B14CA7"/>
    <w:rsid w:val="00B152DF"/>
    <w:rsid w:val="00B16115"/>
    <w:rsid w:val="00B16D59"/>
    <w:rsid w:val="00B17BEB"/>
    <w:rsid w:val="00B207B8"/>
    <w:rsid w:val="00B2327C"/>
    <w:rsid w:val="00B24B9A"/>
    <w:rsid w:val="00B24EBB"/>
    <w:rsid w:val="00B26A54"/>
    <w:rsid w:val="00B26EE5"/>
    <w:rsid w:val="00B31185"/>
    <w:rsid w:val="00B36384"/>
    <w:rsid w:val="00B366A6"/>
    <w:rsid w:val="00B40CB6"/>
    <w:rsid w:val="00B4101B"/>
    <w:rsid w:val="00B41261"/>
    <w:rsid w:val="00B41629"/>
    <w:rsid w:val="00B42C09"/>
    <w:rsid w:val="00B42D61"/>
    <w:rsid w:val="00B432F7"/>
    <w:rsid w:val="00B43487"/>
    <w:rsid w:val="00B44A31"/>
    <w:rsid w:val="00B46410"/>
    <w:rsid w:val="00B46651"/>
    <w:rsid w:val="00B5122C"/>
    <w:rsid w:val="00B52878"/>
    <w:rsid w:val="00B52B50"/>
    <w:rsid w:val="00B55331"/>
    <w:rsid w:val="00B55F62"/>
    <w:rsid w:val="00B56115"/>
    <w:rsid w:val="00B57219"/>
    <w:rsid w:val="00B60FE9"/>
    <w:rsid w:val="00B61468"/>
    <w:rsid w:val="00B632CF"/>
    <w:rsid w:val="00B64D89"/>
    <w:rsid w:val="00B65872"/>
    <w:rsid w:val="00B65C94"/>
    <w:rsid w:val="00B6747A"/>
    <w:rsid w:val="00B7082A"/>
    <w:rsid w:val="00B7432D"/>
    <w:rsid w:val="00B80A02"/>
    <w:rsid w:val="00B821A5"/>
    <w:rsid w:val="00B83D95"/>
    <w:rsid w:val="00B866BD"/>
    <w:rsid w:val="00B86D89"/>
    <w:rsid w:val="00B93135"/>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1D"/>
    <w:rsid w:val="00BB0DDF"/>
    <w:rsid w:val="00BB2D45"/>
    <w:rsid w:val="00BB5C78"/>
    <w:rsid w:val="00BB649B"/>
    <w:rsid w:val="00BB682A"/>
    <w:rsid w:val="00BB72EB"/>
    <w:rsid w:val="00BB7676"/>
    <w:rsid w:val="00BB7882"/>
    <w:rsid w:val="00BB7A79"/>
    <w:rsid w:val="00BC4E4A"/>
    <w:rsid w:val="00BC6228"/>
    <w:rsid w:val="00BC6901"/>
    <w:rsid w:val="00BC7540"/>
    <w:rsid w:val="00BD1D93"/>
    <w:rsid w:val="00BD2563"/>
    <w:rsid w:val="00BD3856"/>
    <w:rsid w:val="00BD3C78"/>
    <w:rsid w:val="00BD4870"/>
    <w:rsid w:val="00BD703E"/>
    <w:rsid w:val="00BD70ED"/>
    <w:rsid w:val="00BE0F9D"/>
    <w:rsid w:val="00BE207E"/>
    <w:rsid w:val="00BE30D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475F"/>
    <w:rsid w:val="00C0571C"/>
    <w:rsid w:val="00C0635F"/>
    <w:rsid w:val="00C06964"/>
    <w:rsid w:val="00C06B83"/>
    <w:rsid w:val="00C07609"/>
    <w:rsid w:val="00C10D1A"/>
    <w:rsid w:val="00C12BA5"/>
    <w:rsid w:val="00C12CA7"/>
    <w:rsid w:val="00C13D1A"/>
    <w:rsid w:val="00C143D4"/>
    <w:rsid w:val="00C163B4"/>
    <w:rsid w:val="00C17BD3"/>
    <w:rsid w:val="00C17C83"/>
    <w:rsid w:val="00C17EA8"/>
    <w:rsid w:val="00C20BD2"/>
    <w:rsid w:val="00C20C02"/>
    <w:rsid w:val="00C23ABB"/>
    <w:rsid w:val="00C2430C"/>
    <w:rsid w:val="00C25088"/>
    <w:rsid w:val="00C25344"/>
    <w:rsid w:val="00C26724"/>
    <w:rsid w:val="00C27588"/>
    <w:rsid w:val="00C27AB7"/>
    <w:rsid w:val="00C27BCD"/>
    <w:rsid w:val="00C30882"/>
    <w:rsid w:val="00C31470"/>
    <w:rsid w:val="00C3150D"/>
    <w:rsid w:val="00C33F3F"/>
    <w:rsid w:val="00C3474E"/>
    <w:rsid w:val="00C34887"/>
    <w:rsid w:val="00C355E9"/>
    <w:rsid w:val="00C36352"/>
    <w:rsid w:val="00C36904"/>
    <w:rsid w:val="00C37CA7"/>
    <w:rsid w:val="00C403DC"/>
    <w:rsid w:val="00C40A64"/>
    <w:rsid w:val="00C4112A"/>
    <w:rsid w:val="00C43E8A"/>
    <w:rsid w:val="00C45113"/>
    <w:rsid w:val="00C45264"/>
    <w:rsid w:val="00C4541F"/>
    <w:rsid w:val="00C45982"/>
    <w:rsid w:val="00C478CD"/>
    <w:rsid w:val="00C47DEA"/>
    <w:rsid w:val="00C51AAF"/>
    <w:rsid w:val="00C520C0"/>
    <w:rsid w:val="00C5231B"/>
    <w:rsid w:val="00C528FC"/>
    <w:rsid w:val="00C529EA"/>
    <w:rsid w:val="00C54FE6"/>
    <w:rsid w:val="00C5520B"/>
    <w:rsid w:val="00C555D2"/>
    <w:rsid w:val="00C55758"/>
    <w:rsid w:val="00C55824"/>
    <w:rsid w:val="00C5669B"/>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0C27"/>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6051"/>
    <w:rsid w:val="00CB726D"/>
    <w:rsid w:val="00CC0603"/>
    <w:rsid w:val="00CC1AF4"/>
    <w:rsid w:val="00CC3905"/>
    <w:rsid w:val="00CC4A50"/>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32"/>
    <w:rsid w:val="00CF07E5"/>
    <w:rsid w:val="00CF1527"/>
    <w:rsid w:val="00CF16FC"/>
    <w:rsid w:val="00CF2CF3"/>
    <w:rsid w:val="00CF3E22"/>
    <w:rsid w:val="00CF7A71"/>
    <w:rsid w:val="00D00803"/>
    <w:rsid w:val="00D0082D"/>
    <w:rsid w:val="00D008F4"/>
    <w:rsid w:val="00D00C90"/>
    <w:rsid w:val="00D011E5"/>
    <w:rsid w:val="00D02D6F"/>
    <w:rsid w:val="00D03DA3"/>
    <w:rsid w:val="00D04111"/>
    <w:rsid w:val="00D0435E"/>
    <w:rsid w:val="00D062AC"/>
    <w:rsid w:val="00D07D5D"/>
    <w:rsid w:val="00D07F37"/>
    <w:rsid w:val="00D10C20"/>
    <w:rsid w:val="00D10C2D"/>
    <w:rsid w:val="00D12B52"/>
    <w:rsid w:val="00D12B99"/>
    <w:rsid w:val="00D15CE2"/>
    <w:rsid w:val="00D16425"/>
    <w:rsid w:val="00D20BE6"/>
    <w:rsid w:val="00D218F1"/>
    <w:rsid w:val="00D23265"/>
    <w:rsid w:val="00D23B8C"/>
    <w:rsid w:val="00D23BE4"/>
    <w:rsid w:val="00D24573"/>
    <w:rsid w:val="00D2471E"/>
    <w:rsid w:val="00D248C2"/>
    <w:rsid w:val="00D27D24"/>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56E30"/>
    <w:rsid w:val="00D61160"/>
    <w:rsid w:val="00D61192"/>
    <w:rsid w:val="00D6242B"/>
    <w:rsid w:val="00D637D8"/>
    <w:rsid w:val="00D6421E"/>
    <w:rsid w:val="00D642D4"/>
    <w:rsid w:val="00D644B1"/>
    <w:rsid w:val="00D658E5"/>
    <w:rsid w:val="00D65D3A"/>
    <w:rsid w:val="00D66641"/>
    <w:rsid w:val="00D704DD"/>
    <w:rsid w:val="00D7094D"/>
    <w:rsid w:val="00D717F0"/>
    <w:rsid w:val="00D76E2A"/>
    <w:rsid w:val="00D81683"/>
    <w:rsid w:val="00D8242B"/>
    <w:rsid w:val="00D83F95"/>
    <w:rsid w:val="00D84BDB"/>
    <w:rsid w:val="00D85FAC"/>
    <w:rsid w:val="00D86D4A"/>
    <w:rsid w:val="00D8739E"/>
    <w:rsid w:val="00D90525"/>
    <w:rsid w:val="00D92727"/>
    <w:rsid w:val="00D92B7C"/>
    <w:rsid w:val="00D92BE6"/>
    <w:rsid w:val="00D92DB0"/>
    <w:rsid w:val="00D93F93"/>
    <w:rsid w:val="00D96C63"/>
    <w:rsid w:val="00D9744C"/>
    <w:rsid w:val="00D97541"/>
    <w:rsid w:val="00DA0652"/>
    <w:rsid w:val="00DA0B05"/>
    <w:rsid w:val="00DA1A75"/>
    <w:rsid w:val="00DA1D45"/>
    <w:rsid w:val="00DA236C"/>
    <w:rsid w:val="00DA5622"/>
    <w:rsid w:val="00DA57D5"/>
    <w:rsid w:val="00DA5ED3"/>
    <w:rsid w:val="00DA627C"/>
    <w:rsid w:val="00DA64EA"/>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53FC"/>
    <w:rsid w:val="00DC5624"/>
    <w:rsid w:val="00DC6E05"/>
    <w:rsid w:val="00DC6ED1"/>
    <w:rsid w:val="00DD0252"/>
    <w:rsid w:val="00DD0B3E"/>
    <w:rsid w:val="00DD0BE2"/>
    <w:rsid w:val="00DD0D8B"/>
    <w:rsid w:val="00DD197C"/>
    <w:rsid w:val="00DD258E"/>
    <w:rsid w:val="00DD484A"/>
    <w:rsid w:val="00DD609E"/>
    <w:rsid w:val="00DD67E7"/>
    <w:rsid w:val="00DD7472"/>
    <w:rsid w:val="00DD7552"/>
    <w:rsid w:val="00DD7C41"/>
    <w:rsid w:val="00DE0F8B"/>
    <w:rsid w:val="00DE1733"/>
    <w:rsid w:val="00DE281D"/>
    <w:rsid w:val="00DE4269"/>
    <w:rsid w:val="00DE4F5C"/>
    <w:rsid w:val="00DE7465"/>
    <w:rsid w:val="00DF0F0F"/>
    <w:rsid w:val="00DF1527"/>
    <w:rsid w:val="00DF2FAB"/>
    <w:rsid w:val="00DF3CFE"/>
    <w:rsid w:val="00DF461C"/>
    <w:rsid w:val="00DF4934"/>
    <w:rsid w:val="00DF4D51"/>
    <w:rsid w:val="00DF5EC5"/>
    <w:rsid w:val="00DF5F45"/>
    <w:rsid w:val="00DF7858"/>
    <w:rsid w:val="00E01049"/>
    <w:rsid w:val="00E02FA5"/>
    <w:rsid w:val="00E03D34"/>
    <w:rsid w:val="00E045CF"/>
    <w:rsid w:val="00E04626"/>
    <w:rsid w:val="00E04DE4"/>
    <w:rsid w:val="00E06A6B"/>
    <w:rsid w:val="00E071C0"/>
    <w:rsid w:val="00E13891"/>
    <w:rsid w:val="00E13EB1"/>
    <w:rsid w:val="00E14988"/>
    <w:rsid w:val="00E15E2B"/>
    <w:rsid w:val="00E1645E"/>
    <w:rsid w:val="00E17289"/>
    <w:rsid w:val="00E174D1"/>
    <w:rsid w:val="00E179E2"/>
    <w:rsid w:val="00E203AA"/>
    <w:rsid w:val="00E203CD"/>
    <w:rsid w:val="00E2055D"/>
    <w:rsid w:val="00E20B76"/>
    <w:rsid w:val="00E23028"/>
    <w:rsid w:val="00E23D43"/>
    <w:rsid w:val="00E248C0"/>
    <w:rsid w:val="00E24C55"/>
    <w:rsid w:val="00E25C91"/>
    <w:rsid w:val="00E26162"/>
    <w:rsid w:val="00E26CA8"/>
    <w:rsid w:val="00E316D9"/>
    <w:rsid w:val="00E337E5"/>
    <w:rsid w:val="00E3398B"/>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323"/>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698"/>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32DD"/>
    <w:rsid w:val="00EF4E6C"/>
    <w:rsid w:val="00EF5475"/>
    <w:rsid w:val="00EF79CB"/>
    <w:rsid w:val="00F0068C"/>
    <w:rsid w:val="00F00841"/>
    <w:rsid w:val="00F00FC9"/>
    <w:rsid w:val="00F027BF"/>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50AC"/>
    <w:rsid w:val="00F1673A"/>
    <w:rsid w:val="00F16A4C"/>
    <w:rsid w:val="00F16A4F"/>
    <w:rsid w:val="00F16DD6"/>
    <w:rsid w:val="00F170A2"/>
    <w:rsid w:val="00F1742E"/>
    <w:rsid w:val="00F17C52"/>
    <w:rsid w:val="00F202FF"/>
    <w:rsid w:val="00F20BF5"/>
    <w:rsid w:val="00F21266"/>
    <w:rsid w:val="00F2149B"/>
    <w:rsid w:val="00F21A54"/>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06E1"/>
    <w:rsid w:val="00F52833"/>
    <w:rsid w:val="00F53612"/>
    <w:rsid w:val="00F53DE9"/>
    <w:rsid w:val="00F54C5C"/>
    <w:rsid w:val="00F557ED"/>
    <w:rsid w:val="00F55BF3"/>
    <w:rsid w:val="00F5689E"/>
    <w:rsid w:val="00F57497"/>
    <w:rsid w:val="00F61358"/>
    <w:rsid w:val="00F61D18"/>
    <w:rsid w:val="00F6256F"/>
    <w:rsid w:val="00F64BDE"/>
    <w:rsid w:val="00F65C62"/>
    <w:rsid w:val="00F65E09"/>
    <w:rsid w:val="00F66FA9"/>
    <w:rsid w:val="00F71643"/>
    <w:rsid w:val="00F71FD6"/>
    <w:rsid w:val="00F7278F"/>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186"/>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5CBD"/>
    <w:rsid w:val="00FC6FE6"/>
    <w:rsid w:val="00FD0826"/>
    <w:rsid w:val="00FD186F"/>
    <w:rsid w:val="00FD1E29"/>
    <w:rsid w:val="00FD38DA"/>
    <w:rsid w:val="00FD3A4B"/>
    <w:rsid w:val="00FD4098"/>
    <w:rsid w:val="00FD5565"/>
    <w:rsid w:val="00FD6CBD"/>
    <w:rsid w:val="00FE0218"/>
    <w:rsid w:val="00FE064C"/>
    <w:rsid w:val="00FE255A"/>
    <w:rsid w:val="00FE2A37"/>
    <w:rsid w:val="00FE3864"/>
    <w:rsid w:val="00FE4A17"/>
    <w:rsid w:val="00FE5B17"/>
    <w:rsid w:val="00FE5F53"/>
    <w:rsid w:val="00FE7891"/>
    <w:rsid w:val="00FF12E4"/>
    <w:rsid w:val="00FF3F28"/>
    <w:rsid w:val="00FF4A6C"/>
    <w:rsid w:val="00FF4A93"/>
    <w:rsid w:val="00FF6E2B"/>
    <w:rsid w:val="00FF6F19"/>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25509202">
      <w:bodyDiv w:val="1"/>
      <w:marLeft w:val="0"/>
      <w:marRight w:val="0"/>
      <w:marTop w:val="0"/>
      <w:marBottom w:val="0"/>
      <w:divBdr>
        <w:top w:val="none" w:sz="0" w:space="0" w:color="auto"/>
        <w:left w:val="none" w:sz="0" w:space="0" w:color="auto"/>
        <w:bottom w:val="none" w:sz="0" w:space="0" w:color="auto"/>
        <w:right w:val="none" w:sz="0" w:space="0" w:color="auto"/>
      </w:divBdr>
      <w:divsChild>
        <w:div w:id="953291554">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55551103">
      <w:bodyDiv w:val="1"/>
      <w:marLeft w:val="0"/>
      <w:marRight w:val="0"/>
      <w:marTop w:val="0"/>
      <w:marBottom w:val="0"/>
      <w:divBdr>
        <w:top w:val="none" w:sz="0" w:space="0" w:color="auto"/>
        <w:left w:val="none" w:sz="0" w:space="0" w:color="auto"/>
        <w:bottom w:val="none" w:sz="0" w:space="0" w:color="auto"/>
        <w:right w:val="none" w:sz="0" w:space="0" w:color="auto"/>
      </w:divBdr>
      <w:divsChild>
        <w:div w:id="562495876">
          <w:marLeft w:val="0"/>
          <w:marRight w:val="0"/>
          <w:marTop w:val="0"/>
          <w:marBottom w:val="0"/>
          <w:divBdr>
            <w:top w:val="none" w:sz="0" w:space="0" w:color="auto"/>
            <w:left w:val="none" w:sz="0" w:space="0" w:color="auto"/>
            <w:bottom w:val="none" w:sz="0" w:space="0" w:color="auto"/>
            <w:right w:val="none" w:sz="0" w:space="0" w:color="auto"/>
          </w:divBdr>
        </w:div>
      </w:divsChild>
    </w:div>
    <w:div w:id="581066497">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996106252">
      <w:bodyDiv w:val="1"/>
      <w:marLeft w:val="0"/>
      <w:marRight w:val="0"/>
      <w:marTop w:val="0"/>
      <w:marBottom w:val="0"/>
      <w:divBdr>
        <w:top w:val="none" w:sz="0" w:space="0" w:color="auto"/>
        <w:left w:val="none" w:sz="0" w:space="0" w:color="auto"/>
        <w:bottom w:val="none" w:sz="0" w:space="0" w:color="auto"/>
        <w:right w:val="none" w:sz="0" w:space="0" w:color="auto"/>
      </w:divBdr>
    </w:div>
    <w:div w:id="1005476797">
      <w:bodyDiv w:val="1"/>
      <w:marLeft w:val="0"/>
      <w:marRight w:val="0"/>
      <w:marTop w:val="0"/>
      <w:marBottom w:val="0"/>
      <w:divBdr>
        <w:top w:val="none" w:sz="0" w:space="0" w:color="auto"/>
        <w:left w:val="none" w:sz="0" w:space="0" w:color="auto"/>
        <w:bottom w:val="none" w:sz="0" w:space="0" w:color="auto"/>
        <w:right w:val="none" w:sz="0" w:space="0" w:color="auto"/>
      </w:divBdr>
      <w:divsChild>
        <w:div w:id="94846392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89876738">
      <w:bodyDiv w:val="1"/>
      <w:marLeft w:val="0"/>
      <w:marRight w:val="0"/>
      <w:marTop w:val="0"/>
      <w:marBottom w:val="0"/>
      <w:divBdr>
        <w:top w:val="none" w:sz="0" w:space="0" w:color="auto"/>
        <w:left w:val="none" w:sz="0" w:space="0" w:color="auto"/>
        <w:bottom w:val="none" w:sz="0" w:space="0" w:color="auto"/>
        <w:right w:val="none" w:sz="0" w:space="0" w:color="auto"/>
      </w:divBdr>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387874851">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47963353">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494831855">
      <w:bodyDiv w:val="1"/>
      <w:marLeft w:val="0"/>
      <w:marRight w:val="0"/>
      <w:marTop w:val="0"/>
      <w:marBottom w:val="0"/>
      <w:divBdr>
        <w:top w:val="none" w:sz="0" w:space="0" w:color="auto"/>
        <w:left w:val="none" w:sz="0" w:space="0" w:color="auto"/>
        <w:bottom w:val="none" w:sz="0" w:space="0" w:color="auto"/>
        <w:right w:val="none" w:sz="0" w:space="0" w:color="auto"/>
      </w:divBdr>
    </w:div>
    <w:div w:id="1570309170">
      <w:bodyDiv w:val="1"/>
      <w:marLeft w:val="0"/>
      <w:marRight w:val="0"/>
      <w:marTop w:val="0"/>
      <w:marBottom w:val="0"/>
      <w:divBdr>
        <w:top w:val="none" w:sz="0" w:space="0" w:color="auto"/>
        <w:left w:val="none" w:sz="0" w:space="0" w:color="auto"/>
        <w:bottom w:val="none" w:sz="0" w:space="0" w:color="auto"/>
        <w:right w:val="none" w:sz="0" w:space="0" w:color="auto"/>
      </w:divBdr>
      <w:divsChild>
        <w:div w:id="1209225731">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595093958">
      <w:bodyDiv w:val="1"/>
      <w:marLeft w:val="0"/>
      <w:marRight w:val="0"/>
      <w:marTop w:val="0"/>
      <w:marBottom w:val="0"/>
      <w:divBdr>
        <w:top w:val="none" w:sz="0" w:space="0" w:color="auto"/>
        <w:left w:val="none" w:sz="0" w:space="0" w:color="auto"/>
        <w:bottom w:val="none" w:sz="0" w:space="0" w:color="auto"/>
        <w:right w:val="none" w:sz="0" w:space="0" w:color="auto"/>
      </w:divBdr>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88871295">
      <w:bodyDiv w:val="1"/>
      <w:marLeft w:val="0"/>
      <w:marRight w:val="0"/>
      <w:marTop w:val="0"/>
      <w:marBottom w:val="0"/>
      <w:divBdr>
        <w:top w:val="none" w:sz="0" w:space="0" w:color="auto"/>
        <w:left w:val="none" w:sz="0" w:space="0" w:color="auto"/>
        <w:bottom w:val="none" w:sz="0" w:space="0" w:color="auto"/>
        <w:right w:val="none" w:sz="0" w:space="0" w:color="auto"/>
      </w:divBdr>
      <w:divsChild>
        <w:div w:id="1476332264">
          <w:marLeft w:val="0"/>
          <w:marRight w:val="0"/>
          <w:marTop w:val="0"/>
          <w:marBottom w:val="0"/>
          <w:divBdr>
            <w:top w:val="none" w:sz="0" w:space="0" w:color="auto"/>
            <w:left w:val="none" w:sz="0" w:space="0" w:color="auto"/>
            <w:bottom w:val="none" w:sz="0" w:space="0" w:color="auto"/>
            <w:right w:val="none" w:sz="0" w:space="0" w:color="auto"/>
          </w:divBdr>
        </w:div>
      </w:divsChild>
    </w:div>
    <w:div w:id="1694770577">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11296271">
      <w:bodyDiv w:val="1"/>
      <w:marLeft w:val="0"/>
      <w:marRight w:val="0"/>
      <w:marTop w:val="0"/>
      <w:marBottom w:val="0"/>
      <w:divBdr>
        <w:top w:val="none" w:sz="0" w:space="0" w:color="auto"/>
        <w:left w:val="none" w:sz="0" w:space="0" w:color="auto"/>
        <w:bottom w:val="none" w:sz="0" w:space="0" w:color="auto"/>
        <w:right w:val="none" w:sz="0" w:space="0" w:color="auto"/>
      </w:divBdr>
      <w:divsChild>
        <w:div w:id="841628355">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44840607">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56974659">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769883519">
      <w:bodyDiv w:val="1"/>
      <w:marLeft w:val="0"/>
      <w:marRight w:val="0"/>
      <w:marTop w:val="0"/>
      <w:marBottom w:val="0"/>
      <w:divBdr>
        <w:top w:val="none" w:sz="0" w:space="0" w:color="auto"/>
        <w:left w:val="none" w:sz="0" w:space="0" w:color="auto"/>
        <w:bottom w:val="none" w:sz="0" w:space="0" w:color="auto"/>
        <w:right w:val="none" w:sz="0" w:space="0" w:color="auto"/>
      </w:divBdr>
      <w:divsChild>
        <w:div w:id="203098819">
          <w:marLeft w:val="0"/>
          <w:marRight w:val="0"/>
          <w:marTop w:val="0"/>
          <w:marBottom w:val="0"/>
          <w:divBdr>
            <w:top w:val="none" w:sz="0" w:space="0" w:color="auto"/>
            <w:left w:val="none" w:sz="0" w:space="0" w:color="auto"/>
            <w:bottom w:val="none" w:sz="0" w:space="0" w:color="auto"/>
            <w:right w:val="none" w:sz="0" w:space="0" w:color="auto"/>
          </w:divBdr>
        </w:div>
      </w:divsChild>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1981381112">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20885432">
      <w:bodyDiv w:val="1"/>
      <w:marLeft w:val="0"/>
      <w:marRight w:val="0"/>
      <w:marTop w:val="0"/>
      <w:marBottom w:val="0"/>
      <w:divBdr>
        <w:top w:val="none" w:sz="0" w:space="0" w:color="auto"/>
        <w:left w:val="none" w:sz="0" w:space="0" w:color="auto"/>
        <w:bottom w:val="none" w:sz="0" w:space="0" w:color="auto"/>
        <w:right w:val="none" w:sz="0" w:space="0" w:color="auto"/>
      </w:divBdr>
      <w:divsChild>
        <w:div w:id="1167132662">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7802</TotalTime>
  <Pages>50</Pages>
  <Words>11195</Words>
  <Characters>61573</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2354</cp:revision>
  <dcterms:created xsi:type="dcterms:W3CDTF">2023-08-20T22:37:00Z</dcterms:created>
  <dcterms:modified xsi:type="dcterms:W3CDTF">2023-09-14T03:14:00Z</dcterms:modified>
</cp:coreProperties>
</file>