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2F75B5"/>
          <w:sz w:val="20"/>
        </w:rPr>
        <w:t>FIELD-BASED CAPSTONE SCENARIO</w:t>
      </w:r>
    </w:p>
    <w:p>
      <w:pPr>
        <w:pStyle w:val="Title"/>
        <w:jc w:val="center"/>
      </w:pPr>
      <w:r>
        <w:t>EDU-02 — Student Performance Early-Warning Model</w:t>
      </w:r>
    </w:p>
    <w:p>
      <w:pPr>
        <w:jc w:val="center"/>
      </w:pPr>
      <w:r>
        <w:rPr>
          <w:rFonts w:ascii="Aptos" w:hAnsi="Aptos" w:eastAsia="Aptos"/>
          <w:b w:val="0"/>
          <w:color w:val="595959"/>
          <w:sz w:val="22"/>
        </w:rPr>
        <w:t>EdTech | Technical Project Brief</w:t>
      </w:r>
    </w:p>
    <w:p/>
    <w:tbl>
      <w:tblPr>
        <w:tblStyle w:val="TableGrid"/>
        <w:tblW w:type="auto" w:w="0"/>
        <w:jc w:val="center"/>
        <w:tblLook w:firstColumn="1" w:firstRow="1" w:lastColumn="0" w:lastRow="0" w:noHBand="0" w:noVBand="1" w:val="04A0"/>
      </w:tblPr>
      <w:tblGrid>
        <w:gridCol w:w="5100"/>
        <w:gridCol w:w="5100"/>
      </w:tblGrid>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Field</w:t>
            </w:r>
          </w:p>
        </w:tc>
        <w:tc>
          <w:tcPr>
            <w:tcW w:type="dxa" w:w="6576"/>
            <w:vAlign w:val="center"/>
            <w:tcMar>
              <w:top w:w="90" w:type="dxa"/>
              <w:start w:w="100" w:type="dxa"/>
              <w:bottom w:w="90" w:type="dxa"/>
              <w:end w:w="100" w:type="dxa"/>
            </w:tcMar>
          </w:tcPr>
          <w:p>
            <w:pPr>
              <w:jc w:val="left"/>
            </w:pPr>
            <w:r/>
            <w:r>
              <w:rPr>
                <w:rFonts w:ascii="Aptos" w:hAnsi="Aptos" w:eastAsia="Aptos"/>
                <w:b w:val="0"/>
                <w:sz w:val="19"/>
              </w:rPr>
              <w:t>EdTech</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Client</w:t>
            </w:r>
          </w:p>
        </w:tc>
        <w:tc>
          <w:tcPr>
            <w:tcW w:type="dxa" w:w="6576"/>
            <w:vAlign w:val="center"/>
            <w:tcMar>
              <w:top w:w="90" w:type="dxa"/>
              <w:start w:w="100" w:type="dxa"/>
              <w:bottom w:w="90" w:type="dxa"/>
              <w:end w:w="100" w:type="dxa"/>
            </w:tcMar>
          </w:tcPr>
          <w:p>
            <w:pPr>
              <w:jc w:val="left"/>
            </w:pPr>
            <w:r/>
            <w:r>
              <w:rPr>
                <w:rFonts w:ascii="Aptos" w:hAnsi="Aptos" w:eastAsia="Aptos"/>
                <w:b w:val="0"/>
                <w:sz w:val="19"/>
              </w:rPr>
              <w:t>University / Online Academy</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Track</w:t>
            </w:r>
          </w:p>
        </w:tc>
        <w:tc>
          <w:tcPr>
            <w:tcW w:type="dxa" w:w="6576"/>
            <w:vAlign w:val="center"/>
            <w:tcMar>
              <w:top w:w="90" w:type="dxa"/>
              <w:start w:w="100" w:type="dxa"/>
              <w:bottom w:w="90" w:type="dxa"/>
              <w:end w:w="100" w:type="dxa"/>
            </w:tcMar>
          </w:tcPr>
          <w:p>
            <w:pPr>
              <w:jc w:val="left"/>
            </w:pPr>
            <w:r/>
            <w:r>
              <w:rPr>
                <w:rFonts w:ascii="Aptos" w:hAnsi="Aptos" w:eastAsia="Aptos"/>
                <w:b w:val="0"/>
                <w:sz w:val="19"/>
              </w:rPr>
              <w:t>Field-Based Scenario</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Purpose</w:t>
            </w:r>
          </w:p>
        </w:tc>
        <w:tc>
          <w:tcPr>
            <w:tcW w:type="dxa" w:w="6576"/>
            <w:vAlign w:val="center"/>
            <w:tcMar>
              <w:top w:w="90" w:type="dxa"/>
              <w:start w:w="100" w:type="dxa"/>
              <w:bottom w:w="90" w:type="dxa"/>
              <w:end w:w="100" w:type="dxa"/>
            </w:tcMar>
          </w:tcPr>
          <w:p>
            <w:pPr>
              <w:jc w:val="left"/>
            </w:pPr>
            <w:r/>
            <w:r>
              <w:rPr>
                <w:rFonts w:ascii="Aptos" w:hAnsi="Aptos" w:eastAsia="Aptos"/>
                <w:b w:val="0"/>
                <w:sz w:val="19"/>
              </w:rPr>
              <w:t>Use this brief as the business requirement. You are responsible for the technical formulation and implementation decisions.</w:t>
            </w:r>
          </w:p>
        </w:tc>
      </w:tr>
    </w:tbl>
    <w:p/>
    <w:tbl>
      <w:tblPr>
        <w:tblStyle w:val="TableGrid"/>
        <w:tblW w:type="auto" w:w="0"/>
        <w:jc w:val="center"/>
        <w:tblLook w:firstColumn="1" w:firstRow="1" w:lastColumn="0" w:lastRow="0" w:noHBand="0" w:noVBand="1" w:val="04A0"/>
      </w:tblPr>
      <w:tblGrid>
        <w:gridCol w:w="10200"/>
      </w:tblGrid>
      <w:tr>
        <w:tc>
          <w:tcPr>
            <w:tcW w:type="dxa" w:w="9298"/>
            <w:shd w:fill="F2F8EE"/>
            <w:tcMar>
              <w:top w:w="120" w:type="dxa"/>
              <w:start w:w="140" w:type="dxa"/>
              <w:bottom w:w="120" w:type="dxa"/>
              <w:end w:w="140" w:type="dxa"/>
            </w:tcMar>
          </w:tcPr>
          <w:p>
            <w:r>
              <w:rPr>
                <w:rFonts w:ascii="Aptos" w:hAnsi="Aptos" w:eastAsia="Aptos"/>
                <w:b/>
                <w:color w:val="183153"/>
                <w:sz w:val="20"/>
              </w:rPr>
              <w:t>How to use this brief</w:t>
            </w:r>
            <w:r>
              <w:rPr>
                <w:rFonts w:ascii="Aptos" w:hAnsi="Aptos" w:eastAsia="Aptos"/>
                <w:b w:val="0"/>
                <w:sz w:val="19"/>
              </w:rPr>
              <w:br/>
              <w:t>Treat the scenario as a client request, not as a step-by-step assignment. Complete the Data &amp; Problem Discovery and Technical Proposal sections before full implementation and be ready to justify your decisions to the mentors.</w:t>
            </w:r>
          </w:p>
        </w:tc>
      </w:tr>
    </w:tbl>
    <w:p>
      <w:pPr>
        <w:pStyle w:val="Heading1"/>
        <w:keepNext/>
      </w:pPr>
      <w:r>
        <w:t>1. Client Background</w:t>
      </w:r>
    </w:p>
    <w:p>
      <w:r>
        <w:t>An education provider wants to identify students who may need support before the end of a course. Staff can observe early attendance, LMS activity, quizzes and assignments, but intervention often happens only after final performance has already declined.</w:t>
      </w:r>
    </w:p>
    <w:p>
      <w:pPr>
        <w:pStyle w:val="Heading1"/>
        <w:keepNext/>
      </w:pPr>
      <w:r>
        <w:t>2. Business Problem</w:t>
      </w:r>
    </w:p>
    <w:p>
      <w:r>
        <w:t>The organization needs an earlier signal of academic risk while there is still time to intervene. The main challenge is to define a useful prediction point and avoid using information that would not yet be known at that point.</w:t>
      </w:r>
    </w:p>
    <w:p>
      <w:pPr>
        <w:pStyle w:val="Heading1"/>
        <w:keepNext/>
      </w:pPr>
      <w:r>
        <w:t>3. Requested Solution</w:t>
      </w:r>
    </w:p>
    <w:p>
      <w:r>
        <w:t>Develop an ML-based early-warning solution that uses early-course information to estimate future student performance or risk. You must decide how to formulate the prediction target and what output would be most actionable for academic support staff.</w:t>
      </w:r>
    </w:p>
    <w:p>
      <w:pPr>
        <w:pStyle w:val="Heading1"/>
        <w:keepNext/>
      </w:pPr>
      <w:r>
        <w:t>4. Available Information</w:t>
      </w:r>
    </w:p>
    <w:p>
      <w:r>
        <w:t>The organization may have access to information such as:</w:t>
      </w:r>
    </w:p>
    <w:p>
      <w:pPr>
        <w:pStyle w:val="ListBullet"/>
        <w:spacing w:after="30"/>
        <w:ind w:left="369" w:hanging="142"/>
      </w:pPr>
      <w:r>
        <w:t>Early assignment or quiz results.</w:t>
      </w:r>
    </w:p>
    <w:p>
      <w:pPr>
        <w:pStyle w:val="ListBullet"/>
        <w:spacing w:after="30"/>
        <w:ind w:left="369" w:hanging="142"/>
      </w:pPr>
      <w:r>
        <w:t>Attendance or participation records.</w:t>
      </w:r>
    </w:p>
    <w:p>
      <w:pPr>
        <w:pStyle w:val="ListBullet"/>
        <w:spacing w:after="30"/>
        <w:ind w:left="369" w:hanging="142"/>
      </w:pPr>
      <w:r>
        <w:t>LMS activity and inactivity indicators.</w:t>
      </w:r>
    </w:p>
    <w:p>
      <w:pPr>
        <w:pStyle w:val="ListBullet"/>
        <w:spacing w:after="30"/>
        <w:ind w:left="369" w:hanging="142"/>
      </w:pPr>
      <w:r>
        <w:t>Course progress and submission timing.</w:t>
      </w:r>
    </w:p>
    <w:p>
      <w:pPr>
        <w:pStyle w:val="ListBullet"/>
        <w:spacing w:after="30"/>
        <w:ind w:left="369" w:hanging="142"/>
      </w:pPr>
      <w:r>
        <w:t>Public student-performance or learning analytics datasets.</w:t>
      </w:r>
    </w:p>
    <w:p>
      <w:r>
        <w:t xml:space="preserve">You are responsible for </w:t>
      </w:r>
      <w:r>
        <w:rPr>
          <w:b/>
        </w:rPr>
        <w:t>selecting a suitable public dataset</w:t>
      </w:r>
      <w:r>
        <w:t>, determining which variables are appropriate, and documenting any important limitations of the data.</w:t>
      </w:r>
    </w:p>
    <w:p>
      <w:pPr>
        <w:pStyle w:val="Heading1"/>
        <w:keepNext/>
      </w:pPr>
      <w:r>
        <w:t>5. Data &amp; Problem Discovery — Complete Before Modeling</w:t>
      </w:r>
    </w:p>
    <w:tbl>
      <w:tblPr>
        <w:tblStyle w:val="TableGrid"/>
        <w:tblW w:type="auto" w:w="0"/>
        <w:jc w:val="center"/>
        <w:tblLook w:firstColumn="1" w:firstRow="1" w:lastColumn="0" w:lastRow="0" w:noHBand="0" w:noVBand="1" w:val="04A0"/>
      </w:tblPr>
      <w:tblGrid>
        <w:gridCol w:w="5100"/>
        <w:gridCol w:w="5100"/>
      </w:tblGrid>
      <w:tr>
        <w:tc>
          <w:tcPr>
            <w:tcW w:type="dxa" w:w="3515"/>
            <w:vAlign w:val="center"/>
            <w:tcMar>
              <w:top w:w="90" w:type="dxa"/>
              <w:start w:w="100" w:type="dxa"/>
              <w:bottom w:w="90" w:type="dxa"/>
              <w:end w:w="100" w:type="dxa"/>
            </w:tcMar>
            <w:shd w:fill="2F75B5"/>
          </w:tcPr>
          <w:p>
            <w:pPr>
              <w:jc w:val="left"/>
            </w:pPr>
            <w:r/>
            <w:r>
              <w:rPr>
                <w:rFonts w:ascii="Aptos" w:hAnsi="Aptos" w:eastAsia="Aptos"/>
                <w:b/>
                <w:color w:val="FFFFFF"/>
                <w:sz w:val="19"/>
              </w:rPr>
              <w:t>Decision / Question</w:t>
            </w:r>
          </w:p>
        </w:tc>
        <w:tc>
          <w:tcPr>
            <w:tcW w:type="dxa" w:w="5783"/>
            <w:vAlign w:val="center"/>
            <w:tcMar>
              <w:top w:w="90" w:type="dxa"/>
              <w:start w:w="100" w:type="dxa"/>
              <w:bottom w:w="90" w:type="dxa"/>
              <w:end w:w="100" w:type="dxa"/>
            </w:tcMar>
            <w:shd w:fill="2F75B5"/>
          </w:tcPr>
          <w:p>
            <w:pPr>
              <w:jc w:val="left"/>
            </w:pPr>
            <w:r/>
            <w:r>
              <w:rPr>
                <w:rFonts w:ascii="Aptos" w:hAnsi="Aptos" w:eastAsia="Aptos"/>
                <w:b/>
                <w:color w:val="FFFFFF"/>
                <w:sz w:val="19"/>
              </w:rPr>
              <w:t>Student Response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Selected dataset and source</w:t>
            </w:r>
          </w:p>
        </w:tc>
        <w:tc>
          <w:tcPr>
            <w:tcW w:type="dxa" w:w="5783"/>
            <w:vAlign w:val="center"/>
            <w:tcMar>
              <w:top w:w="90" w:type="dxa"/>
              <w:start w:w="100" w:type="dxa"/>
              <w:bottom w:w="90" w:type="dxa"/>
              <w:end w:w="100" w:type="dxa"/>
            </w:tcMar>
          </w:tcPr>
          <w:p>
            <w:pPr>
              <w:jc w:val="left"/>
            </w:pPr>
            <w:r/>
            <w:r>
              <w:rPr>
                <w:rFonts w:ascii="Aptos" w:hAnsi="Aptos" w:eastAsia="Aptos"/>
                <w:b w:val="0"/>
                <w:sz w:val="19"/>
              </w:rPr>
              <w:t>Open University Learning Analytics Dataset (OULAD), The Open University UK, CC BY 4.0 — https://analyse.kmi.open.ac.uk/open-dataset. ~32,600 student enrolments across 7 modules and 22 module presentations, with 10M+ VLE interaction records across seven linked tables. Chosen because it is event-level and timestamped: every VLE click and assessment submission carries a day offset relative to course start, which is what makes a genuine early-warning cut-off possible. Flat one-row-per-student datasets cannot support this. Note: the repository ships a synthetic dataset with an identical schema, because the development environment could not reach the dataset host; the real CSVs are a drop-in replacement (see DATASET.md).</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What does one record / sample represent?</w:t>
            </w:r>
          </w:p>
        </w:tc>
        <w:tc>
          <w:tcPr>
            <w:tcW w:type="dxa" w:w="5783"/>
            <w:vAlign w:val="center"/>
            <w:tcMar>
              <w:top w:w="90" w:type="dxa"/>
              <w:start w:w="100" w:type="dxa"/>
              <w:bottom w:w="90" w:type="dxa"/>
              <w:end w:w="100" w:type="dxa"/>
            </w:tcMar>
          </w:tcPr>
          <w:p>
            <w:pPr>
              <w:jc w:val="left"/>
            </w:pPr>
            <w:r/>
            <w:r>
              <w:rPr>
                <w:rFonts w:ascii="Aptos" w:hAnsi="Aptos" w:eastAsia="Aptos"/>
                <w:b w:val="0"/>
                <w:sz w:val="19"/>
              </w:rPr>
              <w:t>One student's enrolment in one course presentation — i.e. one person taking one run of one module. A student who takes two modules appears twice, and the validation strategy groups on student ID so those rows cannot be split across training and validation folds. All features on that row are computed only from data timestamped on or before the prediction checkpoint.</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Proposed target or ML objective</w:t>
            </w:r>
          </w:p>
        </w:tc>
        <w:tc>
          <w:tcPr>
            <w:tcW w:type="dxa" w:w="5783"/>
            <w:vAlign w:val="center"/>
            <w:tcMar>
              <w:top w:w="90" w:type="dxa"/>
              <w:start w:w="100" w:type="dxa"/>
              <w:bottom w:w="90" w:type="dxa"/>
              <w:end w:w="100" w:type="dxa"/>
            </w:tcMar>
          </w:tcPr>
          <w:p>
            <w:pPr>
              <w:jc w:val="left"/>
            </w:pPr>
            <w:r/>
            <w:r>
              <w:rPr>
                <w:rFonts w:ascii="Aptos" w:hAnsi="Aptos" w:eastAsia="Aptos"/>
                <w:b w:val="0"/>
                <w:sz w:val="19"/>
              </w:rPr>
              <w:t>Binary classification: at_risk = 1 if the final result is Fail or Withdrawn, else 0 (Pass/Distinction). The model outputs a calibrated probability, which is then bucketed into Low / Medium / High risk bands. Rationale: a single flag maps to a single decision an advisor can act on — reach out or don't. Predicting the exact final grade would be a harder problem with a less actionable output. Withdrawal and failure are deliberately merged for this prototype; they are arguably different events needing different interventions, and separating them is the first recommended extension.</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Key information available at prediction / inference time</w:t>
            </w:r>
          </w:p>
        </w:tc>
        <w:tc>
          <w:tcPr>
            <w:tcW w:type="dxa" w:w="5783"/>
            <w:vAlign w:val="center"/>
            <w:tcMar>
              <w:top w:w="90" w:type="dxa"/>
              <w:start w:w="100" w:type="dxa"/>
              <w:bottom w:w="90" w:type="dxa"/>
              <w:end w:w="100" w:type="dxa"/>
            </w:tcMar>
          </w:tcPr>
          <w:p>
            <w:pPr>
              <w:jc w:val="left"/>
            </w:pPr>
            <w:r/>
            <w:r>
              <w:rPr>
                <w:rFonts w:ascii="Aptos" w:hAnsi="Aptos" w:eastAsia="Aptos"/>
                <w:b w:val="0"/>
                <w:sz w:val="19"/>
              </w:rPr>
              <w:t>Known at enrolment: demographics (gender, region, highest education, IMD band, age band), number of previous attempts, studied credits, and registration date relative to course start. Accumulated by the checkpoint: cumulative VLE clicks, distinct active days, distinct resources accessed, week-over-week engagement trend, days since last login, and — for assessments whose DUE DATE falls before the checkpoint — submission count, average score, and on-time rate.</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data quality issues</w:t>
            </w:r>
          </w:p>
        </w:tc>
        <w:tc>
          <w:tcPr>
            <w:tcW w:type="dxa" w:w="5783"/>
            <w:vAlign w:val="center"/>
            <w:tcMar>
              <w:top w:w="90" w:type="dxa"/>
              <w:start w:w="100" w:type="dxa"/>
              <w:bottom w:w="90" w:type="dxa"/>
              <w:end w:w="100" w:type="dxa"/>
            </w:tcMar>
          </w:tcPr>
          <w:p>
            <w:pPr>
              <w:jc w:val="left"/>
            </w:pPr>
            <w:r/>
            <w:r>
              <w:rPr>
                <w:rFonts w:ascii="Aptos" w:hAnsi="Aptos" w:eastAsia="Aptos"/>
                <w:b w:val="0"/>
                <w:sz w:val="19"/>
              </w:rPr>
              <w:t>Missing demographic values (IMD band in particular). Class imbalance in final_result (~34% at risk in the working data). Very high variance in early engagement between students, so the signal is noisy for anyone who simply starts slowly. Students with zero early activity produce genuinely empty feature rows, which is meaningful signal rather than missing data and is encoded with explicit sentinels rather than silently zero-filled. Coverage is limited to one UK distance-learning institution in 2013–2014.</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Potential leakage risks</w:t>
            </w:r>
          </w:p>
        </w:tc>
        <w:tc>
          <w:tcPr>
            <w:tcW w:type="dxa" w:w="5783"/>
            <w:vAlign w:val="center"/>
            <w:tcMar>
              <w:top w:w="90" w:type="dxa"/>
              <w:start w:w="100" w:type="dxa"/>
              <w:bottom w:w="90" w:type="dxa"/>
              <w:end w:w="100" w:type="dxa"/>
            </w:tcMar>
          </w:tcPr>
          <w:p>
            <w:pPr>
              <w:jc w:val="left"/>
            </w:pPr>
            <w:r/>
            <w:r>
              <w:rPr>
                <w:rFonts w:ascii="Aptos" w:hAnsi="Aptos" w:eastAsia="Aptos"/>
                <w:b w:val="0"/>
                <w:sz w:val="19"/>
              </w:rPr>
              <w:t>Four were identified and controlled. (1) final_result is the label and must never appear as a feature. (2) date_unregistration is the most seductive leak in OULAD — it correlates almost perfectly with the Withdrawn label because it IS the withdrawal — and is excluded entirely. (3) Any VLE or assessment row timestamped after the checkpoint. (4) Assessments filtered by SUBMISSION date rather than DUE date: a student who submits early would otherwise reveal a score that, at real inference time, no student would have reached yet. Enforcement is structural: one apply_checkpoint_cutoff() function is the only route event data takes into feature engineering, used identically by training and inference, plus a deny-list asserted before training can start. Five automated tests verify this against the raw CSVs, including an independent recomputation that would catch a bug inside the cut-off function itself.</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Privacy / fairness / licensing concerns</w:t>
            </w:r>
          </w:p>
        </w:tc>
        <w:tc>
          <w:tcPr>
            <w:tcW w:type="dxa" w:w="5783"/>
            <w:vAlign w:val="center"/>
            <w:tcMar>
              <w:top w:w="90" w:type="dxa"/>
              <w:start w:w="100" w:type="dxa"/>
              <w:bottom w:w="90" w:type="dxa"/>
              <w:end w:w="100" w:type="dxa"/>
            </w:tcMar>
          </w:tcPr>
          <w:p>
            <w:pPr>
              <w:jc w:val="left"/>
            </w:pPr>
            <w:r/>
            <w:r>
              <w:rPr>
                <w:rFonts w:ascii="Aptos" w:hAnsi="Aptos" w:eastAsia="Aptos"/>
                <w:b w:val="0"/>
                <w:sz w:val="19"/>
              </w:rPr>
              <w:t>Licensing: CC BY 4.0, attribution retained. Privacy: OULAD is already anonymised by the publisher (k-anonymity / l-diversity); students are integer IDs. Fairness: recall and precision are measured per group across gender, disability, age band and region. The audit found a 24-point recall spread across regions (0.667–0.905) — documented, not mitigated, and flagged as requiring review before any pilot. Demographic features are used by the model but deliberately excluded from the advisor-facing explanations, because naming a student's region as a risk factor invites profiling in the human conversation that follows and is not actionable. A real deployment on live student data would additionally require institutional review, a lawful basis under GDPR/FERPA-equivalent regulation, a student-facing transparency notice, and a route to contest a score.</w:t>
            </w:r>
            <w:r>
              <w:br/>
              <w:br/>
            </w:r>
          </w:p>
        </w:tc>
      </w:tr>
    </w:tbl>
    <w:p>
      <w:pPr>
        <w:pStyle w:val="Heading1"/>
        <w:keepNext/>
      </w:pPr>
      <w:r>
        <w:t>6. Technical Proposal — Complete Before Full Implementation</w:t>
      </w:r>
    </w:p>
    <w:tbl>
      <w:tblPr>
        <w:tblStyle w:val="TableGrid"/>
        <w:tblW w:type="auto" w:w="0"/>
        <w:jc w:val="center"/>
        <w:tblLook w:firstColumn="1" w:firstRow="1" w:lastColumn="0" w:lastRow="0" w:noHBand="0" w:noVBand="1" w:val="04A0"/>
      </w:tblPr>
      <w:tblGrid>
        <w:gridCol w:w="5100"/>
        <w:gridCol w:w="5100"/>
      </w:tblGrid>
      <w:tr>
        <w:tc>
          <w:tcPr>
            <w:tcW w:type="dxa" w:w="3515"/>
            <w:vAlign w:val="center"/>
            <w:tcMar>
              <w:top w:w="90" w:type="dxa"/>
              <w:start w:w="100" w:type="dxa"/>
              <w:bottom w:w="90" w:type="dxa"/>
              <w:end w:w="100" w:type="dxa"/>
            </w:tcMar>
            <w:shd w:fill="2F75B5"/>
          </w:tcPr>
          <w:p>
            <w:pPr>
              <w:jc w:val="left"/>
            </w:pPr>
            <w:r/>
            <w:r>
              <w:rPr>
                <w:rFonts w:ascii="Aptos" w:hAnsi="Aptos" w:eastAsia="Aptos"/>
                <w:b/>
                <w:color w:val="FFFFFF"/>
                <w:sz w:val="19"/>
              </w:rPr>
              <w:t>Decision / Question</w:t>
            </w:r>
          </w:p>
        </w:tc>
        <w:tc>
          <w:tcPr>
            <w:tcW w:type="dxa" w:w="5783"/>
            <w:vAlign w:val="center"/>
            <w:tcMar>
              <w:top w:w="90" w:type="dxa"/>
              <w:start w:w="100" w:type="dxa"/>
              <w:bottom w:w="90" w:type="dxa"/>
              <w:end w:w="100" w:type="dxa"/>
            </w:tcMar>
            <w:shd w:fill="2F75B5"/>
          </w:tcPr>
          <w:p>
            <w:pPr>
              <w:jc w:val="left"/>
            </w:pPr>
            <w:r/>
            <w:r>
              <w:rPr>
                <w:rFonts w:ascii="Aptos" w:hAnsi="Aptos" w:eastAsia="Aptos"/>
                <w:b/>
                <w:color w:val="FFFFFF"/>
                <w:sz w:val="19"/>
              </w:rPr>
              <w:t>Student Response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ML problem formulation</w:t>
            </w:r>
          </w:p>
        </w:tc>
        <w:tc>
          <w:tcPr>
            <w:tcW w:type="dxa" w:w="5783"/>
            <w:vAlign w:val="center"/>
            <w:tcMar>
              <w:top w:w="90" w:type="dxa"/>
              <w:start w:w="100" w:type="dxa"/>
              <w:bottom w:w="90" w:type="dxa"/>
              <w:end w:w="100" w:type="dxa"/>
            </w:tcMar>
          </w:tcPr>
          <w:p>
            <w:pPr>
              <w:jc w:val="left"/>
            </w:pPr>
            <w:r/>
            <w:r>
              <w:rPr>
                <w:rFonts w:ascii="Aptos" w:hAnsi="Aptos" w:eastAsia="Aptos"/>
                <w:b w:val="0"/>
                <w:sz w:val="19"/>
              </w:rPr>
              <w:t>Supervised binary classification on engineered tabular features, producing a calibrated probability that is thresholded into three risk bands. Prediction is made at a configurable checkpoint, defaulting to 30% of each module presentation's length — resolved per course, since module lengths differ (234–269 days). The checkpoint lives in config and can be moved without code changes.</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Proposed baseline</w:t>
            </w:r>
          </w:p>
        </w:tc>
        <w:tc>
          <w:tcPr>
            <w:tcW w:type="dxa" w:w="5783"/>
            <w:vAlign w:val="center"/>
            <w:tcMar>
              <w:top w:w="90" w:type="dxa"/>
              <w:start w:w="100" w:type="dxa"/>
              <w:bottom w:w="90" w:type="dxa"/>
              <w:end w:w="100" w:type="dxa"/>
            </w:tcMar>
          </w:tcPr>
          <w:p>
            <w:pPr>
              <w:jc w:val="left"/>
            </w:pPr>
            <w:r/>
            <w:r>
              <w:rPr>
                <w:rFonts w:ascii="Aptos" w:hAnsi="Aptos" w:eastAsia="Aptos"/>
                <w:b w:val="0"/>
                <w:sz w:val="19"/>
              </w:rPr>
              <w:t>Two, deliberately. (a) A trivial rule: flag any student with zero submissions by the checkpoint — this is roughly what a diligent human could do by eye, so beating it is the minimum bar for the model to justify itself. (b) Logistic regression on simple aggregates (submissions, average early score, on-time rate, total clicks). Measured results: the trivial rule reaches recall 0.620 / precision 0.407 / F2 0.561 / ROC-AUC 0.575 on the held-out cohort.</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modeling approach(es) to investigate</w:t>
            </w:r>
          </w:p>
        </w:tc>
        <w:tc>
          <w:tcPr>
            <w:tcW w:type="dxa" w:w="5783"/>
            <w:vAlign w:val="center"/>
            <w:tcMar>
              <w:top w:w="90" w:type="dxa"/>
              <w:start w:w="100" w:type="dxa"/>
              <w:bottom w:w="90" w:type="dxa"/>
              <w:end w:w="100" w:type="dxa"/>
            </w:tcMar>
          </w:tcPr>
          <w:p>
            <w:pPr>
              <w:jc w:val="left"/>
            </w:pPr>
            <w:r/>
            <w:r>
              <w:rPr>
                <w:rFonts w:ascii="Aptos" w:hAnsi="Aptos" w:eastAsia="Aptos"/>
                <w:b w:val="0"/>
                <w:sz w:val="19"/>
              </w:rPr>
              <w:t>Gradient-boosted trees (XGBoost) as the primary candidate, with Random Forest as a comparison, both using class weighting rather than resampling (naive oversampling across CV folds leaks). Selected model: XGBoost. Honest note on selection — the logistic regression baseline posted a HIGHER cross-validated recall (0.889 vs 0.815). XGBoost was chosen because it holds recall while improving precision and, more importantly, calibration: the probability is bucketed into bands that advisors read as meaningful, so a well-calibrated probability matters more than a marginally higher recall. On real OULAD data this comparison should be re-run, and if the linear model still wins on F2 it is the better choice.</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Data splitting / validation strategy</w:t>
            </w:r>
          </w:p>
        </w:tc>
        <w:tc>
          <w:tcPr>
            <w:tcW w:type="dxa" w:w="5783"/>
            <w:vAlign w:val="center"/>
            <w:tcMar>
              <w:top w:w="90" w:type="dxa"/>
              <w:start w:w="100" w:type="dxa"/>
              <w:bottom w:w="90" w:type="dxa"/>
              <w:end w:w="100" w:type="dxa"/>
            </w:tcMar>
          </w:tcPr>
          <w:p>
            <w:pPr>
              <w:jc w:val="left"/>
            </w:pPr>
            <w:r/>
            <w:r>
              <w:rPr>
                <w:rFonts w:ascii="Aptos" w:hAnsi="Aptos" w:eastAsia="Aptos"/>
                <w:b w:val="0"/>
                <w:sz w:val="19"/>
              </w:rPr>
              <w:t>Two complementary splits. (1) Grouped stratified k-fold (k=5, group = student ID) for model selection and tuning, so no student's rows straddle a fold. (2) A held-out module presentation: train on earlier presentations, test on the most recent one (2014J). The second is the one that matters — it mirrors the actual deployment scenario, where a model trained on past cohorts is applied to a new one, and it catches cohort drift that random splits hide.</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Primary evaluation metric(s) and why</w:t>
            </w:r>
          </w:p>
        </w:tc>
        <w:tc>
          <w:tcPr>
            <w:tcW w:type="dxa" w:w="5783"/>
            <w:vAlign w:val="center"/>
            <w:tcMar>
              <w:top w:w="90" w:type="dxa"/>
              <w:start w:w="100" w:type="dxa"/>
              <w:bottom w:w="90" w:type="dxa"/>
              <w:end w:w="100" w:type="dxa"/>
            </w:tcMar>
          </w:tcPr>
          <w:p>
            <w:pPr>
              <w:jc w:val="left"/>
            </w:pPr>
            <w:r/>
            <w:r>
              <w:rPr>
                <w:rFonts w:ascii="Aptos" w:hAnsi="Aptos" w:eastAsia="Aptos"/>
                <w:b w:val="0"/>
                <w:sz w:val="19"/>
              </w:rPr>
              <w:t>Primary: recall and F2 on the at-risk class. The error costs are asymmetric — an unnecessary check-in costs one conversation, a missed student can cost them the course — so the metric weights recall above precision, with precision monitored as a guardrail so it cannot collapse. Secondary: PR-AUC (more informative than ROC-AUC under class imbalance), ROC-AUC, and Brier score plus a reliability curve, because the probability is converted into bands and a miscalibrated probability would make those bands mean the wrong thing.</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Expected inference input</w:t>
            </w:r>
          </w:p>
        </w:tc>
        <w:tc>
          <w:tcPr>
            <w:tcW w:type="dxa" w:w="5783"/>
            <w:vAlign w:val="center"/>
            <w:tcMar>
              <w:top w:w="90" w:type="dxa"/>
              <w:start w:w="100" w:type="dxa"/>
              <w:bottom w:w="90" w:type="dxa"/>
              <w:end w:w="100" w:type="dxa"/>
            </w:tcMar>
          </w:tcPr>
          <w:p>
            <w:pPr>
              <w:jc w:val="left"/>
            </w:pPr>
            <w:r/>
            <w:r>
              <w:rPr>
                <w:rFonts w:ascii="Aptos" w:hAnsi="Aptos" w:eastAsia="Aptos"/>
                <w:b w:val="0"/>
                <w:sz w:val="19"/>
              </w:rPr>
              <w:t>A JSON payload of one student's identifiers plus their early-course features as of the checkpoint: demographics and registration data, cumulative VLE engagement, and early assessment behaviour. All of it must have passed through the same checkpoint cut-off used in training. A batch endpoint accepts a list for scoring a whole cohort.</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Expected inference output</w:t>
            </w:r>
          </w:p>
        </w:tc>
        <w:tc>
          <w:tcPr>
            <w:tcW w:type="dxa" w:w="5783"/>
            <w:vAlign w:val="center"/>
            <w:tcMar>
              <w:top w:w="90" w:type="dxa"/>
              <w:start w:w="100" w:type="dxa"/>
              <w:bottom w:w="90" w:type="dxa"/>
              <w:end w:w="100" w:type="dxa"/>
            </w:tcMar>
          </w:tcPr>
          <w:p>
            <w:pPr>
              <w:jc w:val="left"/>
            </w:pPr>
            <w:r/>
            <w:r>
              <w:rPr>
                <w:rFonts w:ascii="Aptos" w:hAnsi="Aptos" w:eastAsia="Aptos"/>
                <w:b w:val="0"/>
                <w:sz w:val="19"/>
              </w:rPr>
              <w:t>risk_score (calibrated probability, 0–1), risk_band (Low / Medium / High), top_factors (3–4 plain-language drivers such as 'No assessment submitted in the first three weeks'), checkpoint_used, and model_version. The displayed percentage is clamped to 1–99%: a model with ~78% recall must not tell an advisor a student has a '100% chance of not passing'. Explanations are restricted to behavioural and academic signals, never demographics.</w:t>
            </w:r>
            <w:r>
              <w:br/>
              <w:br/>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technical risks / assumptions</w:t>
            </w:r>
          </w:p>
        </w:tc>
        <w:tc>
          <w:tcPr>
            <w:tcW w:type="dxa" w:w="5783"/>
            <w:vAlign w:val="center"/>
            <w:tcMar>
              <w:top w:w="90" w:type="dxa"/>
              <w:start w:w="100" w:type="dxa"/>
              <w:bottom w:w="90" w:type="dxa"/>
              <w:end w:w="100" w:type="dxa"/>
            </w:tcMar>
          </w:tcPr>
          <w:p>
            <w:pPr>
              <w:jc w:val="left"/>
            </w:pPr>
            <w:r/>
            <w:r>
              <w:rPr>
                <w:rFonts w:ascii="Aptos" w:hAnsi="Aptos" w:eastAsia="Aptos"/>
                <w:b w:val="0"/>
                <w:sz w:val="19"/>
              </w:rPr>
              <w:t>Assumptions: that a fixed fraction of course length is a sensible checkpoint across modules with different assessment schedules (at 30%, one module has no assessment due yet, so its predictions rest on engagement alone); that VLE engagement patterns from a Moodle-style distance-learning platform generalise to other institutions and LMS platforms. Risks: early quiet is not the same as early risk — students who start slowly but finish well are the main source of false positives; band thresholds are fixed and would need recalibration on a new cohort; the regional recall gap could entrench itself if deployed unexamined; and an early-warning flag can become self-fulfilling if flagged students are treated with lowered expectations, which is a documented risk in learning analytics. Mitigations: the model is advisory rather than decisive, thresholds should be tuned to the support team's actual weekly capacity, and drift should be re-measured each presentation.</w:t>
            </w:r>
            <w:r>
              <w:br/>
              <w:br/>
            </w:r>
          </w:p>
        </w:tc>
      </w:tr>
    </w:tbl>
    <w:p>
      <w:pPr>
        <w:pStyle w:val="Heading1"/>
        <w:keepNext/>
      </w:pPr>
      <w:r>
        <w:t>7. Functional Requirements</w:t>
      </w:r>
    </w:p>
    <w:p>
      <w:pPr>
        <w:pStyle w:val="ListBullet"/>
        <w:spacing w:after="30"/>
        <w:ind w:left="369" w:hanging="142"/>
      </w:pPr>
      <w:r>
        <w:t>The solution must make predictions using only information available at the chosen early-warning point.</w:t>
      </w:r>
    </w:p>
    <w:p>
      <w:pPr>
        <w:pStyle w:val="ListBullet"/>
        <w:spacing w:after="30"/>
        <w:ind w:left="369" w:hanging="142"/>
      </w:pPr>
      <w:r>
        <w:t>The target and prediction horizon must be clearly defined.</w:t>
      </w:r>
    </w:p>
    <w:p>
      <w:pPr>
        <w:pStyle w:val="ListBullet"/>
        <w:spacing w:after="30"/>
        <w:ind w:left="369" w:hanging="142"/>
      </w:pPr>
      <w:r>
        <w:t>The output must support an actionable interpretation for academic support staff.</w:t>
      </w:r>
    </w:p>
    <w:p>
      <w:pPr>
        <w:pStyle w:val="ListBullet"/>
        <w:spacing w:after="30"/>
        <w:ind w:left="369" w:hanging="142"/>
      </w:pPr>
      <w:r>
        <w:t>Data leakage from final outcomes or later-course information must be explicitly prevented.</w:t>
      </w:r>
    </w:p>
    <w:p>
      <w:pPr>
        <w:pStyle w:val="ListBullet"/>
        <w:spacing w:after="30"/>
        <w:ind w:left="369" w:hanging="142"/>
      </w:pPr>
      <w:r>
        <w:t>The system must document important limitations and fairness concerns.</w:t>
      </w:r>
    </w:p>
    <w:p>
      <w:pPr>
        <w:pStyle w:val="Heading1"/>
        <w:keepNext/>
      </w:pPr>
      <w:r>
        <w:t>8. Expected Deliverables</w:t>
      </w:r>
    </w:p>
    <w:p>
      <w:pPr>
        <w:pStyle w:val="ListBullet"/>
        <w:spacing w:after="30"/>
        <w:ind w:left="369" w:hanging="142"/>
      </w:pPr>
      <w:r>
        <w:t>A working ML solution that addresses the requested business problem.</w:t>
      </w:r>
    </w:p>
    <w:p>
      <w:pPr>
        <w:pStyle w:val="ListBullet"/>
        <w:spacing w:after="30"/>
        <w:ind w:left="369" w:hanging="142"/>
      </w:pPr>
      <w:r>
        <w:t>A trained model or ML pipeline with documented methodology.</w:t>
      </w:r>
    </w:p>
    <w:p>
      <w:pPr>
        <w:pStyle w:val="ListBullet"/>
        <w:spacing w:after="30"/>
        <w:ind w:left="369" w:hanging="142"/>
      </w:pPr>
      <w:r>
        <w:t>Documented dataset source, assumptions and important preprocessing decisions.</w:t>
      </w:r>
    </w:p>
    <w:p>
      <w:pPr>
        <w:pStyle w:val="ListBullet"/>
        <w:spacing w:after="30"/>
        <w:ind w:left="369" w:hanging="142"/>
      </w:pPr>
      <w:r>
        <w:t>Evaluation results on appropriate unseen/held-out data.</w:t>
      </w:r>
    </w:p>
    <w:p>
      <w:pPr>
        <w:pStyle w:val="ListBullet"/>
        <w:spacing w:after="30"/>
        <w:ind w:left="369" w:hanging="142"/>
      </w:pPr>
      <w:r>
        <w:t>A usable inference interface or service appropriate to the project.</w:t>
      </w:r>
    </w:p>
    <w:p>
      <w:pPr>
        <w:pStyle w:val="ListBullet"/>
        <w:spacing w:after="30"/>
        <w:ind w:left="369" w:hanging="142"/>
      </w:pPr>
      <w:r>
        <w:t>A reproducible repository with clear run instructions.</w:t>
      </w:r>
    </w:p>
    <w:p>
      <w:pPr>
        <w:pStyle w:val="ListBullet"/>
        <w:spacing w:after="30"/>
        <w:ind w:left="369" w:hanging="142"/>
      </w:pPr>
      <w:r>
        <w:t>A concise statement of limitations, risks and recommended next steps.</w:t>
      </w:r>
    </w:p>
    <w:p>
      <w:r>
        <w:rPr>
          <w:b/>
        </w:rPr>
        <w:t xml:space="preserve">Note: </w:t>
      </w:r>
      <w:r>
        <w:t>General capstone requirements for experiment tracking, API/deployment, Docker, documentation and grading are defined in the official Capstone Evaluation Criteria and Helper documents.</w:t>
      </w:r>
    </w:p>
    <w:p>
      <w:pPr>
        <w:pStyle w:val="Heading1"/>
        <w:keepNext/>
      </w:pPr>
      <w:r>
        <w:t>9. Acceptance Criteria</w:t>
      </w:r>
    </w:p>
    <w:p>
      <w:pPr>
        <w:pStyle w:val="ListBullet"/>
        <w:spacing w:after="30"/>
        <w:ind w:left="369" w:hanging="142"/>
      </w:pPr>
      <w:r>
        <w:t>The solution can process previously unseen input in the intended project format.</w:t>
      </w:r>
    </w:p>
    <w:p>
      <w:pPr>
        <w:pStyle w:val="ListBullet"/>
        <w:spacing w:after="30"/>
        <w:ind w:left="369" w:hanging="142"/>
      </w:pPr>
      <w:r>
        <w:t>The output is meaningful for the client use case described in this brief.</w:t>
      </w:r>
    </w:p>
    <w:p>
      <w:pPr>
        <w:pStyle w:val="ListBullet"/>
        <w:spacing w:after="30"/>
        <w:ind w:left="369" w:hanging="142"/>
      </w:pPr>
      <w:r>
        <w:t>The methodology and evaluation can be explained and defended.</w:t>
      </w:r>
    </w:p>
    <w:p>
      <w:pPr>
        <w:pStyle w:val="ListBullet"/>
        <w:spacing w:after="30"/>
        <w:ind w:left="369" w:hanging="142"/>
      </w:pPr>
      <w:r>
        <w:t>The prediction/analysis process is reproducible from the submitted repository.</w:t>
      </w:r>
    </w:p>
    <w:p>
      <w:pPr>
        <w:pStyle w:val="ListBullet"/>
        <w:spacing w:after="30"/>
        <w:ind w:left="369" w:hanging="142"/>
      </w:pPr>
      <w:r>
        <w:t>Known limitations, risks and important assumptions are documented.</w:t>
      </w:r>
    </w:p>
    <w:p>
      <w:pPr>
        <w:pStyle w:val="ListBullet"/>
        <w:spacing w:after="30"/>
        <w:ind w:left="369" w:hanging="142"/>
      </w:pPr>
      <w:r>
        <w:t>The implementation can be run according to its documentation.</w:t>
      </w:r>
    </w:p>
    <w:p>
      <w:pPr>
        <w:pStyle w:val="Heading1"/>
        <w:keepNext/>
      </w:pPr>
      <w:r>
        <w:t>10. Constraints</w:t>
      </w:r>
    </w:p>
    <w:tbl>
      <w:tblPr>
        <w:tblStyle w:val="TableGrid"/>
        <w:tblW w:type="auto" w:w="0"/>
        <w:jc w:val="center"/>
        <w:tblLook w:firstColumn="1" w:firstRow="1" w:lastColumn="0" w:lastRow="0" w:noHBand="0" w:noVBand="1" w:val="04A0"/>
      </w:tblPr>
      <w:tblGrid>
        <w:gridCol w:w="5100"/>
        <w:gridCol w:w="5100"/>
      </w:tblGrid>
      <w:tr>
        <w:tc>
          <w:tcPr>
            <w:tcW w:type="dxa" w:w="4649"/>
            <w:vAlign w:val="center"/>
            <w:tcMar>
              <w:top w:w="90" w:type="dxa"/>
              <w:start w:w="100" w:type="dxa"/>
              <w:bottom w:w="90" w:type="dxa"/>
              <w:end w:w="100" w:type="dxa"/>
            </w:tcMar>
            <w:shd w:fill="70AD47"/>
          </w:tcPr>
          <w:p>
            <w:pPr>
              <w:jc w:val="center"/>
            </w:pPr>
            <w:r/>
            <w:r>
              <w:rPr>
                <w:rFonts w:ascii="Aptos" w:hAnsi="Aptos" w:eastAsia="Aptos"/>
                <w:b/>
                <w:color w:val="FFFFFF"/>
                <w:sz w:val="19"/>
              </w:rPr>
              <w:t>IN SCOPE</w:t>
            </w:r>
          </w:p>
        </w:tc>
        <w:tc>
          <w:tcPr>
            <w:tcW w:type="dxa" w:w="4649"/>
            <w:vAlign w:val="center"/>
            <w:tcMar>
              <w:top w:w="90" w:type="dxa"/>
              <w:start w:w="100" w:type="dxa"/>
              <w:bottom w:w="90" w:type="dxa"/>
              <w:end w:w="100" w:type="dxa"/>
            </w:tcMar>
            <w:shd w:fill="C55A11"/>
          </w:tcPr>
          <w:p>
            <w:pPr>
              <w:jc w:val="center"/>
            </w:pPr>
            <w:r/>
            <w:r>
              <w:rPr>
                <w:rFonts w:ascii="Aptos" w:hAnsi="Aptos" w:eastAsia="Aptos"/>
                <w:b/>
                <w:color w:val="FFFFFF"/>
                <w:sz w:val="19"/>
              </w:rPr>
              <w:t>OUT OF SCOPE</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Prototype ML solution</w:t>
            </w:r>
          </w:p>
        </w:tc>
        <w:tc>
          <w:tcPr>
            <w:tcW w:type="dxa" w:w="4649"/>
            <w:vAlign w:val="center"/>
            <w:tcMar>
              <w:top w:w="90" w:type="dxa"/>
              <w:start w:w="100" w:type="dxa"/>
              <w:bottom w:w="90" w:type="dxa"/>
              <w:end w:w="100" w:type="dxa"/>
            </w:tcMar>
          </w:tcPr>
          <w:p>
            <w:pPr>
              <w:jc w:val="left"/>
            </w:pPr>
            <w:r/>
            <w:r>
              <w:rPr>
                <w:rFonts w:ascii="Aptos" w:hAnsi="Aptos" w:eastAsia="Aptos"/>
                <w:b w:val="0"/>
                <w:sz w:val="19"/>
              </w:rPr>
              <w:t>• Direct production integration</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Public / legally usable data</w:t>
            </w:r>
          </w:p>
        </w:tc>
        <w:tc>
          <w:tcPr>
            <w:tcW w:type="dxa" w:w="4649"/>
            <w:vAlign w:val="center"/>
            <w:tcMar>
              <w:top w:w="90" w:type="dxa"/>
              <w:start w:w="100" w:type="dxa"/>
              <w:bottom w:w="90" w:type="dxa"/>
              <w:end w:w="100" w:type="dxa"/>
            </w:tcMar>
          </w:tcPr>
          <w:p>
            <w:pPr>
              <w:jc w:val="left"/>
            </w:pPr>
            <w:r/>
            <w:r>
              <w:rPr>
                <w:rFonts w:ascii="Aptos" w:hAnsi="Aptos" w:eastAsia="Aptos"/>
                <w:b w:val="0"/>
                <w:sz w:val="19"/>
              </w:rPr>
              <w:t>• Use of unauthorized private data</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Reproducible inference workflow</w:t>
            </w:r>
          </w:p>
        </w:tc>
        <w:tc>
          <w:tcPr>
            <w:tcW w:type="dxa" w:w="4649"/>
            <w:vAlign w:val="center"/>
            <w:tcMar>
              <w:top w:w="90" w:type="dxa"/>
              <w:start w:w="100" w:type="dxa"/>
              <w:bottom w:w="90" w:type="dxa"/>
              <w:end w:w="100" w:type="dxa"/>
            </w:tcMar>
          </w:tcPr>
          <w:p>
            <w:pPr>
              <w:jc w:val="left"/>
            </w:pPr>
            <w:r/>
            <w:r>
              <w:rPr>
                <w:rFonts w:ascii="Aptos" w:hAnsi="Aptos" w:eastAsia="Aptos"/>
                <w:b w:val="0"/>
                <w:sz w:val="19"/>
              </w:rPr>
              <w:t>• Enterprise-scale infrastructure</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Reasonable student-scale deployment</w:t>
            </w:r>
          </w:p>
        </w:tc>
        <w:tc>
          <w:tcPr>
            <w:tcW w:type="dxa" w:w="4649"/>
            <w:vAlign w:val="center"/>
            <w:tcMar>
              <w:top w:w="90" w:type="dxa"/>
              <w:start w:w="100" w:type="dxa"/>
              <w:bottom w:w="90" w:type="dxa"/>
              <w:end w:w="100" w:type="dxa"/>
            </w:tcMar>
          </w:tcPr>
          <w:p>
            <w:pPr>
              <w:jc w:val="left"/>
            </w:pPr>
            <w:r/>
            <w:r>
              <w:rPr>
                <w:rFonts w:ascii="Aptos" w:hAnsi="Aptos" w:eastAsia="Aptos"/>
                <w:b w:val="0"/>
                <w:sz w:val="19"/>
              </w:rPr>
              <w:t>• Claims beyond what the model can validly support</w:t>
            </w:r>
          </w:p>
        </w:tc>
      </w:tr>
    </w:tbl>
    <w:p>
      <w:pPr>
        <w:pStyle w:val="Heading1"/>
        <w:keepNext/>
      </w:pPr>
      <w:r>
        <w:t>11. Questions You Must Resolve</w:t>
      </w:r>
    </w:p>
    <w:p>
      <w:pPr>
        <w:pStyle w:val="ListNumber"/>
        <w:spacing w:after="40"/>
      </w:pPr>
      <w:r>
        <w:t>Will you predict a numerical outcome, a risk class, or another target?</w:t>
      </w:r>
    </w:p>
    <w:p>
      <w:pPr>
        <w:pStyle w:val="ListNumber"/>
        <w:spacing w:after="40"/>
      </w:pPr>
      <w:r>
        <w:t>At what point in the course is the prediction made?</w:t>
      </w:r>
    </w:p>
    <w:p>
      <w:pPr>
        <w:pStyle w:val="ListNumber"/>
        <w:spacing w:after="40"/>
      </w:pPr>
      <w:r>
        <w:t>Which features would not yet be available at that point?</w:t>
      </w:r>
    </w:p>
    <w:p>
      <w:pPr>
        <w:pStyle w:val="ListNumber"/>
        <w:spacing w:after="40"/>
      </w:pPr>
      <w:r>
        <w:t>What error is more costly: unnecessary intervention or failing to identify a struggling student?</w:t>
      </w:r>
    </w:p>
    <w:p>
      <w:pPr>
        <w:pStyle w:val="ListNumber"/>
        <w:spacing w:after="40"/>
      </w:pPr>
      <w:r>
        <w:t>How will you evaluate whether the model is useful early enough to matter?</w:t>
      </w:r>
    </w:p>
    <w:p>
      <w:pPr>
        <w:pStyle w:val="ListNumber"/>
        <w:spacing w:after="40"/>
      </w:pPr>
      <w:r>
        <w:t>Could the model disadvantage specific student groups?</w:t>
      </w:r>
    </w:p>
    <w:p>
      <w:pPr>
        <w:pStyle w:val="Heading1"/>
        <w:keepNext/>
      </w:pPr>
      <w:r>
        <w:t>12. Optional Directions</w:t>
      </w:r>
    </w:p>
    <w:p>
      <w:r>
        <w:t>These are optional ideas, not mandatory requirements and not substitutes for missing core deliverables.</w:t>
      </w:r>
    </w:p>
    <w:p>
      <w:pPr>
        <w:pStyle w:val="ListBullet"/>
        <w:spacing w:after="30"/>
        <w:ind w:left="369" w:hanging="142"/>
      </w:pPr>
      <w:r>
        <w:t>Risk bands</w:t>
      </w:r>
    </w:p>
    <w:p>
      <w:pPr>
        <w:pStyle w:val="ListBullet"/>
        <w:spacing w:after="30"/>
        <w:ind w:left="369" w:hanging="142"/>
      </w:pPr>
      <w:r>
        <w:t>Explainable risk factors</w:t>
      </w:r>
    </w:p>
    <w:p>
      <w:pPr>
        <w:pStyle w:val="ListBullet"/>
        <w:spacing w:after="30"/>
        <w:ind w:left="369" w:hanging="142"/>
      </w:pPr>
      <w:r>
        <w:t>Temporal evaluation</w:t>
      </w:r>
    </w:p>
    <w:p>
      <w:pPr>
        <w:pStyle w:val="ListBullet"/>
        <w:spacing w:after="30"/>
        <w:ind w:left="369" w:hanging="142"/>
      </w:pPr>
      <w:r>
        <w:t>Simple advisor dashboard</w:t>
      </w:r>
    </w:p>
    <w:p>
      <w:pPr>
        <w:pStyle w:val="Heading1"/>
      </w:pPr>
      <w:r>
        <w:t xml:space="preserve">11a. Answers to the Questions in Section 11</w:t>
      </w:r>
    </w:p>
    <w:p>
      <w:r>
        <w:t xml:space="preserve">Answered against the delivered implementation; supporting evidence is in the repository README, DATASET.md and LIMITATIONS.md.</w:t>
      </w:r>
    </w:p>
    <w:p>
      <w:r>
        <w:rPr>
          <w:b/>
        </w:rPr>
        <w:t xml:space="preserve">1. Will you predict a numerical outcome, a risk class, or another target?</w:t>
      </w:r>
    </w:p>
    <w:p>
      <w:r>
        <w:t xml:space="preserve">A risk class, surfaced from a calibrated probability. at_risk = 1 if the final result is Fail or Withdrawn. The probability is bucketed into Low / Medium / High. A single flag maps to a single decision an advisor can act on; predicting an exact final grade would be harder and less actionable.</w:t>
      </w:r>
    </w:p>
    <w:p>
      <w:r>
        <w:rPr>
          <w:b/>
        </w:rPr>
        <w:t xml:space="preserve">2. At what point in the course is the prediction made?</w:t>
      </w:r>
    </w:p>
    <w:p>
      <w:r>
        <w:t xml:space="preserve">At 30% of each module presentation's length, resolved per course because module lengths differ (234–269 days, so roughly day 70–81). This is a configuration value, not a constant, and the pipeline was evaluated at 20%, 30% and 50% to justify the choice.</w:t>
      </w:r>
    </w:p>
    <w:p>
      <w:r>
        <w:rPr>
          <w:b/>
        </w:rPr>
        <w:t xml:space="preserve">3. Which features would not yet be available at that point?</w:t>
      </w:r>
    </w:p>
    <w:p>
      <w:r>
        <w:t xml:space="preserve">The final result itself; date_unregistration (which is effectively the withdrawal event and correlates almost perfectly with the Withdrawn label); any VLE interaction or assessment submission timestamped after the checkpoint; and the scores of any assessment whose due date falls after the checkpoint — including for students who submitted early, since at real inference time no student would have reached it. All four are excluded structurally through a single cut-off function and verified by automated tests.</w:t>
      </w:r>
    </w:p>
    <w:p>
      <w:r>
        <w:rPr>
          <w:b/>
        </w:rPr>
        <w:t xml:space="preserve">4. What error is more costly: unnecessary intervention or failing to identify a struggling student?</w:t>
      </w:r>
    </w:p>
    <w:p>
      <w:r>
        <w:t xml:space="preserve">Failing to identify a struggling student, clearly. An unnecessary check-in costs one conversation; a missed student can cost them the course. The model therefore optimises and reports recall and F2 on the at-risk class, with precision kept as a guardrail so it cannot collapse into flagging everyone. That asymmetry is a judgement about people, not a mathematical property, and it is stated explicitly so it can be challenged. One practical caveat: intervention capacity is finite — if staff can reach 20 students a week, the threshold should be tuned to that capacity rather than to maximise a metric.</w:t>
      </w:r>
    </w:p>
    <w:p>
      <w:r>
        <w:rPr>
          <w:b/>
        </w:rPr>
        <w:t xml:space="preserve">5. How will you evaluate whether the model is useful early enough to matter?</w:t>
      </w:r>
    </w:p>
    <w:p>
      <w:r>
        <w:t xml:space="preserve">By retraining and evaluating at three checkpoints and reporting the trade-off rather than asserting it. Measured on the held-out cohort: 20% of course → recall 0.786 / ROC-AUC 0.900; 30% → recall 0.781 / ROC-AUC 0.911; 50% → recall 0.813 / ROC-AUC 0.911. Waiting until halfway through the course buys roughly three points of recall, while a student flagged at 30% has about twice as much course left to recover in. That is what makes the early checkpoint defensible.</w:t>
      </w:r>
    </w:p>
    <w:p>
      <w:r>
        <w:rPr>
          <w:b/>
        </w:rPr>
        <w:t xml:space="preserve">6. Could the model disadvantage specific student groups?</w:t>
      </w:r>
    </w:p>
    <w:p>
      <w:r>
        <w:t xml:space="preserve">Yes, and it measurably does on this data. Recall was measured per group: disability 0.778–0.810, gender 0.763–0.798, age band 0.750–0.841, and region 0.667–0.905 — a 24-point spread. Some of that is small-sample noise (41–82 students per region in the test set), but it is too large to dismiss: whether a struggling student gets noticed depends noticeably on their region. No mitigation is applied within this prototype's scope; the honest options are to drop region and re-measure, apply per-group threshold calibration, or impose a recall floor during model selection, each of which trades something away. Separately, demographics are excluded from advisor-facing explanations so that a check-in is never prompted by who a student is, and the self-fulfilling-prophecy risk of flagging is documented.</w:t>
      </w:r>
    </w:p>
    <w:p>
      <w:pPr>
        <w:pStyle w:val="Heading1"/>
      </w:pPr>
      <w:r>
        <w:t xml:space="preserve">11b. Optional Directions — all four implemented</w:t>
      </w:r>
    </w:p>
    <w:p>
      <w:r>
        <w:t xml:space="preserve">• Risk bands: calibrated probability bucketed into Low / Medium / High, with thresholds in configuration.</w:t>
      </w:r>
    </w:p>
    <w:p>
      <w:r>
        <w:t xml:space="preserve">• Explainable risk factors: per-student SHAP values rendered as plain-language drivers, restricted to behavioural signals and verified to reconstruct the model's own output.</w:t>
      </w:r>
    </w:p>
    <w:p>
      <w:r>
        <w:t xml:space="preserve">• Temporal evaluation: performance measured at 20%, 30% and 50% checkpoints, plus a held-out most-recent module presentation to test generalisation across cohorts.</w:t>
      </w:r>
    </w:p>
    <w:p>
      <w:r>
        <w:t xml:space="preserve">• Simple advisor dashboard: a responsive React interface with a caseload overview, searchable roster and per-student detail showing the engagement trajectory cut at the prediction checkpoint.</w:t>
      </w:r>
    </w:p>
    <w:sectPr w:rsidR="00FC693F" w:rsidRPr="0006063C" w:rsidSect="00034616">
      <w:footerReference w:type="default" r:id="rId9"/>
      <w:pgSz w:w="12240" w:h="15840"/>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95959"/>
        <w:sz w:val="16"/>
      </w:rPr>
      <w:t>EDU-02 | Student Performance Early-Warning Model | AI/ML Fundamentals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1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