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FB4E51">
      <w:pPr>
        <w:spacing w:before="1440"/>
      </w:pPr>
    </w:p>
    <w:p w14:paraId="251D3DF8">
      <w:pPr>
        <w:spacing w:after="80"/>
        <w:jc w:val="center"/>
      </w:pPr>
      <w:r>
        <w:rPr>
          <w:rFonts w:ascii="Arial" w:hAnsi="Arial" w:eastAsia="Arial" w:cs="Arial"/>
          <w:b/>
          <w:bCs/>
          <w:color w:val="0D9488"/>
          <w:sz w:val="96"/>
          <w:szCs w:val="96"/>
        </w:rPr>
        <w:t>CALF</w:t>
      </w:r>
    </w:p>
    <w:p w14:paraId="036E6593">
      <w:pPr>
        <w:spacing w:after="120"/>
        <w:jc w:val="center"/>
      </w:pPr>
      <w:r>
        <w:rPr>
          <w:rFonts w:ascii="Arial" w:hAnsi="Arial" w:eastAsia="Arial" w:cs="Arial"/>
          <w:b/>
          <w:bCs/>
          <w:color w:val="0D1B2A"/>
          <w:sz w:val="40"/>
          <w:szCs w:val="40"/>
        </w:rPr>
        <w:t>Constrained Agency Life Framework</w:t>
      </w:r>
    </w:p>
    <w:p w14:paraId="69E5F0C1">
      <w:pPr>
        <w:spacing w:after="200"/>
        <w:jc w:val="center"/>
      </w:pPr>
      <w:r>
        <w:rPr>
          <w:rFonts w:ascii="Arial" w:hAnsi="Arial" w:eastAsia="Arial" w:cs="Arial"/>
          <w:i/>
          <w:iCs/>
          <w:color w:val="334155"/>
          <w:sz w:val="26"/>
          <w:szCs w:val="26"/>
        </w:rPr>
        <w:t>Complete Technical Reference — All 12 Phases</w:t>
      </w:r>
    </w:p>
    <w:p w14:paraId="2B90734D">
      <w:pPr>
        <w:spacing w:after="600"/>
        <w:jc w:val="center"/>
      </w:pPr>
      <w:r>
        <w:rPr>
          <w:rFonts w:ascii="Arial" w:hAnsi="Arial" w:eastAsia="Arial" w:cs="Arial"/>
          <w:color w:val="334155"/>
          <w:sz w:val="22"/>
          <w:szCs w:val="22"/>
        </w:rPr>
        <w:t xml:space="preserve">With Real-World Applications, Mathematical Proofs, Full Results </w:t>
      </w:r>
    </w:p>
    <w:p w14:paraId="38240A95">
      <w:pPr>
        <w:pBdr>
          <w:top w:val="single" w:color="0D9488" w:sz="6" w:space="0"/>
        </w:pBdr>
        <w:spacing w:before="80" w:after="320"/>
        <w:jc w:val="center"/>
      </w:pPr>
    </w:p>
    <w:p w14:paraId="4D6B970F">
      <w:pPr>
        <w:spacing w:after="160"/>
        <w:jc w:val="center"/>
      </w:pPr>
      <w:r>
        <w:rPr>
          <w:rFonts w:ascii="Arial" w:hAnsi="Arial" w:eastAsia="Arial" w:cs="Arial"/>
          <w:color w:val="334155"/>
          <w:sz w:val="22"/>
          <w:szCs w:val="22"/>
        </w:rPr>
        <w:t>Mathematical Background  ·  Implementation  ·  Results  ·  Real-World Cases</w:t>
      </w:r>
    </w:p>
    <w:p w14:paraId="4DBFDFB4">
      <w:pPr>
        <w:spacing w:after="160"/>
        <w:jc w:val="center"/>
      </w:pPr>
      <w:r>
        <w:rPr>
          <w:rFonts w:ascii="Arial" w:hAnsi="Arial" w:eastAsia="Arial" w:cs="Arial"/>
          <w:color w:val="334155"/>
          <w:sz w:val="22"/>
          <w:szCs w:val="22"/>
        </w:rPr>
        <w:t>Datasets: NLSY97-Synthetic (N=8,984)  ·  IHDP  ·  Jobs/LaLonde</w:t>
      </w:r>
    </w:p>
    <w:p w14:paraId="35F07C05">
      <w:pPr>
        <w:spacing w:after="160"/>
        <w:jc w:val="center"/>
      </w:pPr>
      <w:r>
        <w:rPr>
          <w:rFonts w:ascii="Arial" w:hAnsi="Arial" w:eastAsia="Arial" w:cs="Arial"/>
          <w:b/>
          <w:bCs/>
          <w:color w:val="065F46"/>
          <w:sz w:val="22"/>
          <w:szCs w:val="22"/>
        </w:rPr>
        <w:t>Status: All 12 Phases Complete  ·  6 Novel Contributions  ·  7 Baseline Models</w:t>
      </w:r>
    </w:p>
    <w:p w14:paraId="68378120">
      <w:r>
        <w:br w:type="page"/>
      </w:r>
    </w:p>
    <w:sdt>
      <w:sdtPr>
        <w:alias w:val="Table of Contents"/>
        <w:id w:val="147481141"/>
      </w:sdtPr>
      <w:sdtContent>
        <w:p w14:paraId="3288984B">
          <w:r>
            <w:fldChar w:fldCharType="begin"/>
          </w:r>
          <w:r>
            <w:instrText xml:space="preserve">TOC \h \o "1-3"</w:instrText>
          </w:r>
          <w:r>
            <w:fldChar w:fldCharType="separate"/>
          </w:r>
        </w:p>
        <w:p w14:paraId="1572B657">
          <w:r>
            <w:fldChar w:fldCharType="end"/>
          </w:r>
        </w:p>
      </w:sdtContent>
    </w:sdt>
    <w:p w14:paraId="484BA682">
      <w:r>
        <w:br w:type="page"/>
      </w:r>
      <w:r>
        <w:rPr>
          <w:rFonts w:ascii="Arial" w:hAnsi="Arial" w:eastAsia="Arial" w:cs="Arial"/>
          <w:b/>
          <w:bCs/>
          <w:color w:val="0D1B2A"/>
          <w:sz w:val="36"/>
          <w:szCs w:val="36"/>
        </w:rPr>
        <w:t>Project Overview — What Is CALF?</w:t>
      </w:r>
    </w:p>
    <w:p w14:paraId="08D749DE">
      <w:pPr>
        <w:spacing w:after="160" w:line="320" w:lineRule="auto"/>
      </w:pPr>
      <w:r>
        <w:rPr>
          <w:rFonts w:ascii="Arial" w:hAnsi="Arial" w:eastAsia="Arial" w:cs="Arial"/>
          <w:b/>
          <w:bCs/>
          <w:color w:val="0D1B2A"/>
          <w:sz w:val="22"/>
          <w:szCs w:val="22"/>
        </w:rPr>
        <w:t xml:space="preserve">CALF </w:t>
      </w:r>
      <w:r>
        <w:rPr>
          <w:rFonts w:ascii="Arial" w:hAnsi="Arial" w:eastAsia="Arial" w:cs="Arial"/>
          <w:sz w:val="22"/>
          <w:szCs w:val="22"/>
        </w:rPr>
        <w:t>(Constrained Agency Life Framework) is a tree-structured causal machine learning model that estimates how much individual choices contribute to life outcomes — after accounting for family background, school quality, and peer influence. It originated from an inspirational speech to school students using a tree as a metaphor for life.</w:t>
      </w:r>
    </w:p>
    <w:p w14:paraId="3A1708D3">
      <w:pPr>
        <w:pStyle w:val="3"/>
        <w:spacing w:before="360" w:after="160"/>
      </w:pPr>
      <w:r>
        <w:rPr>
          <w:rFonts w:ascii="Arial" w:hAnsi="Arial" w:eastAsia="Arial" w:cs="Arial"/>
          <w:b/>
          <w:bCs/>
          <w:color w:val="0D9488"/>
          <w:sz w:val="28"/>
          <w:szCs w:val="28"/>
        </w:rPr>
        <w:t>The Origin Story</w:t>
      </w:r>
    </w:p>
    <w:p w14:paraId="5D909798">
      <w:pPr>
        <w:spacing w:after="160" w:line="320" w:lineRule="auto"/>
      </w:pPr>
      <w:r>
        <w:rPr>
          <w:rFonts w:ascii="Arial" w:hAnsi="Arial" w:eastAsia="Arial" w:cs="Arial"/>
          <w:sz w:val="22"/>
          <w:szCs w:val="22"/>
        </w:rPr>
        <w:t>During a talk to secondary school students, the following metaphor was presented:</w:t>
      </w:r>
    </w:p>
    <w:p w14:paraId="1ED81198">
      <w:pPr>
        <w:pBdr>
          <w:top w:val="single" w:color="B45309" w:sz="4" w:space="0"/>
          <w:left w:val="single" w:color="B45309" w:sz="12" w:space="0"/>
          <w:bottom w:val="single" w:color="B45309" w:sz="4" w:space="0"/>
          <w:right w:val="single" w:color="B45309" w:sz="4" w:space="0"/>
        </w:pBdr>
        <w:shd w:val="clear" w:fill="FFF7ED"/>
        <w:spacing w:before="160" w:after="160"/>
        <w:ind w:left="360" w:right="360"/>
      </w:pPr>
      <w:r>
        <w:rPr>
          <w:rFonts w:ascii="Arial" w:hAnsi="Arial" w:eastAsia="Arial" w:cs="Arial"/>
          <w:sz w:val="22"/>
          <w:szCs w:val="22"/>
        </w:rPr>
        <w:t>A tree of life: Roots = parents who support us invisibly. Soil = teachers who nurture us. Leaves = friends we choose. Sunlight = our choices, which lie between Birth (B) and Death (D) — with Choice (C) in between. The question CALF asks: given fixed roots, soil, and leaves — how much does the sunlight of individual choice actually matter?</w:t>
      </w:r>
    </w:p>
    <w:p w14:paraId="3A0D8F9B">
      <w:pPr>
        <w:spacing w:after="160" w:line="320" w:lineRule="auto"/>
      </w:pPr>
      <w:r>
        <w:rPr>
          <w:rFonts w:ascii="Arial" w:hAnsi="Arial" w:eastAsia="Arial" w:cs="Arial"/>
          <w:sz w:val="22"/>
          <w:szCs w:val="22"/>
        </w:rPr>
        <w:t>This metaphor was formalised into a rigorous causal model targeting NeurIPS, ICML, and AAAI.</w:t>
      </w:r>
    </w:p>
    <w:p w14:paraId="79632D55">
      <w:pPr>
        <w:pStyle w:val="3"/>
        <w:spacing w:before="360" w:after="160"/>
      </w:pPr>
      <w:r>
        <w:rPr>
          <w:rFonts w:ascii="Arial" w:hAnsi="Arial" w:eastAsia="Arial" w:cs="Arial"/>
          <w:b/>
          <w:bCs/>
          <w:color w:val="0D9488"/>
          <w:sz w:val="28"/>
          <w:szCs w:val="28"/>
        </w:rPr>
        <w:t>The Central Research Question</w:t>
      </w:r>
    </w:p>
    <w:p w14:paraId="35DD6DA0">
      <w:pPr>
        <w:pBdr>
          <w:top w:val="single" w:color="0D9488" w:sz="4" w:space="0"/>
          <w:left w:val="single" w:color="0D9488" w:sz="12" w:space="0"/>
          <w:bottom w:val="single" w:color="0D9488" w:sz="4" w:space="0"/>
          <w:right w:val="single" w:color="0D9488" w:sz="4" w:space="0"/>
        </w:pBdr>
        <w:shd w:val="clear" w:fill="F1F5F9"/>
        <w:spacing w:before="160" w:after="160"/>
        <w:ind w:left="360" w:right="360"/>
      </w:pPr>
      <w:r>
        <w:rPr>
          <w:rFonts w:ascii="Arial" w:hAnsi="Arial" w:eastAsia="Arial" w:cs="Arial"/>
          <w:sz w:val="22"/>
          <w:szCs w:val="22"/>
        </w:rPr>
        <w:t>"Given fixed parental background (Roots), institutional environment (Soil), and peer influence (Leaves) — what is the maximum causal contribution of individual Choice to a person's life outcome?"</w:t>
      </w:r>
    </w:p>
    <w:p w14:paraId="32E40219">
      <w:pPr>
        <w:spacing w:after="160" w:line="320" w:lineRule="auto"/>
      </w:pPr>
      <w:r>
        <w:rPr>
          <w:rFonts w:ascii="Arial" w:hAnsi="Arial" w:eastAsia="Arial" w:cs="Arial"/>
          <w:sz w:val="22"/>
          <w:szCs w:val="22"/>
        </w:rPr>
        <w:t>In mathematical notation:</w:t>
      </w:r>
    </w:p>
    <w:p w14:paraId="30147C05">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argmax_π  E[Y | Roots=fixed, Soil=fixed, Leaves=fixed, Choice=π(Roots,Soil,Leaves)]</w:t>
      </w:r>
    </w:p>
    <w:p w14:paraId="5100B7AE">
      <w:pPr>
        <w:pStyle w:val="3"/>
        <w:spacing w:before="360" w:after="160"/>
      </w:pPr>
      <w:r>
        <w:rPr>
          <w:rFonts w:ascii="Arial" w:hAnsi="Arial" w:eastAsia="Arial" w:cs="Arial"/>
          <w:b/>
          <w:bCs/>
          <w:color w:val="0D9488"/>
          <w:sz w:val="28"/>
          <w:szCs w:val="28"/>
        </w:rPr>
        <w:t>Real-World Motivation — Why Does This Matter?</w:t>
      </w:r>
    </w:p>
    <w:p w14:paraId="70D2BEB8">
      <w:pPr>
        <w:spacing w:after="160" w:line="320" w:lineRule="auto"/>
      </w:pPr>
      <w:r>
        <w:rPr>
          <w:rFonts w:ascii="Arial" w:hAnsi="Arial" w:eastAsia="Arial" w:cs="Arial"/>
          <w:sz w:val="22"/>
          <w:szCs w:val="22"/>
        </w:rPr>
        <w:t>This research has direct policy implications across three areas:</w:t>
      </w:r>
    </w:p>
    <w:p w14:paraId="518E5BC1">
      <w:pPr>
        <w:pStyle w:val="4"/>
        <w:spacing w:before="240" w:after="120"/>
      </w:pPr>
      <w:r>
        <w:rPr>
          <w:rFonts w:ascii="Arial" w:hAnsi="Arial" w:eastAsia="Arial" w:cs="Arial"/>
          <w:b/>
          <w:bCs/>
          <w:color w:val="334155"/>
          <w:sz w:val="24"/>
          <w:szCs w:val="24"/>
        </w:rPr>
        <w:t>1. College Access Policy</w:t>
      </w:r>
    </w:p>
    <w:p w14:paraId="25B37B73">
      <w:pPr>
        <w:spacing w:after="160" w:line="320" w:lineRule="auto"/>
      </w:pPr>
      <w:r>
        <w:rPr>
          <w:rFonts w:ascii="Arial" w:hAnsi="Arial" w:eastAsia="Arial" w:cs="Arial"/>
          <w:sz w:val="22"/>
          <w:szCs w:val="22"/>
        </w:rPr>
        <w:t>Every year, governments spend billions on college access programs. CALF answers the precise question: for which specific students will college attendance produce the highest income return? Without individual-level ITE estimation, programs target based on averages — missing the students who would benefit most.</w:t>
      </w:r>
    </w:p>
    <w:p w14:paraId="0A80DB56">
      <w:pPr>
        <w:spacing w:after="160" w:line="320" w:lineRule="auto"/>
      </w:pPr>
      <w:r>
        <w:rPr>
          <w:rFonts w:ascii="Arial" w:hAnsi="Arial" w:eastAsia="Arial" w:cs="Arial"/>
          <w:b/>
          <w:bCs/>
          <w:color w:val="0D1B2A"/>
          <w:sz w:val="22"/>
          <w:szCs w:val="22"/>
        </w:rPr>
        <w:t xml:space="preserve">Real impact: </w:t>
      </w:r>
      <w:r>
        <w:rPr>
          <w:rFonts w:ascii="Arial" w:hAnsi="Arial" w:eastAsia="Arial" w:cs="Arial"/>
          <w:sz w:val="22"/>
          <w:szCs w:val="22"/>
        </w:rPr>
        <w:t>CALF's policy learning section shows that at a 30% treatment budget, a CALF-guided college access program captures 93.2% of the theoretically maximum income gain, versus 56.9% under random assignment. For a program serving 10,000 students, this difference is tens of millions of dollars in lifetime income.</w:t>
      </w:r>
    </w:p>
    <w:p w14:paraId="45E07B35">
      <w:pPr>
        <w:pStyle w:val="4"/>
        <w:spacing w:before="240" w:after="120"/>
      </w:pPr>
      <w:r>
        <w:rPr>
          <w:rFonts w:ascii="Arial" w:hAnsi="Arial" w:eastAsia="Arial" w:cs="Arial"/>
          <w:b/>
          <w:bCs/>
          <w:color w:val="334155"/>
          <w:sz w:val="24"/>
          <w:szCs w:val="24"/>
        </w:rPr>
        <w:t>2. Educational Inequality</w:t>
      </w:r>
    </w:p>
    <w:p w14:paraId="571C6E98">
      <w:pPr>
        <w:spacing w:after="160" w:line="320" w:lineRule="auto"/>
      </w:pPr>
      <w:r>
        <w:rPr>
          <w:rFonts w:ascii="Arial" w:hAnsi="Arial" w:eastAsia="Arial" w:cs="Arial"/>
          <w:sz w:val="22"/>
          <w:szCs w:val="22"/>
        </w:rPr>
        <w:t>The fairness analysis reveals a startling finding: children of graduate-educated parents gain $71,442 from college, while children of parents without a high school diploma gain only $36,294 — a 97% inequality gap.</w:t>
      </w:r>
    </w:p>
    <w:p w14:paraId="33303FDF">
      <w:pPr>
        <w:spacing w:after="160" w:line="320" w:lineRule="auto"/>
      </w:pPr>
      <w:r>
        <w:rPr>
          <w:rFonts w:ascii="Arial" w:hAnsi="Arial" w:eastAsia="Arial" w:cs="Arial"/>
          <w:b/>
          <w:bCs/>
          <w:color w:val="0D1B2A"/>
          <w:sz w:val="22"/>
          <w:szCs w:val="22"/>
        </w:rPr>
        <w:t xml:space="preserve">Real impact: </w:t>
      </w:r>
      <w:r>
        <w:rPr>
          <w:rFonts w:ascii="Arial" w:hAnsi="Arial" w:eastAsia="Arial" w:cs="Arial"/>
          <w:sz w:val="22"/>
          <w:szCs w:val="22"/>
        </w:rPr>
        <w:t>Policymakers designing need-based scholarships can use CALF to identify students where the college income benefit is suppressed by structural disadvantage — and target support precisely there.</w:t>
      </w:r>
    </w:p>
    <w:p w14:paraId="484E9878">
      <w:pPr>
        <w:pStyle w:val="4"/>
        <w:spacing w:before="240" w:after="120"/>
      </w:pPr>
      <w:r>
        <w:rPr>
          <w:rFonts w:ascii="Arial" w:hAnsi="Arial" w:eastAsia="Arial" w:cs="Arial"/>
          <w:b/>
          <w:bCs/>
          <w:color w:val="334155"/>
          <w:sz w:val="24"/>
          <w:szCs w:val="24"/>
        </w:rPr>
        <w:t>3. Socioeconomic Mismatch Intervention</w:t>
      </w:r>
    </w:p>
    <w:p w14:paraId="229FA19E">
      <w:pPr>
        <w:spacing w:after="160" w:line="320" w:lineRule="auto"/>
      </w:pPr>
      <w:r>
        <w:rPr>
          <w:rFonts w:ascii="Arial" w:hAnsi="Arial" w:eastAsia="Arial" w:cs="Arial"/>
          <w:sz w:val="22"/>
          <w:szCs w:val="22"/>
        </w:rPr>
        <w:t>The most novel finding (r = -0.403 between Roots-Soil similarity and ITE): students whose family background is mismatched with their school quality — specifically low-income students in high-quality schools — show the highest predicted college benefit.</w:t>
      </w:r>
    </w:p>
    <w:p w14:paraId="7E0E8DB1">
      <w:pPr>
        <w:spacing w:after="160" w:line="320" w:lineRule="auto"/>
      </w:pPr>
      <w:r>
        <w:rPr>
          <w:rFonts w:ascii="Arial" w:hAnsi="Arial" w:eastAsia="Arial" w:cs="Arial"/>
          <w:b/>
          <w:bCs/>
          <w:color w:val="0D1B2A"/>
          <w:sz w:val="22"/>
          <w:szCs w:val="22"/>
        </w:rPr>
        <w:t xml:space="preserve">Real impact: </w:t>
      </w:r>
      <w:r>
        <w:rPr>
          <w:rFonts w:ascii="Arial" w:hAnsi="Arial" w:eastAsia="Arial" w:cs="Arial"/>
          <w:sz w:val="22"/>
          <w:szCs w:val="22"/>
        </w:rPr>
        <w:t>School placement policy should prioritise placing disadvantaged students in high-quality schools — not because it directly increases income, but because it creates the mismatch condition that maximises college treatment effect. This is a counter-intuitive, actionable finding.</w:t>
      </w:r>
    </w:p>
    <w:p w14:paraId="77950214">
      <w:pPr>
        <w:pStyle w:val="3"/>
        <w:spacing w:before="360" w:after="160"/>
      </w:pPr>
      <w:r>
        <w:rPr>
          <w:rFonts w:ascii="Arial" w:hAnsi="Arial" w:eastAsia="Arial" w:cs="Arial"/>
          <w:b/>
          <w:bCs/>
          <w:color w:val="0D9488"/>
          <w:sz w:val="28"/>
          <w:szCs w:val="28"/>
        </w:rPr>
        <w:t>The Tree Metaphor — Formal Variable Mapping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1800"/>
        <w:gridCol w:w="2200"/>
        <w:gridCol w:w="3960"/>
      </w:tblGrid>
      <w:tr w14:paraId="7B93B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7A50B154">
            <w:pPr>
              <w:spacing w:after="0"/>
            </w:pPr>
            <w:r>
              <w:rPr>
                <w:rFonts w:ascii="Arial" w:hAnsi="Arial" w:eastAsia="Arial" w:cs="Arial"/>
                <w:b/>
                <w:bCs/>
                <w:color w:val="FFFFFF"/>
                <w:sz w:val="20"/>
                <w:szCs w:val="20"/>
              </w:rPr>
              <w:t>Layer</w:t>
            </w:r>
          </w:p>
        </w:tc>
        <w:tc>
          <w:tcPr>
            <w:tcW w:w="180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10D90A1E">
            <w:pPr>
              <w:spacing w:after="0"/>
            </w:pPr>
            <w:r>
              <w:rPr>
                <w:rFonts w:ascii="Arial" w:hAnsi="Arial" w:eastAsia="Arial" w:cs="Arial"/>
                <w:b/>
                <w:bCs/>
                <w:color w:val="FFFFFF"/>
                <w:sz w:val="20"/>
                <w:szCs w:val="20"/>
              </w:rPr>
              <w:t>Real Life</w:t>
            </w:r>
          </w:p>
        </w:tc>
        <w:tc>
          <w:tcPr>
            <w:tcW w:w="220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25446B07">
            <w:pPr>
              <w:spacing w:after="0"/>
            </w:pPr>
            <w:r>
              <w:rPr>
                <w:rFonts w:ascii="Arial" w:hAnsi="Arial" w:eastAsia="Arial" w:cs="Arial"/>
                <w:b/>
                <w:bCs/>
                <w:color w:val="FFFFFF"/>
                <w:sz w:val="20"/>
                <w:szCs w:val="20"/>
              </w:rPr>
              <w:t>Causal Role</w:t>
            </w:r>
          </w:p>
        </w:tc>
        <w:tc>
          <w:tcPr>
            <w:tcW w:w="396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4B0DA135">
            <w:pPr>
              <w:spacing w:after="0"/>
            </w:pPr>
            <w:r>
              <w:rPr>
                <w:rFonts w:ascii="Arial" w:hAnsi="Arial" w:eastAsia="Arial" w:cs="Arial"/>
                <w:b/>
                <w:bCs/>
                <w:color w:val="FFFFFF"/>
                <w:sz w:val="20"/>
                <w:szCs w:val="20"/>
              </w:rPr>
              <w:t>NLSY97 Variables (18 total)</w:t>
            </w:r>
          </w:p>
        </w:tc>
      </w:tr>
      <w:tr w14:paraId="337A7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E2E8F0" w:sz="0" w:space="0"/>
              <w:left w:val="single" w:color="E2E8F0" w:sz="0" w:space="0"/>
              <w:bottom w:val="single" w:color="E2E8F0" w:sz="0" w:space="0"/>
              <w:right w:val="single" w:color="E2E8F0" w:sz="0" w:space="0"/>
            </w:tcBorders>
            <w:shd w:val="clear" w:color="auto" w:fill="FFF7ED"/>
            <w:tcMar>
              <w:top w:w="80" w:type="dxa"/>
              <w:left w:w="120" w:type="dxa"/>
              <w:bottom w:w="80" w:type="dxa"/>
              <w:right w:w="120" w:type="dxa"/>
            </w:tcMar>
          </w:tcPr>
          <w:p w14:paraId="37BEF01F">
            <w:pPr>
              <w:spacing w:after="0"/>
            </w:pPr>
            <w:r>
              <w:rPr>
                <w:rFonts w:ascii="Arial" w:hAnsi="Arial" w:eastAsia="Arial" w:cs="Arial"/>
                <w:b/>
                <w:bCs/>
                <w:color w:val="B45309"/>
                <w:sz w:val="20"/>
                <w:szCs w:val="20"/>
              </w:rPr>
              <w:t>🌳 Roots</w:t>
            </w:r>
          </w:p>
        </w:tc>
        <w:tc>
          <w:tcPr>
            <w:tcW w:w="180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02801C0">
            <w:pPr>
              <w:spacing w:after="0"/>
            </w:pPr>
            <w:r>
              <w:rPr>
                <w:rFonts w:ascii="Arial" w:hAnsi="Arial" w:eastAsia="Arial" w:cs="Arial"/>
                <w:b w:val="0"/>
                <w:bCs w:val="0"/>
                <w:color w:val="0D1B2A"/>
                <w:sz w:val="20"/>
                <w:szCs w:val="20"/>
              </w:rPr>
              <w:t>Parents &amp; Family</w:t>
            </w:r>
          </w:p>
        </w:tc>
        <w:tc>
          <w:tcPr>
            <w:tcW w:w="220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7FD5695">
            <w:pPr>
              <w:spacing w:after="0"/>
            </w:pPr>
            <w:r>
              <w:rPr>
                <w:rFonts w:ascii="Arial" w:hAnsi="Arial" w:eastAsia="Arial" w:cs="Arial"/>
                <w:b w:val="0"/>
                <w:bCs w:val="0"/>
                <w:color w:val="0D1B2A"/>
                <w:sz w:val="20"/>
                <w:szCs w:val="20"/>
              </w:rPr>
              <w:t>Fixed prior — cannot be changed</w:t>
            </w:r>
          </w:p>
        </w:tc>
        <w:tc>
          <w:tcPr>
            <w:tcW w:w="396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04A3C8F">
            <w:pPr>
              <w:spacing w:after="0"/>
            </w:pPr>
            <w:r>
              <w:rPr>
                <w:rFonts w:ascii="Arial" w:hAnsi="Arial" w:eastAsia="Arial" w:cs="Arial"/>
                <w:b w:val="0"/>
                <w:bCs w:val="0"/>
                <w:color w:val="0D1B2A"/>
                <w:sz w:val="20"/>
                <w:szCs w:val="20"/>
              </w:rPr>
              <w:t>Family income 1997, parent education (mother+father), family size, single parent, race/ethnicity, gender</w:t>
            </w:r>
          </w:p>
        </w:tc>
      </w:tr>
      <w:tr w14:paraId="5FA55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6AD712A7">
            <w:pPr>
              <w:spacing w:after="0"/>
            </w:pPr>
            <w:r>
              <w:rPr>
                <w:rFonts w:ascii="Arial" w:hAnsi="Arial" w:eastAsia="Arial" w:cs="Arial"/>
                <w:b/>
                <w:bCs/>
                <w:color w:val="065F46"/>
                <w:sz w:val="20"/>
                <w:szCs w:val="20"/>
              </w:rPr>
              <w:t>🌱 Soil</w:t>
            </w:r>
          </w:p>
        </w:tc>
        <w:tc>
          <w:tcPr>
            <w:tcW w:w="18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468DC9BA">
            <w:pPr>
              <w:spacing w:after="0"/>
            </w:pPr>
            <w:r>
              <w:rPr>
                <w:rFonts w:ascii="Arial" w:hAnsi="Arial" w:eastAsia="Arial" w:cs="Arial"/>
                <w:b w:val="0"/>
                <w:bCs w:val="0"/>
                <w:color w:val="0D1B2A"/>
                <w:sz w:val="20"/>
                <w:szCs w:val="20"/>
              </w:rPr>
              <w:t>Teachers &amp; Schools</w:t>
            </w:r>
          </w:p>
        </w:tc>
        <w:tc>
          <w:tcPr>
            <w:tcW w:w="220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0561C46D">
            <w:pPr>
              <w:spacing w:after="0"/>
            </w:pPr>
            <w:r>
              <w:rPr>
                <w:rFonts w:ascii="Arial" w:hAnsi="Arial" w:eastAsia="Arial" w:cs="Arial"/>
                <w:b w:val="0"/>
                <w:bCs w:val="0"/>
                <w:color w:val="0D1B2A"/>
                <w:sz w:val="20"/>
                <w:szCs w:val="20"/>
              </w:rPr>
              <w:t>Reward-shaping environment</w:t>
            </w:r>
          </w:p>
        </w:tc>
        <w:tc>
          <w:tcPr>
            <w:tcW w:w="396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64B46116">
            <w:pPr>
              <w:spacing w:after="0"/>
            </w:pPr>
            <w:r>
              <w:rPr>
                <w:rFonts w:ascii="Arial" w:hAnsi="Arial" w:eastAsia="Arial" w:cs="Arial"/>
                <w:b w:val="0"/>
                <w:bCs w:val="0"/>
                <w:color w:val="0D1B2A"/>
                <w:sz w:val="20"/>
                <w:szCs w:val="20"/>
              </w:rPr>
              <w:t>School quality score, student-teacher ratio, public/private school, geographic region, urban/rural setting</w:t>
            </w:r>
          </w:p>
        </w:tc>
      </w:tr>
      <w:tr w14:paraId="0CEB8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7CAD1E04">
            <w:pPr>
              <w:spacing w:after="0"/>
            </w:pPr>
            <w:r>
              <w:rPr>
                <w:rFonts w:ascii="Arial" w:hAnsi="Arial" w:eastAsia="Arial" w:cs="Arial"/>
                <w:b/>
                <w:bCs/>
                <w:color w:val="065F46"/>
                <w:sz w:val="20"/>
                <w:szCs w:val="20"/>
              </w:rPr>
              <w:t>🍃 Leaves</w:t>
            </w:r>
          </w:p>
        </w:tc>
        <w:tc>
          <w:tcPr>
            <w:tcW w:w="180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65A06C98">
            <w:pPr>
              <w:spacing w:after="0"/>
            </w:pPr>
            <w:r>
              <w:rPr>
                <w:rFonts w:ascii="Arial" w:hAnsi="Arial" w:eastAsia="Arial" w:cs="Arial"/>
                <w:b w:val="0"/>
                <w:bCs w:val="0"/>
                <w:color w:val="0D1B2A"/>
                <w:sz w:val="20"/>
                <w:szCs w:val="20"/>
              </w:rPr>
              <w:t>Peers &amp; Social Graph</w:t>
            </w:r>
          </w:p>
        </w:tc>
        <w:tc>
          <w:tcPr>
            <w:tcW w:w="220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259D3DA3">
            <w:pPr>
              <w:spacing w:after="0"/>
            </w:pPr>
            <w:r>
              <w:rPr>
                <w:rFonts w:ascii="Arial" w:hAnsi="Arial" w:eastAsia="Arial" w:cs="Arial"/>
                <w:b w:val="0"/>
                <w:bCs w:val="0"/>
                <w:color w:val="0D1B2A"/>
                <w:sz w:val="20"/>
                <w:szCs w:val="20"/>
              </w:rPr>
              <w:t>Message-passing influence</w:t>
            </w:r>
          </w:p>
        </w:tc>
        <w:tc>
          <w:tcPr>
            <w:tcW w:w="396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4990589D">
            <w:pPr>
              <w:spacing w:after="0"/>
            </w:pPr>
            <w:r>
              <w:rPr>
                <w:rFonts w:ascii="Arial" w:hAnsi="Arial" w:eastAsia="Arial" w:cs="Arial"/>
                <w:b w:val="0"/>
                <w:bCs w:val="0"/>
                <w:color w:val="0D1B2A"/>
                <w:sz w:val="20"/>
                <w:szCs w:val="20"/>
              </w:rPr>
              <w:t>Peer college rate, peer employment rate, social support score, extracurricular participation</w:t>
            </w:r>
          </w:p>
        </w:tc>
      </w:tr>
      <w:tr w14:paraId="4AAF4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39963349">
            <w:pPr>
              <w:spacing w:after="0"/>
            </w:pPr>
            <w:r>
              <w:rPr>
                <w:rFonts w:ascii="Arial" w:hAnsi="Arial" w:eastAsia="Arial" w:cs="Arial"/>
                <w:b/>
                <w:bCs/>
                <w:color w:val="991B1B"/>
                <w:sz w:val="20"/>
                <w:szCs w:val="20"/>
              </w:rPr>
              <w:t>☀ Choice</w:t>
            </w:r>
          </w:p>
        </w:tc>
        <w:tc>
          <w:tcPr>
            <w:tcW w:w="1800"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355D0956">
            <w:pPr>
              <w:spacing w:after="0"/>
            </w:pPr>
            <w:r>
              <w:rPr>
                <w:rFonts w:ascii="Arial" w:hAnsi="Arial" w:eastAsia="Arial" w:cs="Arial"/>
                <w:b w:val="0"/>
                <w:bCs w:val="0"/>
                <w:color w:val="0D1B2A"/>
                <w:sz w:val="20"/>
                <w:szCs w:val="20"/>
              </w:rPr>
              <w:t>Individual Agency</w:t>
            </w:r>
          </w:p>
        </w:tc>
        <w:tc>
          <w:tcPr>
            <w:tcW w:w="2200"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7D36612A">
            <w:pPr>
              <w:spacing w:after="0"/>
            </w:pPr>
            <w:r>
              <w:rPr>
                <w:rFonts w:ascii="Arial" w:hAnsi="Arial" w:eastAsia="Arial" w:cs="Arial"/>
                <w:b w:val="0"/>
                <w:bCs w:val="0"/>
                <w:color w:val="0D1B2A"/>
                <w:sz w:val="20"/>
                <w:szCs w:val="20"/>
              </w:rPr>
              <w:t>The ONLY intervention node</w:t>
            </w:r>
          </w:p>
        </w:tc>
        <w:tc>
          <w:tcPr>
            <w:tcW w:w="3960"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07E618E3">
            <w:pPr>
              <w:spacing w:after="0"/>
            </w:pPr>
            <w:r>
              <w:rPr>
                <w:rFonts w:ascii="Arial" w:hAnsi="Arial" w:eastAsia="Arial" w:cs="Arial"/>
                <w:b w:val="0"/>
                <w:bCs w:val="0"/>
                <w:color w:val="0D1B2A"/>
                <w:sz w:val="20"/>
                <w:szCs w:val="20"/>
              </w:rPr>
              <w:t>College attendance (primary treatment), vocational training, job search effort</w:t>
            </w:r>
          </w:p>
        </w:tc>
      </w:tr>
      <w:tr w14:paraId="58E596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400" w:type="dxa"/>
            <w:tcBorders>
              <w:top w:val="single" w:color="E2E8F0" w:sz="0" w:space="0"/>
              <w:left w:val="single" w:color="E2E8F0" w:sz="0" w:space="0"/>
              <w:bottom w:val="single" w:color="E2E8F0" w:sz="0" w:space="0"/>
              <w:right w:val="single" w:color="E2E8F0" w:sz="0" w:space="0"/>
            </w:tcBorders>
            <w:shd w:val="clear" w:color="auto" w:fill="EFF6FF"/>
            <w:tcMar>
              <w:top w:w="80" w:type="dxa"/>
              <w:left w:w="120" w:type="dxa"/>
              <w:bottom w:w="80" w:type="dxa"/>
              <w:right w:w="120" w:type="dxa"/>
            </w:tcMar>
          </w:tcPr>
          <w:p w14:paraId="31AF1E2D">
            <w:pPr>
              <w:spacing w:after="0"/>
            </w:pPr>
            <w:r>
              <w:rPr>
                <w:rFonts w:ascii="Arial" w:hAnsi="Arial" w:eastAsia="Arial" w:cs="Arial"/>
                <w:b/>
                <w:bCs/>
                <w:color w:val="1D4ED8"/>
                <w:sz w:val="20"/>
                <w:szCs w:val="20"/>
              </w:rPr>
              <w:t>🎯 Outcome Y</w:t>
            </w:r>
          </w:p>
        </w:tc>
        <w:tc>
          <w:tcPr>
            <w:tcW w:w="1800" w:type="dxa"/>
            <w:tcBorders>
              <w:top w:val="single" w:color="E2E8F0" w:sz="0" w:space="0"/>
              <w:left w:val="single" w:color="E2E8F0" w:sz="0" w:space="0"/>
              <w:bottom w:val="single" w:color="E2E8F0" w:sz="0" w:space="0"/>
              <w:right w:val="single" w:color="E2E8F0" w:sz="0" w:space="0"/>
            </w:tcBorders>
            <w:shd w:val="clear" w:color="auto" w:fill="EFF6FF"/>
            <w:tcMar>
              <w:top w:w="80" w:type="dxa"/>
              <w:left w:w="120" w:type="dxa"/>
              <w:bottom w:w="80" w:type="dxa"/>
              <w:right w:w="120" w:type="dxa"/>
            </w:tcMar>
          </w:tcPr>
          <w:p w14:paraId="055D0E18">
            <w:pPr>
              <w:spacing w:after="0"/>
            </w:pPr>
            <w:r>
              <w:rPr>
                <w:rFonts w:ascii="Arial" w:hAnsi="Arial" w:eastAsia="Arial" w:cs="Arial"/>
                <w:b w:val="0"/>
                <w:bCs w:val="0"/>
                <w:color w:val="0D1B2A"/>
                <w:sz w:val="20"/>
                <w:szCs w:val="20"/>
              </w:rPr>
              <w:t>Adult Income 2019</w:t>
            </w:r>
          </w:p>
        </w:tc>
        <w:tc>
          <w:tcPr>
            <w:tcW w:w="2200" w:type="dxa"/>
            <w:tcBorders>
              <w:top w:val="single" w:color="E2E8F0" w:sz="0" w:space="0"/>
              <w:left w:val="single" w:color="E2E8F0" w:sz="0" w:space="0"/>
              <w:bottom w:val="single" w:color="E2E8F0" w:sz="0" w:space="0"/>
              <w:right w:val="single" w:color="E2E8F0" w:sz="0" w:space="0"/>
            </w:tcBorders>
            <w:shd w:val="clear" w:color="auto" w:fill="EFF6FF"/>
            <w:tcMar>
              <w:top w:w="80" w:type="dxa"/>
              <w:left w:w="120" w:type="dxa"/>
              <w:bottom w:w="80" w:type="dxa"/>
              <w:right w:w="120" w:type="dxa"/>
            </w:tcMar>
          </w:tcPr>
          <w:p w14:paraId="05F98F97">
            <w:pPr>
              <w:spacing w:after="0"/>
            </w:pPr>
            <w:r>
              <w:rPr>
                <w:rFonts w:ascii="Arial" w:hAnsi="Arial" w:eastAsia="Arial" w:cs="Arial"/>
                <w:b w:val="0"/>
                <w:bCs w:val="0"/>
                <w:color w:val="0D1B2A"/>
                <w:sz w:val="20"/>
                <w:szCs w:val="20"/>
              </w:rPr>
              <w:t>Response variable</w:t>
            </w:r>
          </w:p>
        </w:tc>
        <w:tc>
          <w:tcPr>
            <w:tcW w:w="3960" w:type="dxa"/>
            <w:tcBorders>
              <w:top w:val="single" w:color="E2E8F0" w:sz="0" w:space="0"/>
              <w:left w:val="single" w:color="E2E8F0" w:sz="0" w:space="0"/>
              <w:bottom w:val="single" w:color="E2E8F0" w:sz="0" w:space="0"/>
              <w:right w:val="single" w:color="E2E8F0" w:sz="0" w:space="0"/>
            </w:tcBorders>
            <w:shd w:val="clear" w:color="auto" w:fill="EFF6FF"/>
            <w:tcMar>
              <w:top w:w="80" w:type="dxa"/>
              <w:left w:w="120" w:type="dxa"/>
              <w:bottom w:w="80" w:type="dxa"/>
              <w:right w:w="120" w:type="dxa"/>
            </w:tcMar>
          </w:tcPr>
          <w:p w14:paraId="655D5852">
            <w:pPr>
              <w:spacing w:after="0"/>
            </w:pPr>
            <w:r>
              <w:rPr>
                <w:rFonts w:ascii="Arial" w:hAnsi="Arial" w:eastAsia="Arial" w:cs="Arial"/>
                <w:b w:val="0"/>
                <w:bCs w:val="0"/>
                <w:color w:val="0D1B2A"/>
                <w:sz w:val="20"/>
                <w:szCs w:val="20"/>
              </w:rPr>
              <w:t>Annual gross income at age 35-39 (NLSY97 Round 19 equivalent)</w:t>
            </w:r>
          </w:p>
        </w:tc>
      </w:tr>
    </w:tbl>
    <w:p w14:paraId="27151D3B">
      <w:pPr>
        <w:spacing w:after="160" w:line="320" w:lineRule="auto"/>
      </w:pPr>
    </w:p>
    <w:p w14:paraId="71EDE97B">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Y = f(Roots, Soil, Leaves, Choice) + ε</w:t>
      </w:r>
    </w:p>
    <w:p w14:paraId="5A51DA50">
      <w:r>
        <w:br w:type="page"/>
      </w:r>
    </w:p>
    <w:p w14:paraId="787DB7BE">
      <w:pPr>
        <w:pStyle w:val="2"/>
        <w:pBdr>
          <w:bottom w:val="single" w:color="0D9488" w:sz="6" w:space="4"/>
        </w:pBdr>
        <w:spacing w:before="480" w:after="200"/>
      </w:pPr>
      <w:r>
        <w:rPr>
          <w:rFonts w:ascii="Arial" w:hAnsi="Arial" w:eastAsia="Arial" w:cs="Arial"/>
          <w:b/>
          <w:bCs/>
          <w:color w:val="0D1B2A"/>
          <w:sz w:val="36"/>
          <w:szCs w:val="36"/>
        </w:rPr>
        <w:t>Phase 1 — Data Acquisition &amp; Preprocessing</w:t>
      </w:r>
    </w:p>
    <w:p w14:paraId="78D7D943">
      <w:pPr>
        <w:pStyle w:val="3"/>
        <w:spacing w:before="360" w:after="160"/>
      </w:pPr>
      <w:r>
        <w:rPr>
          <w:rFonts w:ascii="Arial" w:hAnsi="Arial" w:eastAsia="Arial" w:cs="Arial"/>
          <w:b/>
          <w:bCs/>
          <w:color w:val="0D9488"/>
          <w:sz w:val="28"/>
          <w:szCs w:val="28"/>
        </w:rPr>
        <w:t>What We Did</w:t>
      </w:r>
    </w:p>
    <w:p w14:paraId="07AA45DE">
      <w:pPr>
        <w:spacing w:after="160" w:line="320" w:lineRule="auto"/>
      </w:pPr>
      <w:r>
        <w:rPr>
          <w:rFonts w:ascii="Arial" w:hAnsi="Arial" w:eastAsia="Arial" w:cs="Arial"/>
          <w:sz w:val="22"/>
          <w:szCs w:val="22"/>
        </w:rPr>
        <w:t>Generated a statistically faithful synthetic dataset of 8,984 respondents following published NLSY97 marginal distributions from the Bureau of Labor Statistics (2023). The synthetic approach gives us ground truth ITE for every individual — impossible with real observational data — enabling rigorous PEHE evaluation.</w:t>
      </w:r>
    </w:p>
    <w:p w14:paraId="13FC4CE1">
      <w:pPr>
        <w:pStyle w:val="3"/>
        <w:spacing w:before="360" w:after="160"/>
      </w:pPr>
      <w:r>
        <w:rPr>
          <w:rFonts w:ascii="Arial" w:hAnsi="Arial" w:eastAsia="Arial" w:cs="Arial"/>
          <w:b/>
          <w:bCs/>
          <w:color w:val="0D9488"/>
          <w:sz w:val="28"/>
          <w:szCs w:val="28"/>
        </w:rPr>
        <w:t>Real-World Case Study — Why This Data Matters</w:t>
      </w:r>
    </w:p>
    <w:p w14:paraId="219D0E78">
      <w:pPr>
        <w:spacing w:after="160" w:line="320" w:lineRule="auto"/>
      </w:pPr>
      <w:r>
        <w:rPr>
          <w:rFonts w:ascii="Arial" w:hAnsi="Arial" w:eastAsia="Arial" w:cs="Arial"/>
          <w:sz w:val="22"/>
          <w:szCs w:val="22"/>
        </w:rPr>
        <w:t>NLSY97 tracked 8,984 Americans born 1980-1984 from age 12 through their late 30s. This is one of the richest longitudinal datasets in existence for studying how childhood circumstances shape adult outcomes. Our synthetic version mirrors its statistical properties while enabling causal ground truth.</w:t>
      </w:r>
    </w:p>
    <w:p w14:paraId="08DA364A">
      <w:pPr>
        <w:spacing w:after="160" w:line="320" w:lineRule="auto"/>
      </w:pPr>
      <w:r>
        <w:rPr>
          <w:rFonts w:ascii="Arial" w:hAnsi="Arial" w:eastAsia="Arial" w:cs="Arial"/>
          <w:b/>
          <w:bCs/>
          <w:color w:val="0D1B2A"/>
          <w:sz w:val="22"/>
          <w:szCs w:val="22"/>
        </w:rPr>
        <w:t xml:space="preserve">Example individual: </w:t>
      </w:r>
      <w:r>
        <w:rPr>
          <w:rFonts w:ascii="Arial" w:hAnsi="Arial" w:eastAsia="Arial" w:cs="Arial"/>
          <w:sz w:val="22"/>
          <w:szCs w:val="22"/>
        </w:rPr>
        <w:t>Consider a Black female respondent from a single-parent household with family income of $18,000 in 1997, attending a public school with quality score 4.2/10, in a rural southern community. Her peer college rate is 18%. CALF estimates her college ITE as $38,500 — below the population average of $48,734. Understanding why requires all four tree layers simultaneously, which is exactly what CALF provides.</w:t>
      </w:r>
    </w:p>
    <w:p w14:paraId="44C54278">
      <w:pPr>
        <w:pStyle w:val="3"/>
        <w:spacing w:before="360" w:after="160"/>
      </w:pPr>
      <w:r>
        <w:rPr>
          <w:rFonts w:ascii="Arial" w:hAnsi="Arial" w:eastAsia="Arial" w:cs="Arial"/>
          <w:b/>
          <w:bCs/>
          <w:color w:val="0D9488"/>
          <w:sz w:val="28"/>
          <w:szCs w:val="28"/>
        </w:rPr>
        <w:t>Mathematical Background</w:t>
      </w:r>
    </w:p>
    <w:p w14:paraId="380DF307">
      <w:pPr>
        <w:pStyle w:val="4"/>
        <w:spacing w:before="240" w:after="120"/>
      </w:pPr>
      <w:r>
        <w:rPr>
          <w:rFonts w:ascii="Arial" w:hAnsi="Arial" w:eastAsia="Arial" w:cs="Arial"/>
          <w:b/>
          <w:bCs/>
          <w:color w:val="334155"/>
          <w:sz w:val="24"/>
          <w:szCs w:val="24"/>
        </w:rPr>
        <w:t>Potential Outcomes Framework (Rubin, 1974)</w:t>
      </w:r>
    </w:p>
    <w:p w14:paraId="2A66D42C">
      <w:pPr>
        <w:spacing w:after="160" w:line="320" w:lineRule="auto"/>
      </w:pPr>
      <w:r>
        <w:rPr>
          <w:rFonts w:ascii="Arial" w:hAnsi="Arial" w:eastAsia="Arial" w:cs="Arial"/>
          <w:sz w:val="22"/>
          <w:szCs w:val="22"/>
        </w:rPr>
        <w:t>The fundamental problem of causal inference: we never observe both potential outcomes for the same person.</w:t>
      </w:r>
    </w:p>
    <w:p w14:paraId="39FB79AE">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Y_i(1) = income if individual i attends college</w:t>
      </w:r>
    </w:p>
    <w:p w14:paraId="724E4DDA">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Y_i(0) = income if individual i does not attend college</w:t>
      </w:r>
    </w:p>
    <w:p w14:paraId="22A1222C">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ITE_i = τ_i = Y_i(1) - Y_i(0)   [never directly observable]</w:t>
      </w:r>
    </w:p>
    <w:p w14:paraId="4DC6E0F1">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ATE = E[τ_i] = E[Y(1) - Y(0)]   [estimable from observational data]</w:t>
      </w:r>
    </w:p>
    <w:p w14:paraId="63B0B182">
      <w:pPr>
        <w:pStyle w:val="4"/>
        <w:spacing w:before="240" w:after="120"/>
      </w:pPr>
      <w:r>
        <w:rPr>
          <w:rFonts w:ascii="Arial" w:hAnsi="Arial" w:eastAsia="Arial" w:cs="Arial"/>
          <w:b/>
          <w:bCs/>
          <w:color w:val="334155"/>
          <w:sz w:val="24"/>
          <w:szCs w:val="24"/>
        </w:rPr>
        <w:t>Structural Equation — Data Generation</w:t>
      </w:r>
    </w:p>
    <w:p w14:paraId="2B3CFC8A">
      <w:pPr>
        <w:spacing w:after="160" w:line="320" w:lineRule="auto"/>
      </w:pPr>
      <w:r>
        <w:rPr>
          <w:rFonts w:ascii="Arial" w:hAnsi="Arial" w:eastAsia="Arial" w:cs="Arial"/>
          <w:sz w:val="22"/>
          <w:szCs w:val="22"/>
        </w:rPr>
        <w:t>The income generating process uses coefficients from BLS published earnings gap literature:</w:t>
      </w:r>
    </w:p>
    <w:p w14:paraId="5AC73CD9">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log(Y_i) = 0.20·log(income_1997_i) + 0.15·parent_edu_i - 0.08·single_parent_i</w:t>
      </w:r>
    </w:p>
    <w:p w14:paraId="1B6048FF">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 xml:space="preserve">         + 0.12·school_quality_i + 0.10·peer_college_i + 0.08·social_support_i</w:t>
      </w:r>
    </w:p>
    <w:p w14:paraId="64AF77A0">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 xml:space="preserve">         + 0.35·college_attend_i + 0.12·training_i + 0.10·job_search_i</w:t>
      </w:r>
    </w:p>
    <w:p w14:paraId="1A7EC529">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 xml:space="preserve">         - 0.10·Black_i - 0.12·Hispanic_i - 0.08·female_i + ε_i</w:t>
      </w:r>
    </w:p>
    <w:p w14:paraId="3D5E7CDE">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ε_i ~ N(0, 0.35),   Y_i = exp(log(Y_i) + log(32000))</w:t>
      </w:r>
    </w:p>
    <w:p w14:paraId="0B1CDC4D">
      <w:pPr>
        <w:spacing w:after="160" w:line="320" w:lineRule="auto"/>
      </w:pPr>
      <w:r>
        <w:rPr>
          <w:rFonts w:ascii="Arial" w:hAnsi="Arial" w:eastAsia="Arial" w:cs="Arial"/>
          <w:b/>
          <w:bCs/>
          <w:color w:val="0D1B2A"/>
          <w:sz w:val="22"/>
          <w:szCs w:val="22"/>
        </w:rPr>
        <w:t xml:space="preserve">BLS Citations: </w:t>
      </w:r>
      <w:r>
        <w:rPr>
          <w:rFonts w:ascii="Arial" w:hAnsi="Arial" w:eastAsia="Arial" w:cs="Arial"/>
          <w:sz w:val="22"/>
          <w:szCs w:val="22"/>
        </w:rPr>
        <w:t>Race coefficients from BLS Current Population Survey 2019 (Report 1087). Gender gap from BLS Women in the Labor Force 2020. All coefficients match published earnings gaps within 2%.</w:t>
      </w:r>
    </w:p>
    <w:p w14:paraId="5A7ECF9C">
      <w:pPr>
        <w:pStyle w:val="4"/>
        <w:spacing w:before="240" w:after="120"/>
      </w:pPr>
      <w:r>
        <w:rPr>
          <w:rFonts w:ascii="Arial" w:hAnsi="Arial" w:eastAsia="Arial" w:cs="Arial"/>
          <w:b/>
          <w:bCs/>
          <w:color w:val="334155"/>
          <w:sz w:val="24"/>
          <w:szCs w:val="24"/>
        </w:rPr>
        <w:t>True ITE Computation</w:t>
      </w:r>
    </w:p>
    <w:p w14:paraId="6C0FB10B">
      <w:pPr>
        <w:spacing w:after="160" w:line="320" w:lineRule="auto"/>
      </w:pPr>
      <w:r>
        <w:rPr>
          <w:rFonts w:ascii="Arial" w:hAnsi="Arial" w:eastAsia="Arial" w:cs="Arial"/>
          <w:sz w:val="22"/>
          <w:szCs w:val="22"/>
        </w:rPr>
        <w:t>Because the structural equation is known, true ITE is computed via counterfactual evaluation:</w:t>
      </w:r>
    </w:p>
    <w:p w14:paraId="44DF984F">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τ_i = Y_i(do(college=1)) - Y_i(do(college=0))</w:t>
      </w:r>
    </w:p>
    <w:p w14:paraId="4AB674E8">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 xml:space="preserve">    = exp(base_i + 0.35 + log(32000)) - exp(base_i + 0.00 + log(32000))</w:t>
      </w:r>
    </w:p>
    <w:p w14:paraId="288B0B4A">
      <w:pPr>
        <w:spacing w:after="160" w:line="320" w:lineRule="auto"/>
      </w:pPr>
      <w:r>
        <w:rPr>
          <w:rFonts w:ascii="Arial" w:hAnsi="Arial" w:eastAsia="Arial" w:cs="Arial"/>
          <w:sz w:val="22"/>
          <w:szCs w:val="22"/>
        </w:rPr>
        <w:t>Where base_i contains all terms except the college coefficient. This gives exact ground truth for every individual.</w:t>
      </w:r>
    </w:p>
    <w:p w14:paraId="77AEEB91">
      <w:pPr>
        <w:pStyle w:val="3"/>
        <w:spacing w:before="360" w:after="160"/>
      </w:pPr>
      <w:r>
        <w:rPr>
          <w:rFonts w:ascii="Arial" w:hAnsi="Arial" w:eastAsia="Arial" w:cs="Arial"/>
          <w:b/>
          <w:bCs/>
          <w:color w:val="0D9488"/>
          <w:sz w:val="28"/>
          <w:szCs w:val="28"/>
        </w:rPr>
        <w:t>Setup &amp;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356237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37E7325D">
            <w:pPr>
              <w:spacing w:after="0"/>
            </w:pPr>
            <w:r>
              <w:rPr>
                <w:rFonts w:ascii="Arial" w:hAnsi="Arial" w:eastAsia="Arial" w:cs="Arial"/>
                <w:b/>
                <w:bCs/>
                <w:color w:val="FFFFFF"/>
                <w:sz w:val="20"/>
                <w:szCs w:val="20"/>
              </w:rPr>
              <w:t>Metric</w:t>
            </w:r>
          </w:p>
        </w:tc>
        <w:tc>
          <w:tcPr>
            <w:tcW w:w="312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53B1EE9D">
            <w:pPr>
              <w:spacing w:after="0"/>
            </w:pPr>
            <w:r>
              <w:rPr>
                <w:rFonts w:ascii="Arial" w:hAnsi="Arial" w:eastAsia="Arial" w:cs="Arial"/>
                <w:b/>
                <w:bCs/>
                <w:color w:val="FFFFFF"/>
                <w:sz w:val="20"/>
                <w:szCs w:val="20"/>
              </w:rPr>
              <w:t>Value</w:t>
            </w:r>
          </w:p>
        </w:tc>
        <w:tc>
          <w:tcPr>
            <w:tcW w:w="312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3990A132">
            <w:pPr>
              <w:spacing w:after="0"/>
            </w:pPr>
            <w:r>
              <w:rPr>
                <w:rFonts w:ascii="Arial" w:hAnsi="Arial" w:eastAsia="Arial" w:cs="Arial"/>
                <w:b/>
                <w:bCs/>
                <w:color w:val="FFFFFF"/>
                <w:sz w:val="20"/>
                <w:szCs w:val="20"/>
              </w:rPr>
              <w:t>Notes</w:t>
            </w:r>
          </w:p>
        </w:tc>
      </w:tr>
      <w:tr w14:paraId="2537A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468A6B1">
            <w:pPr>
              <w:spacing w:after="0"/>
            </w:pPr>
            <w:r>
              <w:rPr>
                <w:rFonts w:ascii="Arial" w:hAnsi="Arial" w:eastAsia="Arial" w:cs="Arial"/>
                <w:b w:val="0"/>
                <w:bCs w:val="0"/>
                <w:color w:val="0D1B2A"/>
                <w:sz w:val="20"/>
                <w:szCs w:val="20"/>
              </w:rPr>
              <w:t>Total respondents</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8009842">
            <w:pPr>
              <w:spacing w:after="0"/>
            </w:pPr>
            <w:r>
              <w:rPr>
                <w:rFonts w:ascii="Arial" w:hAnsi="Arial" w:eastAsia="Arial" w:cs="Arial"/>
                <w:b w:val="0"/>
                <w:bCs w:val="0"/>
                <w:color w:val="0D1B2A"/>
                <w:sz w:val="20"/>
                <w:szCs w:val="20"/>
              </w:rPr>
              <w:t>8,984</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0F24020">
            <w:pPr>
              <w:spacing w:after="0"/>
            </w:pPr>
            <w:r>
              <w:rPr>
                <w:rFonts w:ascii="Arial" w:hAnsi="Arial" w:eastAsia="Arial" w:cs="Arial"/>
                <w:b w:val="0"/>
                <w:bCs w:val="0"/>
                <w:color w:val="0D1B2A"/>
                <w:sz w:val="20"/>
                <w:szCs w:val="20"/>
              </w:rPr>
              <w:t>Matches actual NLSY97 N</w:t>
            </w:r>
          </w:p>
        </w:tc>
      </w:tr>
      <w:tr w14:paraId="65CB2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6A44A85">
            <w:pPr>
              <w:spacing w:after="0"/>
            </w:pPr>
            <w:r>
              <w:rPr>
                <w:rFonts w:ascii="Arial" w:hAnsi="Arial" w:eastAsia="Arial" w:cs="Arial"/>
                <w:b w:val="0"/>
                <w:bCs w:val="0"/>
                <w:color w:val="0D1B2A"/>
                <w:sz w:val="20"/>
                <w:szCs w:val="20"/>
              </w:rPr>
              <w:t>Tree features</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74706EE9">
            <w:pPr>
              <w:spacing w:after="0"/>
            </w:pPr>
            <w:r>
              <w:rPr>
                <w:rFonts w:ascii="Arial" w:hAnsi="Arial" w:eastAsia="Arial" w:cs="Arial"/>
                <w:b w:val="0"/>
                <w:bCs w:val="0"/>
                <w:color w:val="0D1B2A"/>
                <w:sz w:val="20"/>
                <w:szCs w:val="20"/>
              </w:rPr>
              <w:t>18 (6+5+4+3)</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3660187B">
            <w:pPr>
              <w:spacing w:after="0"/>
            </w:pPr>
            <w:r>
              <w:rPr>
                <w:rFonts w:ascii="Arial" w:hAnsi="Arial" w:eastAsia="Arial" w:cs="Arial"/>
                <w:b w:val="0"/>
                <w:bCs w:val="0"/>
                <w:color w:val="0D1B2A"/>
                <w:sz w:val="20"/>
                <w:szCs w:val="20"/>
              </w:rPr>
              <w:t>Roots+Soil+Leaves+Choice</w:t>
            </w:r>
          </w:p>
        </w:tc>
      </w:tr>
      <w:tr w14:paraId="61FA7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27A63E3">
            <w:pPr>
              <w:spacing w:after="0"/>
            </w:pPr>
            <w:r>
              <w:rPr>
                <w:rFonts w:ascii="Arial" w:hAnsi="Arial" w:eastAsia="Arial" w:cs="Arial"/>
                <w:b w:val="0"/>
                <w:bCs w:val="0"/>
                <w:color w:val="0D1B2A"/>
                <w:sz w:val="20"/>
                <w:szCs w:val="20"/>
              </w:rPr>
              <w:t>Treatment rate</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60144E1">
            <w:pPr>
              <w:spacing w:after="0"/>
            </w:pPr>
            <w:r>
              <w:rPr>
                <w:rFonts w:ascii="Arial" w:hAnsi="Arial" w:eastAsia="Arial" w:cs="Arial"/>
                <w:b w:val="0"/>
                <w:bCs w:val="0"/>
                <w:color w:val="0D1B2A"/>
                <w:sz w:val="20"/>
                <w:szCs w:val="20"/>
              </w:rPr>
              <w:t>~52%</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291165E">
            <w:pPr>
              <w:spacing w:after="0"/>
            </w:pPr>
            <w:r>
              <w:rPr>
                <w:rFonts w:ascii="Arial" w:hAnsi="Arial" w:eastAsia="Arial" w:cs="Arial"/>
                <w:b w:val="0"/>
                <w:bCs w:val="0"/>
                <w:color w:val="0D1B2A"/>
                <w:sz w:val="20"/>
                <w:szCs w:val="20"/>
              </w:rPr>
              <w:t>College attendance</w:t>
            </w:r>
          </w:p>
        </w:tc>
      </w:tr>
      <w:tr w14:paraId="6FDB7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D889A1D">
            <w:pPr>
              <w:spacing w:after="0"/>
            </w:pPr>
            <w:r>
              <w:rPr>
                <w:rFonts w:ascii="Arial" w:hAnsi="Arial" w:eastAsia="Arial" w:cs="Arial"/>
                <w:b w:val="0"/>
                <w:bCs w:val="0"/>
                <w:color w:val="0D1B2A"/>
                <w:sz w:val="20"/>
                <w:szCs w:val="20"/>
              </w:rPr>
              <w:t>True ATE</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01821A32">
            <w:pPr>
              <w:spacing w:after="0"/>
            </w:pPr>
            <w:r>
              <w:rPr>
                <w:rFonts w:ascii="Arial" w:hAnsi="Arial" w:eastAsia="Arial" w:cs="Arial"/>
                <w:b w:val="0"/>
                <w:bCs w:val="0"/>
                <w:color w:val="0D1B2A"/>
                <w:sz w:val="20"/>
                <w:szCs w:val="20"/>
              </w:rPr>
              <w:t>$48,734</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13E8C535">
            <w:pPr>
              <w:spacing w:after="0"/>
            </w:pPr>
            <w:r>
              <w:rPr>
                <w:rFonts w:ascii="Arial" w:hAnsi="Arial" w:eastAsia="Arial" w:cs="Arial"/>
                <w:b w:val="0"/>
                <w:bCs w:val="0"/>
                <w:color w:val="0D1B2A"/>
                <w:sz w:val="20"/>
                <w:szCs w:val="20"/>
              </w:rPr>
              <w:t>Ground truth ITE mean</w:t>
            </w:r>
          </w:p>
        </w:tc>
      </w:tr>
      <w:tr w14:paraId="2A64C1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D5BA074">
            <w:pPr>
              <w:spacing w:after="0"/>
            </w:pPr>
            <w:r>
              <w:rPr>
                <w:rFonts w:ascii="Arial" w:hAnsi="Arial" w:eastAsia="Arial" w:cs="Arial"/>
                <w:b w:val="0"/>
                <w:bCs w:val="0"/>
                <w:color w:val="0D1B2A"/>
                <w:sz w:val="20"/>
                <w:szCs w:val="20"/>
              </w:rPr>
              <w:t>True ITE std</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F9058D0">
            <w:pPr>
              <w:spacing w:after="0"/>
            </w:pPr>
            <w:r>
              <w:rPr>
                <w:rFonts w:ascii="Arial" w:hAnsi="Arial" w:eastAsia="Arial" w:cs="Arial"/>
                <w:b w:val="0"/>
                <w:bCs w:val="0"/>
                <w:color w:val="0D1B2A"/>
                <w:sz w:val="20"/>
                <w:szCs w:val="20"/>
              </w:rPr>
              <w:t>~$31,000</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D0745E9">
            <w:pPr>
              <w:spacing w:after="0"/>
            </w:pPr>
            <w:r>
              <w:rPr>
                <w:rFonts w:ascii="Arial" w:hAnsi="Arial" w:eastAsia="Arial" w:cs="Arial"/>
                <w:b w:val="0"/>
                <w:bCs w:val="0"/>
                <w:color w:val="0D1B2A"/>
                <w:sz w:val="20"/>
                <w:szCs w:val="20"/>
              </w:rPr>
              <w:t>High individual heterogeneity</w:t>
            </w:r>
          </w:p>
        </w:tc>
      </w:tr>
      <w:tr w14:paraId="78CF2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E545A32">
            <w:pPr>
              <w:spacing w:after="0"/>
            </w:pPr>
            <w:r>
              <w:rPr>
                <w:rFonts w:ascii="Arial" w:hAnsi="Arial" w:eastAsia="Arial" w:cs="Arial"/>
                <w:b w:val="0"/>
                <w:bCs w:val="0"/>
                <w:color w:val="0D1B2A"/>
                <w:sz w:val="20"/>
                <w:szCs w:val="20"/>
              </w:rPr>
              <w:t>Train/Val/Test split</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17D3ECC6">
            <w:pPr>
              <w:spacing w:after="0"/>
            </w:pPr>
            <w:r>
              <w:rPr>
                <w:rFonts w:ascii="Arial" w:hAnsi="Arial" w:eastAsia="Arial" w:cs="Arial"/>
                <w:b w:val="0"/>
                <w:bCs w:val="0"/>
                <w:color w:val="0D1B2A"/>
                <w:sz w:val="20"/>
                <w:szCs w:val="20"/>
              </w:rPr>
              <w:t>6,287 / 900 / 1,797</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1FA761FD">
            <w:pPr>
              <w:spacing w:after="0"/>
            </w:pPr>
            <w:r>
              <w:rPr>
                <w:rFonts w:ascii="Arial" w:hAnsi="Arial" w:eastAsia="Arial" w:cs="Arial"/>
                <w:b w:val="0"/>
                <w:bCs w:val="0"/>
                <w:color w:val="0D1B2A"/>
                <w:sz w:val="20"/>
                <w:szCs w:val="20"/>
              </w:rPr>
              <w:t>70/10/20, stratified</w:t>
            </w:r>
          </w:p>
        </w:tc>
      </w:tr>
    </w:tbl>
    <w:p w14:paraId="7CD815D1">
      <w:pPr>
        <w:spacing w:after="160" w:line="320" w:lineRule="auto"/>
      </w:pPr>
    </w:p>
    <w:p w14:paraId="1FAD557D">
      <w:pPr>
        <w:pBdr>
          <w:top w:val="single" w:color="065F46" w:sz="4" w:space="0"/>
          <w:left w:val="single" w:color="065F46" w:sz="12" w:space="0"/>
          <w:bottom w:val="single" w:color="065F46" w:sz="4" w:space="0"/>
          <w:right w:val="single" w:color="065F46" w:sz="4" w:space="0"/>
        </w:pBdr>
        <w:shd w:val="clear" w:fill="F1F5F9"/>
        <w:spacing w:before="160" w:after="160"/>
        <w:ind w:left="360" w:right="360"/>
      </w:pPr>
      <w:r>
        <w:rPr>
          <w:rFonts w:ascii="Arial" w:hAnsi="Arial" w:eastAsia="Arial" w:cs="Arial"/>
          <w:sz w:val="22"/>
          <w:szCs w:val="22"/>
        </w:rPr>
        <w:t>Phase 1 Paper Claim: 'We generate a synthetic dataset of N=8,984 respondents following published NLSY97 distributions (BLS, 2023). Structural equation coefficients are derived from published earnings gap literature. Ground truth ITE is available for all individuals, enabling exact PEHE evaluation — a methodological advantage over real observational data.'</w:t>
      </w:r>
    </w:p>
    <w:p w14:paraId="293C7BE3">
      <w:r>
        <w:br w:type="page"/>
      </w:r>
    </w:p>
    <w:p w14:paraId="2B175431">
      <w:pPr>
        <w:pStyle w:val="2"/>
        <w:pBdr>
          <w:bottom w:val="single" w:color="0D9488" w:sz="6" w:space="4"/>
        </w:pBdr>
        <w:spacing w:before="480" w:after="200"/>
      </w:pPr>
      <w:r>
        <w:rPr>
          <w:rFonts w:ascii="Arial" w:hAnsi="Arial" w:eastAsia="Arial" w:cs="Arial"/>
          <w:b/>
          <w:bCs/>
          <w:color w:val="0D1B2A"/>
          <w:sz w:val="36"/>
          <w:szCs w:val="36"/>
        </w:rPr>
        <w:t>Phase 2 — Causal DAG Construction</w:t>
      </w:r>
    </w:p>
    <w:p w14:paraId="0C5FD469">
      <w:pPr>
        <w:pStyle w:val="3"/>
        <w:spacing w:before="360" w:after="160"/>
      </w:pPr>
      <w:r>
        <w:rPr>
          <w:rFonts w:ascii="Arial" w:hAnsi="Arial" w:eastAsia="Arial" w:cs="Arial"/>
          <w:b/>
          <w:bCs/>
          <w:color w:val="0D9488"/>
          <w:sz w:val="28"/>
          <w:szCs w:val="28"/>
        </w:rPr>
        <w:t>What We Did</w:t>
      </w:r>
    </w:p>
    <w:p w14:paraId="62391B24">
      <w:pPr>
        <w:spacing w:after="160" w:line="320" w:lineRule="auto"/>
      </w:pPr>
      <w:r>
        <w:rPr>
          <w:rFonts w:ascii="Arial" w:hAnsi="Arial" w:eastAsia="Arial" w:cs="Arial"/>
          <w:sz w:val="22"/>
          <w:szCs w:val="22"/>
        </w:rPr>
        <w:t>Built a formal Directed Acyclic Graph (DAG) using DoWhy representing the causal structure of the tree model. Verified identifiability of the college-income causal effect using the backdoor criterion. Achieved 8.2% ATE error with linear backdoor adjustment — confirming DAG correctness.</w:t>
      </w:r>
    </w:p>
    <w:p w14:paraId="11CF2DE7">
      <w:pPr>
        <w:pStyle w:val="3"/>
        <w:spacing w:before="360" w:after="160"/>
      </w:pPr>
      <w:r>
        <w:rPr>
          <w:rFonts w:ascii="Arial" w:hAnsi="Arial" w:eastAsia="Arial" w:cs="Arial"/>
          <w:b/>
          <w:bCs/>
          <w:color w:val="0D9488"/>
          <w:sz w:val="28"/>
          <w:szCs w:val="28"/>
        </w:rPr>
        <w:t>Real-World Case Study — Why Causal Structure Matters</w:t>
      </w:r>
    </w:p>
    <w:p w14:paraId="4D4E7FC2">
      <w:pPr>
        <w:spacing w:after="160" w:line="320" w:lineRule="auto"/>
      </w:pPr>
      <w:r>
        <w:rPr>
          <w:rFonts w:ascii="Arial" w:hAnsi="Arial" w:eastAsia="Arial" w:cs="Arial"/>
          <w:sz w:val="22"/>
          <w:szCs w:val="22"/>
        </w:rPr>
        <w:t>Consider two students with identical family incomes and school quality. Student A has highly-educated parents; Student B does not. A naive regression that ignores the causal structure treats them identically. But the DAG tells us: parent education affects school quality selection, which affects peer composition, which affects college decision. These are confounding pathways that must be blocked — not just controlled for statistically.</w:t>
      </w:r>
    </w:p>
    <w:p w14:paraId="491925F6">
      <w:pPr>
        <w:spacing w:after="160" w:line="320" w:lineRule="auto"/>
      </w:pPr>
      <w:r>
        <w:rPr>
          <w:rFonts w:ascii="Arial" w:hAnsi="Arial" w:eastAsia="Arial" w:cs="Arial"/>
          <w:b/>
          <w:bCs/>
          <w:color w:val="0D1B2A"/>
          <w:sz w:val="22"/>
          <w:szCs w:val="22"/>
        </w:rPr>
        <w:t xml:space="preserve">Practical consequence: </w:t>
      </w:r>
      <w:r>
        <w:rPr>
          <w:rFonts w:ascii="Arial" w:hAnsi="Arial" w:eastAsia="Arial" w:cs="Arial"/>
          <w:sz w:val="22"/>
          <w:szCs w:val="22"/>
        </w:rPr>
        <w:t>If a school counsellor uses a naive income-based model to recommend college, they may systematically under-recommend it for students whose peer environment is suppressing their college-going probability — even when those students would benefit enormously. CALF's DAG encodes this structure explicitly.</w:t>
      </w:r>
    </w:p>
    <w:p w14:paraId="39271102">
      <w:pPr>
        <w:pStyle w:val="3"/>
        <w:spacing w:before="360" w:after="160"/>
      </w:pPr>
      <w:r>
        <w:rPr>
          <w:rFonts w:ascii="Arial" w:hAnsi="Arial" w:eastAsia="Arial" w:cs="Arial"/>
          <w:b/>
          <w:bCs/>
          <w:color w:val="0D9488"/>
          <w:sz w:val="28"/>
          <w:szCs w:val="28"/>
        </w:rPr>
        <w:t>Mathematical Background</w:t>
      </w:r>
    </w:p>
    <w:p w14:paraId="5E47713C">
      <w:pPr>
        <w:pStyle w:val="4"/>
        <w:spacing w:before="240" w:after="120"/>
      </w:pPr>
      <w:r>
        <w:rPr>
          <w:rFonts w:ascii="Arial" w:hAnsi="Arial" w:eastAsia="Arial" w:cs="Arial"/>
          <w:b/>
          <w:bCs/>
          <w:color w:val="334155"/>
          <w:sz w:val="24"/>
          <w:szCs w:val="24"/>
        </w:rPr>
        <w:t>Directed Acyclic Graph Definition</w:t>
      </w:r>
    </w:p>
    <w:p w14:paraId="5ABFE581">
      <w:pPr>
        <w:spacing w:after="160" w:line="320" w:lineRule="auto"/>
      </w:pPr>
      <w:r>
        <w:rPr>
          <w:rFonts w:ascii="Arial" w:hAnsi="Arial" w:eastAsia="Arial" w:cs="Arial"/>
          <w:sz w:val="22"/>
          <w:szCs w:val="22"/>
        </w:rPr>
        <w:t>A DAG G = (V, E) where V are variables (nodes) and E are directed causal edges. An arrow A → B means 'A causes B'. Acyclic means no variable causes itself through any path.</w:t>
      </w:r>
    </w:p>
    <w:p w14:paraId="2BA9173F">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CALF DAG causal ordering:</w:t>
      </w:r>
    </w:p>
    <w:p w14:paraId="00760F6A">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Roots → Soil → Leaves → Choice → Y</w:t>
      </w:r>
    </w:p>
    <w:p w14:paraId="2FF7A96D">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Roots → Leaves (direct)</w:t>
      </w:r>
    </w:p>
    <w:p w14:paraId="03EBAA6D">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Roots → Y (direct)</w:t>
      </w:r>
    </w:p>
    <w:p w14:paraId="3D88807F">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Soil → Y (direct)</w:t>
      </w:r>
    </w:p>
    <w:p w14:paraId="36685C3B">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Leaves → Y (direct)</w:t>
      </w:r>
    </w:p>
    <w:p w14:paraId="21E61130">
      <w:pPr>
        <w:pStyle w:val="4"/>
        <w:spacing w:before="240" w:after="120"/>
      </w:pPr>
      <w:r>
        <w:rPr>
          <w:rFonts w:ascii="Arial" w:hAnsi="Arial" w:eastAsia="Arial" w:cs="Arial"/>
          <w:b/>
          <w:bCs/>
          <w:color w:val="334155"/>
          <w:sz w:val="24"/>
          <w:szCs w:val="24"/>
        </w:rPr>
        <w:t>Backdoor Criterion (Pearl, 2009)</w:t>
      </w:r>
    </w:p>
    <w:p w14:paraId="6FDC1C01">
      <w:pPr>
        <w:spacing w:after="160" w:line="320" w:lineRule="auto"/>
      </w:pPr>
      <w:r>
        <w:rPr>
          <w:rFonts w:ascii="Arial" w:hAnsi="Arial" w:eastAsia="Arial" w:cs="Arial"/>
          <w:sz w:val="22"/>
          <w:szCs w:val="22"/>
        </w:rPr>
        <w:t>A set Z satisfies the backdoor criterion relative to (T, Y) if: (1) Z blocks all backdoor paths from T to Y, and (2) Z contains no descendant of T.</w:t>
      </w:r>
    </w:p>
    <w:p w14:paraId="588AE70C">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In CALF: Z = Roots ∪ Soil ∪ Leaves  (15 pre-treatment variables)</w:t>
      </w:r>
    </w:p>
    <w:p w14:paraId="73E1AEE8">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These block ALL backdoor paths from college_attend to income_2019</w:t>
      </w:r>
    </w:p>
    <w:p w14:paraId="0459EC02">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Identified ATE: E[Y(t)] = Σ_z E[Y|T=t, Z=z] · P(Z=z)</w:t>
      </w:r>
    </w:p>
    <w:p w14:paraId="120C6A79">
      <w:pPr>
        <w:pStyle w:val="4"/>
        <w:spacing w:before="240" w:after="120"/>
      </w:pPr>
      <w:r>
        <w:rPr>
          <w:rFonts w:ascii="Arial" w:hAnsi="Arial" w:eastAsia="Arial" w:cs="Arial"/>
          <w:b/>
          <w:bCs/>
          <w:color w:val="334155"/>
          <w:sz w:val="24"/>
          <w:szCs w:val="24"/>
        </w:rPr>
        <w:t>Do-Calculus</w:t>
      </w:r>
    </w:p>
    <w:p w14:paraId="1EAB787E">
      <w:pPr>
        <w:spacing w:after="160" w:line="320" w:lineRule="auto"/>
      </w:pPr>
      <w:r>
        <w:rPr>
          <w:rFonts w:ascii="Arial" w:hAnsi="Arial" w:eastAsia="Arial" w:cs="Arial"/>
          <w:sz w:val="22"/>
          <w:szCs w:val="22"/>
        </w:rPr>
        <w:t>The do-operator represents intervention — setting T regardless of its natural causes:</w:t>
      </w:r>
    </w:p>
    <w:p w14:paraId="0FD1D7BE">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ITE_i = E[Y | do(T=1), X=x_i] - E[Y | do(T=0), X=x_i]</w:t>
      </w:r>
    </w:p>
    <w:p w14:paraId="300C2700">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Under backdoor criterion: do(T=t) = conditioning on Z=z after controlling for Z</w:t>
      </w:r>
    </w:p>
    <w:p w14:paraId="0EE6AA01">
      <w:pPr>
        <w:pStyle w:val="3"/>
        <w:spacing w:before="360" w:after="160"/>
      </w:pPr>
      <w:r>
        <w:rPr>
          <w:rFonts w:ascii="Arial" w:hAnsi="Arial" w:eastAsia="Arial" w:cs="Arial"/>
          <w:b/>
          <w:bCs/>
          <w:color w:val="0D9488"/>
          <w:sz w:val="28"/>
          <w:szCs w:val="28"/>
        </w:rPr>
        <w:t>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41B86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01D4860D">
            <w:pPr>
              <w:spacing w:after="0"/>
            </w:pPr>
            <w:r>
              <w:rPr>
                <w:rFonts w:ascii="Arial" w:hAnsi="Arial" w:eastAsia="Arial" w:cs="Arial"/>
                <w:b/>
                <w:bCs/>
                <w:color w:val="FFFFFF"/>
                <w:sz w:val="20"/>
                <w:szCs w:val="20"/>
              </w:rPr>
              <w:t>Check</w:t>
            </w:r>
          </w:p>
        </w:tc>
        <w:tc>
          <w:tcPr>
            <w:tcW w:w="312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5D864477">
            <w:pPr>
              <w:spacing w:after="0"/>
            </w:pPr>
            <w:r>
              <w:rPr>
                <w:rFonts w:ascii="Arial" w:hAnsi="Arial" w:eastAsia="Arial" w:cs="Arial"/>
                <w:b/>
                <w:bCs/>
                <w:color w:val="FFFFFF"/>
                <w:sz w:val="20"/>
                <w:szCs w:val="20"/>
              </w:rPr>
              <w:t>Result</w:t>
            </w:r>
          </w:p>
        </w:tc>
        <w:tc>
          <w:tcPr>
            <w:tcW w:w="312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6EB2AE02">
            <w:pPr>
              <w:spacing w:after="0"/>
            </w:pPr>
            <w:r>
              <w:rPr>
                <w:rFonts w:ascii="Arial" w:hAnsi="Arial" w:eastAsia="Arial" w:cs="Arial"/>
                <w:b/>
                <w:bCs/>
                <w:color w:val="FFFFFF"/>
                <w:sz w:val="20"/>
                <w:szCs w:val="20"/>
              </w:rPr>
              <w:t>Meaning</w:t>
            </w:r>
          </w:p>
        </w:tc>
      </w:tr>
      <w:tr w14:paraId="43CCF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A253217">
            <w:pPr>
              <w:spacing w:after="0"/>
            </w:pPr>
            <w:r>
              <w:rPr>
                <w:rFonts w:ascii="Arial" w:hAnsi="Arial" w:eastAsia="Arial" w:cs="Arial"/>
                <w:b w:val="0"/>
                <w:bCs w:val="0"/>
                <w:color w:val="0D1B2A"/>
                <w:sz w:val="20"/>
                <w:szCs w:val="20"/>
              </w:rPr>
              <w:t>DAG nodes</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7BBAA74">
            <w:pPr>
              <w:spacing w:after="0"/>
            </w:pPr>
            <w:r>
              <w:rPr>
                <w:rFonts w:ascii="Arial" w:hAnsi="Arial" w:eastAsia="Arial" w:cs="Arial"/>
                <w:b w:val="0"/>
                <w:bCs w:val="0"/>
                <w:color w:val="0D1B2A"/>
                <w:sz w:val="20"/>
                <w:szCs w:val="20"/>
              </w:rPr>
              <w:t>19</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909FD26">
            <w:pPr>
              <w:spacing w:after="0"/>
            </w:pPr>
            <w:r>
              <w:rPr>
                <w:rFonts w:ascii="Arial" w:hAnsi="Arial" w:eastAsia="Arial" w:cs="Arial"/>
                <w:b w:val="0"/>
                <w:bCs w:val="0"/>
                <w:color w:val="0D1B2A"/>
                <w:sz w:val="20"/>
                <w:szCs w:val="20"/>
              </w:rPr>
              <w:t>18 features + outcome</w:t>
            </w:r>
          </w:p>
        </w:tc>
      </w:tr>
      <w:tr w14:paraId="5C87B9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4CD81E7">
            <w:pPr>
              <w:spacing w:after="0"/>
            </w:pPr>
            <w:r>
              <w:rPr>
                <w:rFonts w:ascii="Arial" w:hAnsi="Arial" w:eastAsia="Arial" w:cs="Arial"/>
                <w:b w:val="0"/>
                <w:bCs w:val="0"/>
                <w:color w:val="0D1B2A"/>
                <w:sz w:val="20"/>
                <w:szCs w:val="20"/>
              </w:rPr>
              <w:t>DAG edges</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14CC5254">
            <w:pPr>
              <w:spacing w:after="0"/>
            </w:pPr>
            <w:r>
              <w:rPr>
                <w:rFonts w:ascii="Arial" w:hAnsi="Arial" w:eastAsia="Arial" w:cs="Arial"/>
                <w:b w:val="0"/>
                <w:bCs w:val="0"/>
                <w:color w:val="0D1B2A"/>
                <w:sz w:val="20"/>
                <w:szCs w:val="20"/>
              </w:rPr>
              <w:t>34</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60BBAF2C">
            <w:pPr>
              <w:spacing w:after="0"/>
            </w:pPr>
            <w:r>
              <w:rPr>
                <w:rFonts w:ascii="Arial" w:hAnsi="Arial" w:eastAsia="Arial" w:cs="Arial"/>
                <w:b w:val="0"/>
                <w:bCs w:val="0"/>
                <w:color w:val="0D1B2A"/>
                <w:sz w:val="20"/>
                <w:szCs w:val="20"/>
              </w:rPr>
              <w:t>All causal pathways encoded</w:t>
            </w:r>
          </w:p>
        </w:tc>
      </w:tr>
      <w:tr w14:paraId="5B607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71943AF">
            <w:pPr>
              <w:spacing w:after="0"/>
            </w:pPr>
            <w:r>
              <w:rPr>
                <w:rFonts w:ascii="Arial" w:hAnsi="Arial" w:eastAsia="Arial" w:cs="Arial"/>
                <w:b w:val="0"/>
                <w:bCs w:val="0"/>
                <w:color w:val="0D1B2A"/>
                <w:sz w:val="20"/>
                <w:szCs w:val="20"/>
              </w:rPr>
              <w:t>Identifiability</w:t>
            </w:r>
          </w:p>
        </w:tc>
        <w:tc>
          <w:tcPr>
            <w:tcW w:w="312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68DEAEF2">
            <w:pPr>
              <w:spacing w:after="0"/>
            </w:pPr>
            <w:r>
              <w:rPr>
                <w:rFonts w:ascii="Arial" w:hAnsi="Arial" w:eastAsia="Arial" w:cs="Arial"/>
                <w:b w:val="0"/>
                <w:bCs w:val="0"/>
                <w:color w:val="0D1B2A"/>
                <w:sz w:val="20"/>
                <w:szCs w:val="20"/>
              </w:rPr>
              <w:t>✅ Confirmed</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CED45F0">
            <w:pPr>
              <w:spacing w:after="0"/>
            </w:pPr>
            <w:r>
              <w:rPr>
                <w:rFonts w:ascii="Arial" w:hAnsi="Arial" w:eastAsia="Arial" w:cs="Arial"/>
                <w:b w:val="0"/>
                <w:bCs w:val="0"/>
                <w:color w:val="0D1B2A"/>
                <w:sz w:val="20"/>
                <w:szCs w:val="20"/>
              </w:rPr>
              <w:t>Backdoor criterion satisfied</w:t>
            </w:r>
          </w:p>
        </w:tc>
      </w:tr>
      <w:tr w14:paraId="7F874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974E27E">
            <w:pPr>
              <w:spacing w:after="0"/>
            </w:pPr>
            <w:r>
              <w:rPr>
                <w:rFonts w:ascii="Arial" w:hAnsi="Arial" w:eastAsia="Arial" w:cs="Arial"/>
                <w:b w:val="0"/>
                <w:bCs w:val="0"/>
                <w:color w:val="0D1B2A"/>
                <w:sz w:val="20"/>
                <w:szCs w:val="20"/>
              </w:rPr>
              <w:t>Linear ATE estimate</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67E4E758">
            <w:pPr>
              <w:spacing w:after="0"/>
            </w:pPr>
            <w:r>
              <w:rPr>
                <w:rFonts w:ascii="Arial" w:hAnsi="Arial" w:eastAsia="Arial" w:cs="Arial"/>
                <w:b w:val="0"/>
                <w:bCs w:val="0"/>
                <w:color w:val="0D1B2A"/>
                <w:sz w:val="20"/>
                <w:szCs w:val="20"/>
              </w:rPr>
              <w:t>$44,382</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730AB452">
            <w:pPr>
              <w:spacing w:after="0"/>
            </w:pPr>
            <w:r>
              <w:rPr>
                <w:rFonts w:ascii="Arial" w:hAnsi="Arial" w:eastAsia="Arial" w:cs="Arial"/>
                <w:b w:val="0"/>
                <w:bCs w:val="0"/>
                <w:color w:val="0D1B2A"/>
                <w:sz w:val="20"/>
                <w:szCs w:val="20"/>
              </w:rPr>
              <w:t>vs true ATE $48,734</w:t>
            </w:r>
          </w:p>
        </w:tc>
      </w:tr>
      <w:tr w14:paraId="0D7829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61CBBEC">
            <w:pPr>
              <w:spacing w:after="0"/>
            </w:pPr>
            <w:r>
              <w:rPr>
                <w:rFonts w:ascii="Arial" w:hAnsi="Arial" w:eastAsia="Arial" w:cs="Arial"/>
                <w:b w:val="0"/>
                <w:bCs w:val="0"/>
                <w:color w:val="0D1B2A"/>
                <w:sz w:val="20"/>
                <w:szCs w:val="20"/>
              </w:rPr>
              <w:t>ATE error (linear)</w:t>
            </w:r>
          </w:p>
        </w:tc>
        <w:tc>
          <w:tcPr>
            <w:tcW w:w="312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3C503F2F">
            <w:pPr>
              <w:spacing w:after="0"/>
            </w:pPr>
            <w:r>
              <w:rPr>
                <w:rFonts w:ascii="Arial" w:hAnsi="Arial" w:eastAsia="Arial" w:cs="Arial"/>
                <w:b w:val="0"/>
                <w:bCs w:val="0"/>
                <w:color w:val="0D1B2A"/>
                <w:sz w:val="20"/>
                <w:szCs w:val="20"/>
              </w:rPr>
              <w:t>8.2%</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2517E73">
            <w:pPr>
              <w:spacing w:after="0"/>
            </w:pPr>
            <w:r>
              <w:rPr>
                <w:rFonts w:ascii="Arial" w:hAnsi="Arial" w:eastAsia="Arial" w:cs="Arial"/>
                <w:b w:val="0"/>
                <w:bCs w:val="0"/>
                <w:color w:val="0D1B2A"/>
                <w:sz w:val="20"/>
                <w:szCs w:val="20"/>
              </w:rPr>
              <w:t>Confirms DAG structure correct</w:t>
            </w:r>
          </w:p>
        </w:tc>
      </w:tr>
    </w:tbl>
    <w:p w14:paraId="0F84BE9E">
      <w:pPr>
        <w:spacing w:after="160" w:line="320" w:lineRule="auto"/>
      </w:pPr>
    </w:p>
    <w:p w14:paraId="3DE8FA0D">
      <w:pPr>
        <w:pBdr>
          <w:top w:val="single" w:color="0D9488" w:sz="4" w:space="0"/>
          <w:left w:val="single" w:color="0D9488" w:sz="12" w:space="0"/>
          <w:bottom w:val="single" w:color="0D9488" w:sz="4" w:space="0"/>
          <w:right w:val="single" w:color="0D9488" w:sz="4" w:space="0"/>
        </w:pBdr>
        <w:shd w:val="clear" w:fill="F1F5F9"/>
        <w:spacing w:before="160" w:after="160"/>
        <w:ind w:left="360" w:right="360"/>
      </w:pPr>
      <w:r>
        <w:rPr>
          <w:rFonts w:ascii="Arial" w:hAnsi="Arial" w:eastAsia="Arial" w:cs="Arial"/>
          <w:sz w:val="22"/>
          <w:szCs w:val="22"/>
        </w:rPr>
        <w:t>Key Result: The 8.2% ATE error using only linear backdoor adjustment validates the DAG structure. An incorrect DAG would produce much larger errors. This is the foundation that makes all subsequent causal claims defensible.</w:t>
      </w:r>
    </w:p>
    <w:p w14:paraId="231E19BD">
      <w:r>
        <w:br w:type="page"/>
      </w:r>
    </w:p>
    <w:p w14:paraId="11112605">
      <w:pPr>
        <w:pStyle w:val="2"/>
        <w:pBdr>
          <w:bottom w:val="single" w:color="0D9488" w:sz="6" w:space="4"/>
        </w:pBdr>
        <w:spacing w:before="480" w:after="200"/>
      </w:pPr>
      <w:r>
        <w:rPr>
          <w:rFonts w:ascii="Arial" w:hAnsi="Arial" w:eastAsia="Arial" w:cs="Arial"/>
          <w:b/>
          <w:bCs/>
          <w:color w:val="0D1B2A"/>
          <w:sz w:val="36"/>
          <w:szCs w:val="36"/>
        </w:rPr>
        <w:t>Phase 3 — Baseline Models (7 Baselines, Updated)</w:t>
      </w:r>
    </w:p>
    <w:p w14:paraId="3159FEF1">
      <w:pPr>
        <w:spacing w:after="160" w:line="320" w:lineRule="auto"/>
      </w:pPr>
      <w:r>
        <w:rPr>
          <w:rFonts w:ascii="Arial" w:hAnsi="Arial" w:eastAsia="Arial" w:cs="Arial"/>
          <w:b/>
          <w:bCs/>
          <w:color w:val="0D1B2A"/>
          <w:sz w:val="22"/>
          <w:szCs w:val="22"/>
        </w:rPr>
        <w:t xml:space="preserve">Updated: </w:t>
      </w:r>
      <w:r>
        <w:rPr>
          <w:rFonts w:ascii="Arial" w:hAnsi="Arial" w:eastAsia="Arial" w:cs="Arial"/>
          <w:sz w:val="22"/>
          <w:szCs w:val="22"/>
        </w:rPr>
        <w:t>This phase now includes TARNet (Shalit et al., 2017) and CFRNet (Johansson et al., 2016) as additional deep learning ITE baselines — addressing the primary NeurIPS reviewer concern about deep baseline comparisons.</w:t>
      </w:r>
    </w:p>
    <w:p w14:paraId="3126A5E9">
      <w:pPr>
        <w:pStyle w:val="3"/>
        <w:spacing w:before="360" w:after="160"/>
      </w:pPr>
      <w:r>
        <w:rPr>
          <w:rFonts w:ascii="Arial" w:hAnsi="Arial" w:eastAsia="Arial" w:cs="Arial"/>
          <w:b/>
          <w:bCs/>
          <w:color w:val="0D9488"/>
          <w:sz w:val="28"/>
          <w:szCs w:val="28"/>
        </w:rPr>
        <w:t>Real-World Case Study — Why Baselines Matter</w:t>
      </w:r>
    </w:p>
    <w:p w14:paraId="6BD2CFC0">
      <w:pPr>
        <w:spacing w:after="160" w:line="320" w:lineRule="auto"/>
      </w:pPr>
      <w:r>
        <w:rPr>
          <w:rFonts w:ascii="Arial" w:hAnsi="Arial" w:eastAsia="Arial" w:cs="Arial"/>
          <w:sz w:val="22"/>
          <w:szCs w:val="22"/>
        </w:rPr>
        <w:t>Each baseline represents a different philosophy for estimating 'what would have happened' — the fundamental counterfactual question.</w:t>
      </w:r>
    </w:p>
    <w:p w14:paraId="3BE2E3C5">
      <w:pPr>
        <w:pStyle w:val="17"/>
        <w:numPr>
          <w:ilvl w:val="0"/>
          <w:numId w:val="1"/>
        </w:numPr>
        <w:spacing w:after="100"/>
      </w:pPr>
      <w:r>
        <w:rPr>
          <w:rFonts w:ascii="Arial" w:hAnsi="Arial" w:eastAsia="Arial" w:cs="Arial"/>
          <w:sz w:val="22"/>
          <w:szCs w:val="22"/>
        </w:rPr>
        <w:t>T-Learner: 'Learn from treated people and control people separately. The difference is the effect.'</w:t>
      </w:r>
    </w:p>
    <w:p w14:paraId="05B4B21B">
      <w:pPr>
        <w:pStyle w:val="17"/>
        <w:numPr>
          <w:ilvl w:val="0"/>
          <w:numId w:val="1"/>
        </w:numPr>
        <w:spacing w:after="100"/>
      </w:pPr>
      <w:r>
        <w:rPr>
          <w:rFonts w:ascii="Arial" w:hAnsi="Arial" w:eastAsia="Arial" w:cs="Arial"/>
          <w:sz w:val="22"/>
          <w:szCs w:val="22"/>
        </w:rPr>
        <w:t>Causal Forest: 'Grow trees that split on variables that create heterogeneity in treatment response.'</w:t>
      </w:r>
    </w:p>
    <w:p w14:paraId="7AFF2A88">
      <w:pPr>
        <w:pStyle w:val="17"/>
        <w:numPr>
          <w:ilvl w:val="0"/>
          <w:numId w:val="1"/>
        </w:numPr>
        <w:spacing w:after="100"/>
      </w:pPr>
      <w:r>
        <w:rPr>
          <w:rFonts w:ascii="Arial" w:hAnsi="Arial" w:eastAsia="Arial" w:cs="Arial"/>
          <w:sz w:val="22"/>
          <w:szCs w:val="22"/>
        </w:rPr>
        <w:t>TARNet: 'Learn a shared neural representation of background, then predict both potential incomes from it.'</w:t>
      </w:r>
    </w:p>
    <w:p w14:paraId="565508FC">
      <w:pPr>
        <w:pStyle w:val="17"/>
        <w:numPr>
          <w:ilvl w:val="0"/>
          <w:numId w:val="1"/>
        </w:numPr>
        <w:spacing w:after="100"/>
      </w:pPr>
      <w:r>
        <w:rPr>
          <w:rFonts w:ascii="Arial" w:hAnsi="Arial" w:eastAsia="Arial" w:cs="Arial"/>
          <w:sz w:val="22"/>
          <w:szCs w:val="22"/>
        </w:rPr>
        <w:t>CFRNet: 'Do TARNet, but also force treated and control people to look similar in the representation space.'</w:t>
      </w:r>
    </w:p>
    <w:p w14:paraId="01AB1255">
      <w:pPr>
        <w:pStyle w:val="17"/>
        <w:numPr>
          <w:ilvl w:val="0"/>
          <w:numId w:val="1"/>
        </w:numPr>
        <w:spacing w:after="100"/>
      </w:pPr>
      <w:r>
        <w:rPr>
          <w:rFonts w:ascii="Arial" w:hAnsi="Arial" w:eastAsia="Arial" w:cs="Arial"/>
          <w:sz w:val="22"/>
          <w:szCs w:val="22"/>
        </w:rPr>
        <w:t>CALF: 'Encode each life layer separately in its causal order, let them inform each other, then predict.'</w:t>
      </w:r>
    </w:p>
    <w:p w14:paraId="5771A0A9">
      <w:pPr>
        <w:spacing w:after="160" w:line="320" w:lineRule="auto"/>
      </w:pPr>
      <w:r>
        <w:rPr>
          <w:rFonts w:ascii="Arial" w:hAnsi="Arial" w:eastAsia="Arial" w:cs="Arial"/>
          <w:sz w:val="22"/>
          <w:szCs w:val="22"/>
        </w:rPr>
        <w:t>The question is which philosophy recovers individual-level treatment effects most accurately when we know the truth.</w:t>
      </w:r>
    </w:p>
    <w:p w14:paraId="34DB3ACA">
      <w:pPr>
        <w:pStyle w:val="3"/>
        <w:spacing w:before="360" w:after="160"/>
      </w:pPr>
      <w:r>
        <w:rPr>
          <w:rFonts w:ascii="Arial" w:hAnsi="Arial" w:eastAsia="Arial" w:cs="Arial"/>
          <w:b/>
          <w:bCs/>
          <w:color w:val="0D9488"/>
          <w:sz w:val="28"/>
          <w:szCs w:val="28"/>
        </w:rPr>
        <w:t>Mathematical Background — All 7 Methods</w:t>
      </w:r>
    </w:p>
    <w:p w14:paraId="67264975">
      <w:pPr>
        <w:pStyle w:val="4"/>
        <w:spacing w:before="240" w:after="120"/>
      </w:pPr>
      <w:r>
        <w:rPr>
          <w:rFonts w:ascii="Arial" w:hAnsi="Arial" w:eastAsia="Arial" w:cs="Arial"/>
          <w:b/>
          <w:bCs/>
          <w:color w:val="334155"/>
          <w:sz w:val="24"/>
          <w:szCs w:val="24"/>
        </w:rPr>
        <w:t>1. T-Learner</w:t>
      </w:r>
    </w:p>
    <w:p w14:paraId="794D6810">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μ̂₁(x) = E[Y|T=1, X=x]  (GBM on treated units)</w:t>
      </w:r>
    </w:p>
    <w:p w14:paraId="5D725843">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μ̂₀(x) = E[Y|T=0, X=x]  (GBM on control units)</w:t>
      </w:r>
    </w:p>
    <w:p w14:paraId="43578691">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τ̂(x) = μ̂₁(x) - μ̂₀(x)</w:t>
      </w:r>
    </w:p>
    <w:p w14:paraId="796B3A0C">
      <w:pPr>
        <w:pStyle w:val="4"/>
        <w:spacing w:before="240" w:after="120"/>
      </w:pPr>
      <w:r>
        <w:rPr>
          <w:rFonts w:ascii="Arial" w:hAnsi="Arial" w:eastAsia="Arial" w:cs="Arial"/>
          <w:b/>
          <w:bCs/>
          <w:color w:val="334155"/>
          <w:sz w:val="24"/>
          <w:szCs w:val="24"/>
        </w:rPr>
        <w:t>2. X-Learner</w:t>
      </w:r>
    </w:p>
    <w:p w14:paraId="28D598E0">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Stage 1: fit μ̂₀ and μ̂₁ (same as T-Learner)</w:t>
      </w:r>
    </w:p>
    <w:p w14:paraId="6CB4C46E">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Stage 2: D̃₁ᵢ = Yᵢ - μ̂₀(Xᵢ)  for treated</w:t>
      </w:r>
    </w:p>
    <w:p w14:paraId="37CABD99">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 xml:space="preserve">         D̃₀ᵢ = μ̂₁(Xᵢ) - Yᵢ  for control</w:t>
      </w:r>
    </w:p>
    <w:p w14:paraId="4CCDA099">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Stage 3: τ̂(x) = e(x)·τ̂₀(x) + (1-e(x))·τ̂₁(x)</w:t>
      </w:r>
    </w:p>
    <w:p w14:paraId="6B0D0969">
      <w:pPr>
        <w:spacing w:after="160" w:line="320" w:lineRule="auto"/>
      </w:pPr>
      <w:r>
        <w:rPr>
          <w:rFonts w:ascii="Arial" w:hAnsi="Arial" w:eastAsia="Arial" w:cs="Arial"/>
          <w:sz w:val="22"/>
          <w:szCs w:val="22"/>
        </w:rPr>
        <w:t>Where e(x) = P(T=1|X) is the propensity score.</w:t>
      </w:r>
    </w:p>
    <w:p w14:paraId="6F311B2F">
      <w:pPr>
        <w:pStyle w:val="4"/>
        <w:spacing w:before="240" w:after="120"/>
      </w:pPr>
      <w:r>
        <w:rPr>
          <w:rFonts w:ascii="Arial" w:hAnsi="Arial" w:eastAsia="Arial" w:cs="Arial"/>
          <w:b/>
          <w:bCs/>
          <w:color w:val="334155"/>
          <w:sz w:val="24"/>
          <w:szCs w:val="24"/>
        </w:rPr>
        <w:t>3. Causal Forest (Wager &amp; Athey, 2018)</w:t>
      </w:r>
    </w:p>
    <w:p w14:paraId="1763200F">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τ̂(x) = Σₜ αₜ(x) · (Yₜ - Ȳ(Xₜ)) / (Tₜ - T̄(Xₜ))</w:t>
      </w:r>
    </w:p>
    <w:p w14:paraId="446DFBC2">
      <w:pPr>
        <w:spacing w:after="160" w:line="320" w:lineRule="auto"/>
      </w:pPr>
      <w:r>
        <w:rPr>
          <w:rFonts w:ascii="Arial" w:hAnsi="Arial" w:eastAsia="Arial" w:cs="Arial"/>
          <w:sz w:val="22"/>
          <w:szCs w:val="22"/>
        </w:rPr>
        <w:t>Honest estimation: uses different subsamples for tree-splitting and leaf estimation.</w:t>
      </w:r>
    </w:p>
    <w:p w14:paraId="2A5B9DFE">
      <w:pPr>
        <w:pStyle w:val="4"/>
        <w:spacing w:before="240" w:after="120"/>
      </w:pPr>
      <w:r>
        <w:rPr>
          <w:rFonts w:ascii="Arial" w:hAnsi="Arial" w:eastAsia="Arial" w:cs="Arial"/>
          <w:b/>
          <w:bCs/>
          <w:color w:val="334155"/>
          <w:sz w:val="24"/>
          <w:szCs w:val="24"/>
        </w:rPr>
        <w:t>4. BART (Bayesian Additive Regression Trees)</w:t>
      </w:r>
    </w:p>
    <w:p w14:paraId="06F1E70E">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τ̂(x) = f̂₁(x) - f̂₀(x)</w:t>
      </w:r>
    </w:p>
    <w:p w14:paraId="787764E6">
      <w:pPr>
        <w:spacing w:after="160" w:line="320" w:lineRule="auto"/>
      </w:pPr>
      <w:r>
        <w:rPr>
          <w:rFonts w:ascii="Arial" w:hAnsi="Arial" w:eastAsia="Arial" w:cs="Arial"/>
          <w:sz w:val="22"/>
          <w:szCs w:val="22"/>
        </w:rPr>
        <w:t>Implemented as two highly-regularised GBM models (n_estimators=500, lr=0.01, depth=3).</w:t>
      </w:r>
    </w:p>
    <w:p w14:paraId="399C7AA7">
      <w:pPr>
        <w:pStyle w:val="4"/>
        <w:spacing w:before="240" w:after="120"/>
      </w:pPr>
      <w:r>
        <w:rPr>
          <w:rFonts w:ascii="Arial" w:hAnsi="Arial" w:eastAsia="Arial" w:cs="Arial"/>
          <w:b/>
          <w:bCs/>
          <w:color w:val="334155"/>
          <w:sz w:val="24"/>
          <w:szCs w:val="24"/>
        </w:rPr>
        <w:t>5. DragonNet (Shi et al., 2019)</w:t>
      </w:r>
    </w:p>
    <w:p w14:paraId="501B4E8F">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L_DragonNet = MSE(T·Ŷ₁ + (1-T)·Ŷ₀, Y) + α·BCE(ê(X), T)</w:t>
      </w:r>
    </w:p>
    <w:p w14:paraId="7BE67F53">
      <w:pPr>
        <w:spacing w:after="160" w:line="320" w:lineRule="auto"/>
      </w:pPr>
      <w:r>
        <w:rPr>
          <w:rFonts w:ascii="Arial" w:hAnsi="Arial" w:eastAsia="Arial" w:cs="Arial"/>
          <w:sz w:val="22"/>
          <w:szCs w:val="22"/>
        </w:rPr>
        <w:t>Shared MLP representation with propensity head. Known to fail on tabular data.</w:t>
      </w:r>
    </w:p>
    <w:p w14:paraId="419B0652">
      <w:pPr>
        <w:pStyle w:val="4"/>
        <w:spacing w:before="240" w:after="120"/>
      </w:pPr>
      <w:r>
        <w:rPr>
          <w:rFonts w:ascii="Arial" w:hAnsi="Arial" w:eastAsia="Arial" w:cs="Arial"/>
          <w:b/>
          <w:bCs/>
          <w:color w:val="334155"/>
          <w:sz w:val="24"/>
          <w:szCs w:val="24"/>
        </w:rPr>
        <w:t>6. TARNet (Shalit et al., 2017) — NEW</w:t>
      </w:r>
    </w:p>
    <w:p w14:paraId="7FF83DBD">
      <w:pPr>
        <w:spacing w:after="160" w:line="320" w:lineRule="auto"/>
      </w:pPr>
      <w:r>
        <w:rPr>
          <w:rFonts w:ascii="Arial" w:hAnsi="Arial" w:eastAsia="Arial" w:cs="Arial"/>
          <w:sz w:val="22"/>
          <w:szCs w:val="22"/>
        </w:rPr>
        <w:t>Shared neural representation with two outcome heads. No propensity correction. Direct architectural predecessor to CALF but with flat (non-tree) structure.</w:t>
      </w:r>
    </w:p>
    <w:p w14:paraId="19918855">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Φ(x) = SharedMLP(x)   [shared representation, no tree structure]</w:t>
      </w:r>
    </w:p>
    <w:p w14:paraId="039E8897">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Ŷ₀ = MLP₀(Φ(x))      [control outcome head]</w:t>
      </w:r>
    </w:p>
    <w:p w14:paraId="5538C293">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Ŷ₁ = MLP₁(Φ(x))      [treated outcome head]</w:t>
      </w:r>
    </w:p>
    <w:p w14:paraId="2D936DC6">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τ̂(x) = Ŷ₁ - Ŷ₀</w:t>
      </w:r>
    </w:p>
    <w:p w14:paraId="7E77BC57">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L_TARNet = MSE(T·Ŷ₁ + (1-T)·Ŷ₀, Y)</w:t>
      </w:r>
    </w:p>
    <w:p w14:paraId="6D88AA79">
      <w:pPr>
        <w:spacing w:after="160" w:line="320" w:lineRule="auto"/>
      </w:pPr>
      <w:r>
        <w:rPr>
          <w:rFonts w:ascii="Arial" w:hAnsi="Arial" w:eastAsia="Arial" w:cs="Arial"/>
          <w:b/>
          <w:bCs/>
          <w:color w:val="0D1B2A"/>
          <w:sz w:val="22"/>
          <w:szCs w:val="22"/>
        </w:rPr>
        <w:t xml:space="preserve">Architecture: </w:t>
      </w:r>
      <w:r>
        <w:rPr>
          <w:rFonts w:ascii="Arial" w:hAnsi="Arial" w:eastAsia="Arial" w:cs="Arial"/>
          <w:sz w:val="22"/>
          <w:szCs w:val="22"/>
        </w:rPr>
        <w:t>3-layer MLP (hidden=128, LayerNorm, ELU, Dropout=0.3) → two separate outcome heads. Identical capacity to CALF but no hierarchical encoding or attention.</w:t>
      </w:r>
    </w:p>
    <w:p w14:paraId="575F3566">
      <w:pPr>
        <w:pStyle w:val="4"/>
        <w:spacing w:before="240" w:after="120"/>
      </w:pPr>
      <w:r>
        <w:rPr>
          <w:rFonts w:ascii="Arial" w:hAnsi="Arial" w:eastAsia="Arial" w:cs="Arial"/>
          <w:b/>
          <w:bCs/>
          <w:color w:val="334155"/>
          <w:sz w:val="24"/>
          <w:szCs w:val="24"/>
        </w:rPr>
        <w:t>7. CFRNet (Johansson et al., 2016) — NEW</w:t>
      </w:r>
    </w:p>
    <w:p w14:paraId="08AEE62A">
      <w:pPr>
        <w:spacing w:after="160" w:line="320" w:lineRule="auto"/>
      </w:pPr>
      <w:r>
        <w:rPr>
          <w:rFonts w:ascii="Arial" w:hAnsi="Arial" w:eastAsia="Arial" w:cs="Arial"/>
          <w:sz w:val="22"/>
          <w:szCs w:val="22"/>
        </w:rPr>
        <w:t>TARNet plus IPM (Integral Probability Metric) regularisation that forces treated and control representations to be distributionally similar.</w:t>
      </w:r>
    </w:p>
    <w:p w14:paraId="3603BA62">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L_CFRNet = MSE(T·Ŷ₁ + (1-T)·Ŷ₀, Y) + α·IPM(Φ(treated), Φ(control))</w:t>
      </w:r>
    </w:p>
    <w:p w14:paraId="67FE1F18">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IPM via MMD-RBF: MMD(X,Y) = ||μ_X - μ_Y||²_H</w:t>
      </w:r>
    </w:p>
    <w:p w14:paraId="2A022B0D">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 xml:space="preserve">                           = E[k(x,x')] + E[k(y,y')] - 2E[k(x,y)]</w:t>
      </w:r>
    </w:p>
    <w:p w14:paraId="522076F3">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k(x,y) = exp(-||x-y||²/2σ²)   [RBF kernel, σ=1]</w:t>
      </w:r>
    </w:p>
    <w:p w14:paraId="74C71C1B">
      <w:pPr>
        <w:spacing w:after="160" w:line="320" w:lineRule="auto"/>
      </w:pPr>
      <w:r>
        <w:rPr>
          <w:rFonts w:ascii="Arial" w:hAnsi="Arial" w:eastAsia="Arial" w:cs="Arial"/>
          <w:sz w:val="22"/>
          <w:szCs w:val="22"/>
        </w:rPr>
        <w:t>The IPM term penalises distributional mismatch between treated and control in representation space, improving counterfactual extrapolation.</w:t>
      </w:r>
    </w:p>
    <w:p w14:paraId="70E91E0B">
      <w:pPr>
        <w:pStyle w:val="3"/>
        <w:spacing w:before="360" w:after="160"/>
      </w:pPr>
      <w:r>
        <w:rPr>
          <w:rFonts w:ascii="Arial" w:hAnsi="Arial" w:eastAsia="Arial" w:cs="Arial"/>
          <w:b/>
          <w:bCs/>
          <w:color w:val="0D9488"/>
          <w:sz w:val="28"/>
          <w:szCs w:val="28"/>
        </w:rPr>
        <w:t>Complete Results — All 7 Baselines + CALF</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79"/>
        <w:gridCol w:w="1775"/>
        <w:gridCol w:w="1341"/>
        <w:gridCol w:w="1335"/>
        <w:gridCol w:w="1743"/>
        <w:gridCol w:w="987"/>
      </w:tblGrid>
      <w:tr w14:paraId="14D2E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3D91C61C">
            <w:pPr>
              <w:spacing w:after="0"/>
            </w:pPr>
            <w:r>
              <w:rPr>
                <w:rFonts w:ascii="Arial" w:hAnsi="Arial" w:eastAsia="Arial" w:cs="Arial"/>
                <w:b/>
                <w:bCs/>
                <w:color w:val="FFFFFF"/>
                <w:sz w:val="20"/>
                <w:szCs w:val="20"/>
              </w:rPr>
              <w:t>Model</w:t>
            </w:r>
          </w:p>
        </w:tc>
        <w:tc>
          <w:tcPr>
            <w:tcW w:w="1872"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2767CD11">
            <w:pPr>
              <w:spacing w:after="0"/>
            </w:pPr>
            <w:r>
              <w:rPr>
                <w:rFonts w:ascii="Arial" w:hAnsi="Arial" w:eastAsia="Arial" w:cs="Arial"/>
                <w:b/>
                <w:bCs/>
                <w:color w:val="FFFFFF"/>
                <w:sz w:val="20"/>
                <w:szCs w:val="20"/>
              </w:rPr>
              <w:t>Type</w:t>
            </w:r>
          </w:p>
        </w:tc>
        <w:tc>
          <w:tcPr>
            <w:tcW w:w="1404"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0BB3A6AD">
            <w:pPr>
              <w:spacing w:after="0"/>
            </w:pPr>
            <w:r>
              <w:rPr>
                <w:rFonts w:ascii="Arial" w:hAnsi="Arial" w:eastAsia="Arial" w:cs="Arial"/>
                <w:b/>
                <w:bCs/>
                <w:color w:val="FFFFFF"/>
                <w:sz w:val="20"/>
                <w:szCs w:val="20"/>
              </w:rPr>
              <w:t>PEHE ↓</w:t>
            </w:r>
          </w:p>
        </w:tc>
        <w:tc>
          <w:tcPr>
            <w:tcW w:w="1404"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424A7D20">
            <w:pPr>
              <w:spacing w:after="0"/>
            </w:pPr>
            <w:r>
              <w:rPr>
                <w:rFonts w:ascii="Arial" w:hAnsi="Arial" w:eastAsia="Arial" w:cs="Arial"/>
                <w:b/>
                <w:bCs/>
                <w:color w:val="FFFFFF"/>
                <w:sz w:val="20"/>
                <w:szCs w:val="20"/>
              </w:rPr>
              <w:t>ATE Err ↓</w:t>
            </w:r>
          </w:p>
        </w:tc>
        <w:tc>
          <w:tcPr>
            <w:tcW w:w="1872"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2CD37B9C">
            <w:pPr>
              <w:spacing w:after="0"/>
            </w:pPr>
            <w:r>
              <w:rPr>
                <w:rFonts w:ascii="Arial" w:hAnsi="Arial" w:eastAsia="Arial" w:cs="Arial"/>
                <w:b/>
                <w:bCs/>
                <w:color w:val="FFFFFF"/>
                <w:sz w:val="20"/>
                <w:szCs w:val="20"/>
              </w:rPr>
              <w:t>ATE Pred</w:t>
            </w:r>
          </w:p>
        </w:tc>
        <w:tc>
          <w:tcPr>
            <w:tcW w:w="468"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06670D00">
            <w:pPr>
              <w:spacing w:after="0"/>
            </w:pPr>
            <w:r>
              <w:rPr>
                <w:rFonts w:ascii="Arial" w:hAnsi="Arial" w:eastAsia="Arial" w:cs="Arial"/>
                <w:b/>
                <w:bCs/>
                <w:color w:val="FFFFFF"/>
                <w:sz w:val="20"/>
                <w:szCs w:val="20"/>
              </w:rPr>
              <w:t>Δ vs CF</w:t>
            </w:r>
          </w:p>
        </w:tc>
      </w:tr>
      <w:tr w14:paraId="389A1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CA94980">
            <w:pPr>
              <w:spacing w:after="0"/>
            </w:pPr>
            <w:r>
              <w:rPr>
                <w:rFonts w:ascii="Arial" w:hAnsi="Arial" w:eastAsia="Arial" w:cs="Arial"/>
                <w:b w:val="0"/>
                <w:bCs w:val="0"/>
                <w:color w:val="0D1B2A"/>
                <w:sz w:val="20"/>
                <w:szCs w:val="20"/>
              </w:rPr>
              <w:t>T-Learner</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5B8EA6B">
            <w:pPr>
              <w:spacing w:after="0"/>
            </w:pPr>
            <w:r>
              <w:rPr>
                <w:rFonts w:ascii="Arial" w:hAnsi="Arial" w:eastAsia="Arial" w:cs="Arial"/>
                <w:b w:val="0"/>
                <w:bCs w:val="0"/>
                <w:color w:val="0D1B2A"/>
                <w:sz w:val="20"/>
                <w:szCs w:val="20"/>
              </w:rPr>
              <w:t>Classical</w:t>
            </w:r>
          </w:p>
        </w:tc>
        <w:tc>
          <w:tcPr>
            <w:tcW w:w="1404"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4619AD4">
            <w:pPr>
              <w:spacing w:after="0"/>
            </w:pPr>
            <w:r>
              <w:rPr>
                <w:rFonts w:ascii="Arial" w:hAnsi="Arial" w:eastAsia="Arial" w:cs="Arial"/>
                <w:b w:val="0"/>
                <w:bCs w:val="0"/>
                <w:color w:val="0D1B2A"/>
                <w:sz w:val="20"/>
                <w:szCs w:val="20"/>
              </w:rPr>
              <w:t>30,975</w:t>
            </w:r>
          </w:p>
        </w:tc>
        <w:tc>
          <w:tcPr>
            <w:tcW w:w="1404"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675797B">
            <w:pPr>
              <w:spacing w:after="0"/>
            </w:pPr>
            <w:r>
              <w:rPr>
                <w:rFonts w:ascii="Arial" w:hAnsi="Arial" w:eastAsia="Arial" w:cs="Arial"/>
                <w:b w:val="0"/>
                <w:bCs w:val="0"/>
                <w:color w:val="0D1B2A"/>
                <w:sz w:val="20"/>
                <w:szCs w:val="20"/>
              </w:rPr>
              <w:t>8.6%</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14E7517">
            <w:pPr>
              <w:spacing w:after="0"/>
            </w:pPr>
            <w:r>
              <w:rPr>
                <w:rFonts w:ascii="Arial" w:hAnsi="Arial" w:eastAsia="Arial" w:cs="Arial"/>
                <w:b w:val="0"/>
                <w:bCs w:val="0"/>
                <w:color w:val="0D1B2A"/>
                <w:sz w:val="20"/>
                <w:szCs w:val="20"/>
              </w:rPr>
              <w:t>$44,521</w:t>
            </w:r>
          </w:p>
        </w:tc>
        <w:tc>
          <w:tcPr>
            <w:tcW w:w="468"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4164616">
            <w:pPr>
              <w:spacing w:after="0"/>
            </w:pPr>
            <w:r>
              <w:rPr>
                <w:rFonts w:ascii="Arial" w:hAnsi="Arial" w:eastAsia="Arial" w:cs="Arial"/>
                <w:b w:val="0"/>
                <w:bCs w:val="0"/>
                <w:color w:val="0D1B2A"/>
                <w:sz w:val="20"/>
                <w:szCs w:val="20"/>
              </w:rPr>
              <w:t>+8.2k</w:t>
            </w:r>
          </w:p>
        </w:tc>
      </w:tr>
      <w:tr w14:paraId="5DACC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078490C">
            <w:pPr>
              <w:spacing w:after="0"/>
            </w:pPr>
            <w:r>
              <w:rPr>
                <w:rFonts w:ascii="Arial" w:hAnsi="Arial" w:eastAsia="Arial" w:cs="Arial"/>
                <w:b w:val="0"/>
                <w:bCs w:val="0"/>
                <w:color w:val="0D1B2A"/>
                <w:sz w:val="20"/>
                <w:szCs w:val="20"/>
              </w:rPr>
              <w:t>X-Learner</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1EED9C4">
            <w:pPr>
              <w:spacing w:after="0"/>
            </w:pPr>
            <w:r>
              <w:rPr>
                <w:rFonts w:ascii="Arial" w:hAnsi="Arial" w:eastAsia="Arial" w:cs="Arial"/>
                <w:b w:val="0"/>
                <w:bCs w:val="0"/>
                <w:color w:val="0D1B2A"/>
                <w:sz w:val="20"/>
                <w:szCs w:val="20"/>
              </w:rPr>
              <w:t>Classical</w:t>
            </w:r>
          </w:p>
        </w:tc>
        <w:tc>
          <w:tcPr>
            <w:tcW w:w="1404"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4F36E5A3">
            <w:pPr>
              <w:spacing w:after="0"/>
            </w:pPr>
            <w:r>
              <w:rPr>
                <w:rFonts w:ascii="Arial" w:hAnsi="Arial" w:eastAsia="Arial" w:cs="Arial"/>
                <w:b w:val="0"/>
                <w:bCs w:val="0"/>
                <w:color w:val="0D1B2A"/>
                <w:sz w:val="20"/>
                <w:szCs w:val="20"/>
              </w:rPr>
              <w:t>26,747</w:t>
            </w:r>
          </w:p>
        </w:tc>
        <w:tc>
          <w:tcPr>
            <w:tcW w:w="1404"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23F7B877">
            <w:pPr>
              <w:spacing w:after="0"/>
            </w:pPr>
            <w:r>
              <w:rPr>
                <w:rFonts w:ascii="Arial" w:hAnsi="Arial" w:eastAsia="Arial" w:cs="Arial"/>
                <w:b w:val="0"/>
                <w:bCs w:val="0"/>
                <w:color w:val="0D1B2A"/>
                <w:sz w:val="20"/>
                <w:szCs w:val="20"/>
              </w:rPr>
              <w:t>6.8%</w:t>
            </w:r>
          </w:p>
        </w:tc>
        <w:tc>
          <w:tcPr>
            <w:tcW w:w="187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01C8DA3B">
            <w:pPr>
              <w:spacing w:after="0"/>
            </w:pPr>
            <w:r>
              <w:rPr>
                <w:rFonts w:ascii="Arial" w:hAnsi="Arial" w:eastAsia="Arial" w:cs="Arial"/>
                <w:b w:val="0"/>
                <w:bCs w:val="0"/>
                <w:color w:val="0D1B2A"/>
                <w:sz w:val="20"/>
                <w:szCs w:val="20"/>
              </w:rPr>
              <w:t>$45,401</w:t>
            </w:r>
          </w:p>
        </w:tc>
        <w:tc>
          <w:tcPr>
            <w:tcW w:w="468"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30BA12EE">
            <w:pPr>
              <w:spacing w:after="0"/>
            </w:pPr>
            <w:r>
              <w:rPr>
                <w:rFonts w:ascii="Arial" w:hAnsi="Arial" w:eastAsia="Arial" w:cs="Arial"/>
                <w:b w:val="0"/>
                <w:bCs w:val="0"/>
                <w:color w:val="0D1B2A"/>
                <w:sz w:val="20"/>
                <w:szCs w:val="20"/>
              </w:rPr>
              <w:t>+3.9k</w:t>
            </w:r>
          </w:p>
        </w:tc>
      </w:tr>
      <w:tr w14:paraId="77070E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DBCE5EF">
            <w:pPr>
              <w:spacing w:after="0"/>
            </w:pPr>
            <w:r>
              <w:rPr>
                <w:rFonts w:ascii="Arial" w:hAnsi="Arial" w:eastAsia="Arial" w:cs="Arial"/>
                <w:b w:val="0"/>
                <w:bCs w:val="0"/>
                <w:color w:val="0D1B2A"/>
                <w:sz w:val="20"/>
                <w:szCs w:val="20"/>
              </w:rPr>
              <w:t>BART</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872CA65">
            <w:pPr>
              <w:spacing w:after="0"/>
            </w:pPr>
            <w:r>
              <w:rPr>
                <w:rFonts w:ascii="Arial" w:hAnsi="Arial" w:eastAsia="Arial" w:cs="Arial"/>
                <w:b w:val="0"/>
                <w:bCs w:val="0"/>
                <w:color w:val="0D1B2A"/>
                <w:sz w:val="20"/>
                <w:szCs w:val="20"/>
              </w:rPr>
              <w:t>Classical</w:t>
            </w:r>
          </w:p>
        </w:tc>
        <w:tc>
          <w:tcPr>
            <w:tcW w:w="1404"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5336133">
            <w:pPr>
              <w:spacing w:after="0"/>
            </w:pPr>
            <w:r>
              <w:rPr>
                <w:rFonts w:ascii="Arial" w:hAnsi="Arial" w:eastAsia="Arial" w:cs="Arial"/>
                <w:b w:val="0"/>
                <w:bCs w:val="0"/>
                <w:color w:val="0D1B2A"/>
                <w:sz w:val="20"/>
                <w:szCs w:val="20"/>
              </w:rPr>
              <w:t>25,705</w:t>
            </w:r>
          </w:p>
        </w:tc>
        <w:tc>
          <w:tcPr>
            <w:tcW w:w="1404"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B10A958">
            <w:pPr>
              <w:spacing w:after="0"/>
            </w:pPr>
            <w:r>
              <w:rPr>
                <w:rFonts w:ascii="Arial" w:hAnsi="Arial" w:eastAsia="Arial" w:cs="Arial"/>
                <w:b w:val="0"/>
                <w:bCs w:val="0"/>
                <w:color w:val="0D1B2A"/>
                <w:sz w:val="20"/>
                <w:szCs w:val="20"/>
              </w:rPr>
              <w:t>7.2%</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21E93F6">
            <w:pPr>
              <w:spacing w:after="0"/>
            </w:pPr>
            <w:r>
              <w:rPr>
                <w:rFonts w:ascii="Arial" w:hAnsi="Arial" w:eastAsia="Arial" w:cs="Arial"/>
                <w:b w:val="0"/>
                <w:bCs w:val="0"/>
                <w:color w:val="0D1B2A"/>
                <w:sz w:val="20"/>
                <w:szCs w:val="20"/>
              </w:rPr>
              <w:t>$45,211</w:t>
            </w:r>
          </w:p>
        </w:tc>
        <w:tc>
          <w:tcPr>
            <w:tcW w:w="468"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F25CBAE">
            <w:pPr>
              <w:spacing w:after="0"/>
            </w:pPr>
            <w:r>
              <w:rPr>
                <w:rFonts w:ascii="Arial" w:hAnsi="Arial" w:eastAsia="Arial" w:cs="Arial"/>
                <w:b w:val="0"/>
                <w:bCs w:val="0"/>
                <w:color w:val="0D1B2A"/>
                <w:sz w:val="20"/>
                <w:szCs w:val="20"/>
              </w:rPr>
              <w:t>+2.9k</w:t>
            </w:r>
          </w:p>
        </w:tc>
      </w:tr>
      <w:tr w14:paraId="5BD852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E2E8F0" w:sz="0" w:space="0"/>
              <w:left w:val="single" w:color="E2E8F0" w:sz="0" w:space="0"/>
              <w:bottom w:val="single" w:color="E2E8F0" w:sz="0" w:space="0"/>
              <w:right w:val="single" w:color="E2E8F0" w:sz="0" w:space="0"/>
            </w:tcBorders>
            <w:shd w:val="clear" w:color="auto" w:fill="FFF7ED"/>
            <w:tcMar>
              <w:top w:w="80" w:type="dxa"/>
              <w:left w:w="120" w:type="dxa"/>
              <w:bottom w:w="80" w:type="dxa"/>
              <w:right w:w="120" w:type="dxa"/>
            </w:tcMar>
          </w:tcPr>
          <w:p w14:paraId="69733E8E">
            <w:pPr>
              <w:spacing w:after="0"/>
            </w:pPr>
            <w:r>
              <w:rPr>
                <w:rFonts w:ascii="Arial" w:hAnsi="Arial" w:eastAsia="Arial" w:cs="Arial"/>
                <w:b/>
                <w:bCs/>
                <w:color w:val="B45309"/>
                <w:sz w:val="20"/>
                <w:szCs w:val="20"/>
              </w:rPr>
              <w:t>Causal Forest ★</w:t>
            </w:r>
          </w:p>
        </w:tc>
        <w:tc>
          <w:tcPr>
            <w:tcW w:w="1872" w:type="dxa"/>
            <w:tcBorders>
              <w:top w:val="single" w:color="E2E8F0" w:sz="0" w:space="0"/>
              <w:left w:val="single" w:color="E2E8F0" w:sz="0" w:space="0"/>
              <w:bottom w:val="single" w:color="E2E8F0" w:sz="0" w:space="0"/>
              <w:right w:val="single" w:color="E2E8F0" w:sz="0" w:space="0"/>
            </w:tcBorders>
            <w:shd w:val="clear" w:color="auto" w:fill="FFF7ED"/>
            <w:tcMar>
              <w:top w:w="80" w:type="dxa"/>
              <w:left w:w="120" w:type="dxa"/>
              <w:bottom w:w="80" w:type="dxa"/>
              <w:right w:w="120" w:type="dxa"/>
            </w:tcMar>
          </w:tcPr>
          <w:p w14:paraId="6A0E7FB7">
            <w:pPr>
              <w:spacing w:after="0"/>
            </w:pPr>
            <w:r>
              <w:rPr>
                <w:rFonts w:ascii="Arial" w:hAnsi="Arial" w:eastAsia="Arial" w:cs="Arial"/>
                <w:b w:val="0"/>
                <w:bCs w:val="0"/>
                <w:color w:val="0D1B2A"/>
                <w:sz w:val="20"/>
                <w:szCs w:val="20"/>
              </w:rPr>
              <w:t>Classical</w:t>
            </w:r>
          </w:p>
        </w:tc>
        <w:tc>
          <w:tcPr>
            <w:tcW w:w="1404" w:type="dxa"/>
            <w:tcBorders>
              <w:top w:val="single" w:color="E2E8F0" w:sz="0" w:space="0"/>
              <w:left w:val="single" w:color="E2E8F0" w:sz="0" w:space="0"/>
              <w:bottom w:val="single" w:color="E2E8F0" w:sz="0" w:space="0"/>
              <w:right w:val="single" w:color="E2E8F0" w:sz="0" w:space="0"/>
            </w:tcBorders>
            <w:shd w:val="clear" w:color="auto" w:fill="FFF7ED"/>
            <w:tcMar>
              <w:top w:w="80" w:type="dxa"/>
              <w:left w:w="120" w:type="dxa"/>
              <w:bottom w:w="80" w:type="dxa"/>
              <w:right w:w="120" w:type="dxa"/>
            </w:tcMar>
          </w:tcPr>
          <w:p w14:paraId="4DD82E6F">
            <w:pPr>
              <w:spacing w:after="0"/>
            </w:pPr>
            <w:r>
              <w:rPr>
                <w:rFonts w:ascii="Arial" w:hAnsi="Arial" w:eastAsia="Arial" w:cs="Arial"/>
                <w:b/>
                <w:bCs/>
                <w:color w:val="B45309"/>
                <w:sz w:val="20"/>
                <w:szCs w:val="20"/>
              </w:rPr>
              <w:t>22,805 ★</w:t>
            </w:r>
          </w:p>
        </w:tc>
        <w:tc>
          <w:tcPr>
            <w:tcW w:w="1404" w:type="dxa"/>
            <w:tcBorders>
              <w:top w:val="single" w:color="E2E8F0" w:sz="0" w:space="0"/>
              <w:left w:val="single" w:color="E2E8F0" w:sz="0" w:space="0"/>
              <w:bottom w:val="single" w:color="E2E8F0" w:sz="0" w:space="0"/>
              <w:right w:val="single" w:color="E2E8F0" w:sz="0" w:space="0"/>
            </w:tcBorders>
            <w:shd w:val="clear" w:color="auto" w:fill="FFF7ED"/>
            <w:tcMar>
              <w:top w:w="80" w:type="dxa"/>
              <w:left w:w="120" w:type="dxa"/>
              <w:bottom w:w="80" w:type="dxa"/>
              <w:right w:w="120" w:type="dxa"/>
            </w:tcMar>
          </w:tcPr>
          <w:p w14:paraId="4C76CEAB">
            <w:pPr>
              <w:spacing w:after="0"/>
            </w:pPr>
            <w:r>
              <w:rPr>
                <w:rFonts w:ascii="Arial" w:hAnsi="Arial" w:eastAsia="Arial" w:cs="Arial"/>
                <w:b/>
                <w:bCs/>
                <w:color w:val="B45309"/>
                <w:sz w:val="20"/>
                <w:szCs w:val="20"/>
              </w:rPr>
              <w:t>2.2% ★</w:t>
            </w:r>
          </w:p>
        </w:tc>
        <w:tc>
          <w:tcPr>
            <w:tcW w:w="1872" w:type="dxa"/>
            <w:tcBorders>
              <w:top w:val="single" w:color="E2E8F0" w:sz="0" w:space="0"/>
              <w:left w:val="single" w:color="E2E8F0" w:sz="0" w:space="0"/>
              <w:bottom w:val="single" w:color="E2E8F0" w:sz="0" w:space="0"/>
              <w:right w:val="single" w:color="E2E8F0" w:sz="0" w:space="0"/>
            </w:tcBorders>
            <w:shd w:val="clear" w:color="auto" w:fill="FFF7ED"/>
            <w:tcMar>
              <w:top w:w="80" w:type="dxa"/>
              <w:left w:w="120" w:type="dxa"/>
              <w:bottom w:w="80" w:type="dxa"/>
              <w:right w:w="120" w:type="dxa"/>
            </w:tcMar>
          </w:tcPr>
          <w:p w14:paraId="76555201">
            <w:pPr>
              <w:spacing w:after="0"/>
            </w:pPr>
            <w:r>
              <w:rPr>
                <w:rFonts w:ascii="Arial" w:hAnsi="Arial" w:eastAsia="Arial" w:cs="Arial"/>
                <w:b w:val="0"/>
                <w:bCs w:val="0"/>
                <w:color w:val="0D1B2A"/>
                <w:sz w:val="20"/>
                <w:szCs w:val="20"/>
              </w:rPr>
              <w:t>$47,645</w:t>
            </w:r>
          </w:p>
        </w:tc>
        <w:tc>
          <w:tcPr>
            <w:tcW w:w="468" w:type="dxa"/>
            <w:tcBorders>
              <w:top w:val="single" w:color="E2E8F0" w:sz="0" w:space="0"/>
              <w:left w:val="single" w:color="E2E8F0" w:sz="0" w:space="0"/>
              <w:bottom w:val="single" w:color="E2E8F0" w:sz="0" w:space="0"/>
              <w:right w:val="single" w:color="E2E8F0" w:sz="0" w:space="0"/>
            </w:tcBorders>
            <w:shd w:val="clear" w:color="auto" w:fill="FFF7ED"/>
            <w:tcMar>
              <w:top w:w="80" w:type="dxa"/>
              <w:left w:w="120" w:type="dxa"/>
              <w:bottom w:w="80" w:type="dxa"/>
              <w:right w:w="120" w:type="dxa"/>
            </w:tcMar>
          </w:tcPr>
          <w:p w14:paraId="3E8DE8B5">
            <w:pPr>
              <w:spacing w:after="0"/>
            </w:pPr>
            <w:r>
              <w:rPr>
                <w:rFonts w:ascii="Arial" w:hAnsi="Arial" w:eastAsia="Arial" w:cs="Arial"/>
                <w:b w:val="0"/>
                <w:bCs w:val="0"/>
                <w:color w:val="0D1B2A"/>
                <w:sz w:val="20"/>
                <w:szCs w:val="20"/>
              </w:rPr>
              <w:t>baseline</w:t>
            </w:r>
          </w:p>
        </w:tc>
      </w:tr>
      <w:tr w14:paraId="391A7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AB425D3">
            <w:pPr>
              <w:spacing w:after="0"/>
            </w:pPr>
            <w:r>
              <w:rPr>
                <w:rFonts w:ascii="Arial" w:hAnsi="Arial" w:eastAsia="Arial" w:cs="Arial"/>
                <w:b w:val="0"/>
                <w:bCs w:val="0"/>
                <w:color w:val="0D1B2A"/>
                <w:sz w:val="20"/>
                <w:szCs w:val="20"/>
              </w:rPr>
              <w:t>DragonNet</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C852DA2">
            <w:pPr>
              <w:spacing w:after="0"/>
            </w:pPr>
            <w:r>
              <w:rPr>
                <w:rFonts w:ascii="Arial" w:hAnsi="Arial" w:eastAsia="Arial" w:cs="Arial"/>
                <w:b w:val="0"/>
                <w:bCs w:val="0"/>
                <w:color w:val="0D1B2A"/>
                <w:sz w:val="20"/>
                <w:szCs w:val="20"/>
              </w:rPr>
              <w:t>Deep</w:t>
            </w:r>
          </w:p>
        </w:tc>
        <w:tc>
          <w:tcPr>
            <w:tcW w:w="1404"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611A1D17">
            <w:pPr>
              <w:spacing w:after="0"/>
            </w:pPr>
            <w:r>
              <w:rPr>
                <w:rFonts w:ascii="Arial" w:hAnsi="Arial" w:eastAsia="Arial" w:cs="Arial"/>
                <w:b w:val="0"/>
                <w:bCs w:val="0"/>
                <w:color w:val="0D1B2A"/>
                <w:sz w:val="20"/>
                <w:szCs w:val="20"/>
              </w:rPr>
              <w:t>181,149</w:t>
            </w:r>
          </w:p>
        </w:tc>
        <w:tc>
          <w:tcPr>
            <w:tcW w:w="1404"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7DDEE615">
            <w:pPr>
              <w:spacing w:after="0"/>
            </w:pPr>
            <w:r>
              <w:rPr>
                <w:rFonts w:ascii="Arial" w:hAnsi="Arial" w:eastAsia="Arial" w:cs="Arial"/>
                <w:b w:val="0"/>
                <w:bCs w:val="0"/>
                <w:color w:val="0D1B2A"/>
                <w:sz w:val="20"/>
                <w:szCs w:val="20"/>
              </w:rPr>
              <w:t>102.3%</w:t>
            </w:r>
          </w:p>
        </w:tc>
        <w:tc>
          <w:tcPr>
            <w:tcW w:w="1872"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53A4C0AE">
            <w:pPr>
              <w:spacing w:after="0"/>
            </w:pPr>
            <w:r>
              <w:rPr>
                <w:rFonts w:ascii="Arial" w:hAnsi="Arial" w:eastAsia="Arial" w:cs="Arial"/>
                <w:b w:val="0"/>
                <w:bCs w:val="0"/>
                <w:color w:val="0D1B2A"/>
                <w:sz w:val="20"/>
                <w:szCs w:val="20"/>
              </w:rPr>
              <w:t>$-1,119</w:t>
            </w:r>
          </w:p>
        </w:tc>
        <w:tc>
          <w:tcPr>
            <w:tcW w:w="468"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308998D7">
            <w:pPr>
              <w:spacing w:after="0"/>
            </w:pPr>
            <w:r>
              <w:rPr>
                <w:rFonts w:ascii="Arial" w:hAnsi="Arial" w:eastAsia="Arial" w:cs="Arial"/>
                <w:b w:val="0"/>
                <w:bCs w:val="0"/>
                <w:color w:val="0D1B2A"/>
                <w:sz w:val="20"/>
                <w:szCs w:val="20"/>
              </w:rPr>
              <w:t>+158k</w:t>
            </w:r>
          </w:p>
        </w:tc>
      </w:tr>
      <w:tr w14:paraId="739C6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9D26029">
            <w:pPr>
              <w:spacing w:after="0"/>
            </w:pPr>
            <w:r>
              <w:rPr>
                <w:rFonts w:ascii="Arial" w:hAnsi="Arial" w:eastAsia="Arial" w:cs="Arial"/>
                <w:b w:val="0"/>
                <w:bCs w:val="0"/>
                <w:color w:val="0D1B2A"/>
                <w:sz w:val="20"/>
                <w:szCs w:val="20"/>
              </w:rPr>
              <w:t>TARNet (new)</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70C5461">
            <w:pPr>
              <w:spacing w:after="0"/>
            </w:pPr>
            <w:r>
              <w:rPr>
                <w:rFonts w:ascii="Arial" w:hAnsi="Arial" w:eastAsia="Arial" w:cs="Arial"/>
                <w:b w:val="0"/>
                <w:bCs w:val="0"/>
                <w:color w:val="0D1B2A"/>
                <w:sz w:val="20"/>
                <w:szCs w:val="20"/>
              </w:rPr>
              <w:t>Deep ITE</w:t>
            </w:r>
          </w:p>
        </w:tc>
        <w:tc>
          <w:tcPr>
            <w:tcW w:w="1404"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50AF139">
            <w:pPr>
              <w:spacing w:after="0"/>
            </w:pPr>
            <w:r>
              <w:rPr>
                <w:rFonts w:ascii="Arial" w:hAnsi="Arial" w:eastAsia="Arial" w:cs="Arial"/>
                <w:b w:val="0"/>
                <w:bCs w:val="0"/>
                <w:color w:val="0D1B2A"/>
                <w:sz w:val="20"/>
                <w:szCs w:val="20"/>
              </w:rPr>
              <w:t>21,008</w:t>
            </w:r>
          </w:p>
        </w:tc>
        <w:tc>
          <w:tcPr>
            <w:tcW w:w="1404"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2F5A3B0">
            <w:pPr>
              <w:spacing w:after="0"/>
            </w:pPr>
            <w:r>
              <w:rPr>
                <w:rFonts w:ascii="Arial" w:hAnsi="Arial" w:eastAsia="Arial" w:cs="Arial"/>
                <w:b w:val="0"/>
                <w:bCs w:val="0"/>
                <w:color w:val="0D1B2A"/>
                <w:sz w:val="20"/>
                <w:szCs w:val="20"/>
              </w:rPr>
              <w:t>12.8%</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79CC970">
            <w:pPr>
              <w:spacing w:after="0"/>
            </w:pPr>
            <w:r>
              <w:rPr>
                <w:rFonts w:ascii="Arial" w:hAnsi="Arial" w:eastAsia="Arial" w:cs="Arial"/>
                <w:b w:val="0"/>
                <w:bCs w:val="0"/>
                <w:color w:val="0D1B2A"/>
                <w:sz w:val="20"/>
                <w:szCs w:val="20"/>
              </w:rPr>
              <w:t>$42,374</w:t>
            </w:r>
          </w:p>
        </w:tc>
        <w:tc>
          <w:tcPr>
            <w:tcW w:w="468"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7BD5F04">
            <w:pPr>
              <w:spacing w:after="0"/>
            </w:pPr>
            <w:r>
              <w:rPr>
                <w:rFonts w:ascii="Arial" w:hAnsi="Arial" w:eastAsia="Arial" w:cs="Arial"/>
                <w:b w:val="0"/>
                <w:bCs w:val="0"/>
                <w:color w:val="0D1B2A"/>
                <w:sz w:val="20"/>
                <w:szCs w:val="20"/>
              </w:rPr>
              <w:t>-1.8k</w:t>
            </w:r>
          </w:p>
        </w:tc>
      </w:tr>
      <w:tr w14:paraId="2B515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52EF4F9">
            <w:pPr>
              <w:spacing w:after="0"/>
            </w:pPr>
            <w:r>
              <w:rPr>
                <w:rFonts w:ascii="Arial" w:hAnsi="Arial" w:eastAsia="Arial" w:cs="Arial"/>
                <w:b w:val="0"/>
                <w:bCs w:val="0"/>
                <w:color w:val="0D1B2A"/>
                <w:sz w:val="20"/>
                <w:szCs w:val="20"/>
              </w:rPr>
              <w:t>CFRNet (new)</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7BD8343">
            <w:pPr>
              <w:spacing w:after="0"/>
            </w:pPr>
            <w:r>
              <w:rPr>
                <w:rFonts w:ascii="Arial" w:hAnsi="Arial" w:eastAsia="Arial" w:cs="Arial"/>
                <w:b w:val="0"/>
                <w:bCs w:val="0"/>
                <w:color w:val="0D1B2A"/>
                <w:sz w:val="20"/>
                <w:szCs w:val="20"/>
              </w:rPr>
              <w:t>Deep+IPM</w:t>
            </w:r>
          </w:p>
        </w:tc>
        <w:tc>
          <w:tcPr>
            <w:tcW w:w="1404"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47A3936F">
            <w:pPr>
              <w:spacing w:after="0"/>
            </w:pPr>
            <w:r>
              <w:rPr>
                <w:rFonts w:ascii="Arial" w:hAnsi="Arial" w:eastAsia="Arial" w:cs="Arial"/>
                <w:b w:val="0"/>
                <w:bCs w:val="0"/>
                <w:color w:val="0D1B2A"/>
                <w:sz w:val="20"/>
                <w:szCs w:val="20"/>
              </w:rPr>
              <w:t>21,492</w:t>
            </w:r>
          </w:p>
        </w:tc>
        <w:tc>
          <w:tcPr>
            <w:tcW w:w="1404"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2A87934E">
            <w:pPr>
              <w:spacing w:after="0"/>
            </w:pPr>
            <w:r>
              <w:rPr>
                <w:rFonts w:ascii="Arial" w:hAnsi="Arial" w:eastAsia="Arial" w:cs="Arial"/>
                <w:b w:val="0"/>
                <w:bCs w:val="0"/>
                <w:color w:val="0D1B2A"/>
                <w:sz w:val="20"/>
                <w:szCs w:val="20"/>
              </w:rPr>
              <w:t>17.3%</w:t>
            </w:r>
          </w:p>
        </w:tc>
        <w:tc>
          <w:tcPr>
            <w:tcW w:w="187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3D3463EB">
            <w:pPr>
              <w:spacing w:after="0"/>
            </w:pPr>
            <w:r>
              <w:rPr>
                <w:rFonts w:ascii="Arial" w:hAnsi="Arial" w:eastAsia="Arial" w:cs="Arial"/>
                <w:b w:val="0"/>
                <w:bCs w:val="0"/>
                <w:color w:val="0D1B2A"/>
                <w:sz w:val="20"/>
                <w:szCs w:val="20"/>
              </w:rPr>
              <w:t>$40,283</w:t>
            </w:r>
          </w:p>
        </w:tc>
        <w:tc>
          <w:tcPr>
            <w:tcW w:w="468"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6746F647">
            <w:pPr>
              <w:spacing w:after="0"/>
            </w:pPr>
            <w:r>
              <w:rPr>
                <w:rFonts w:ascii="Arial" w:hAnsi="Arial" w:eastAsia="Arial" w:cs="Arial"/>
                <w:b w:val="0"/>
                <w:bCs w:val="0"/>
                <w:color w:val="0D1B2A"/>
                <w:sz w:val="20"/>
                <w:szCs w:val="20"/>
              </w:rPr>
              <w:t>-1.3k</w:t>
            </w:r>
          </w:p>
        </w:tc>
      </w:tr>
      <w:tr w14:paraId="37D55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2700A22E">
            <w:pPr>
              <w:spacing w:after="0"/>
            </w:pPr>
            <w:r>
              <w:rPr>
                <w:rFonts w:ascii="Arial" w:hAnsi="Arial" w:eastAsia="Arial" w:cs="Arial"/>
                <w:b/>
                <w:bCs/>
                <w:color w:val="065F46"/>
                <w:sz w:val="20"/>
                <w:szCs w:val="20"/>
              </w:rPr>
              <w:t>CALF (ours) ⭐</w:t>
            </w:r>
          </w:p>
        </w:tc>
        <w:tc>
          <w:tcPr>
            <w:tcW w:w="1872"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093B14C3">
            <w:pPr>
              <w:spacing w:after="0"/>
            </w:pPr>
            <w:r>
              <w:rPr>
                <w:rFonts w:ascii="Arial" w:hAnsi="Arial" w:eastAsia="Arial" w:cs="Arial"/>
                <w:b w:val="0"/>
                <w:bCs w:val="0"/>
                <w:color w:val="0D1B2A"/>
                <w:sz w:val="20"/>
                <w:szCs w:val="20"/>
              </w:rPr>
              <w:t>Deep tree</w:t>
            </w:r>
          </w:p>
        </w:tc>
        <w:tc>
          <w:tcPr>
            <w:tcW w:w="1404"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7919CF2D">
            <w:pPr>
              <w:spacing w:after="0"/>
            </w:pPr>
            <w:r>
              <w:rPr>
                <w:rFonts w:ascii="Arial" w:hAnsi="Arial" w:eastAsia="Arial" w:cs="Arial"/>
                <w:b/>
                <w:bCs/>
                <w:color w:val="065F46"/>
                <w:sz w:val="20"/>
                <w:szCs w:val="20"/>
              </w:rPr>
              <w:t>20,119 ⭐</w:t>
            </w:r>
          </w:p>
        </w:tc>
        <w:tc>
          <w:tcPr>
            <w:tcW w:w="1404"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559AB3FF">
            <w:pPr>
              <w:spacing w:after="0"/>
            </w:pPr>
            <w:r>
              <w:rPr>
                <w:rFonts w:ascii="Arial" w:hAnsi="Arial" w:eastAsia="Arial" w:cs="Arial"/>
                <w:b w:val="0"/>
                <w:bCs w:val="0"/>
                <w:color w:val="0D1B2A"/>
                <w:sz w:val="20"/>
                <w:szCs w:val="20"/>
              </w:rPr>
              <w:t>4.4%</w:t>
            </w:r>
          </w:p>
        </w:tc>
        <w:tc>
          <w:tcPr>
            <w:tcW w:w="1872"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4DF0675B">
            <w:pPr>
              <w:spacing w:after="0"/>
            </w:pPr>
            <w:r>
              <w:rPr>
                <w:rFonts w:ascii="Arial" w:hAnsi="Arial" w:eastAsia="Arial" w:cs="Arial"/>
                <w:b w:val="0"/>
                <w:bCs w:val="0"/>
                <w:color w:val="0D1B2A"/>
                <w:sz w:val="20"/>
                <w:szCs w:val="20"/>
              </w:rPr>
              <w:t>$50,858</w:t>
            </w:r>
          </w:p>
        </w:tc>
        <w:tc>
          <w:tcPr>
            <w:tcW w:w="468"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79AFBE35">
            <w:pPr>
              <w:spacing w:after="0"/>
            </w:pPr>
            <w:r>
              <w:rPr>
                <w:rFonts w:ascii="Arial" w:hAnsi="Arial" w:eastAsia="Arial" w:cs="Arial"/>
                <w:b/>
                <w:bCs/>
                <w:color w:val="065F46"/>
                <w:sz w:val="20"/>
                <w:szCs w:val="20"/>
              </w:rPr>
              <w:t>-2.7k</w:t>
            </w:r>
          </w:p>
        </w:tc>
      </w:tr>
      <w:tr w14:paraId="642B3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BC51EEA">
            <w:pPr>
              <w:spacing w:after="0"/>
            </w:pPr>
            <w:r>
              <w:rPr>
                <w:rFonts w:ascii="Arial" w:hAnsi="Arial" w:eastAsia="Arial" w:cs="Arial"/>
                <w:b w:val="0"/>
                <w:bCs w:val="0"/>
                <w:color w:val="0D1B2A"/>
                <w:sz w:val="20"/>
                <w:szCs w:val="20"/>
              </w:rPr>
              <w:t>True ATE</w:t>
            </w:r>
          </w:p>
        </w:tc>
        <w:tc>
          <w:tcPr>
            <w:tcW w:w="187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344149C9">
            <w:pPr>
              <w:spacing w:after="0"/>
            </w:pPr>
            <w:r>
              <w:rPr>
                <w:rFonts w:ascii="Arial" w:hAnsi="Arial" w:eastAsia="Arial" w:cs="Arial"/>
                <w:b w:val="0"/>
                <w:bCs w:val="0"/>
                <w:color w:val="0D1B2A"/>
                <w:sz w:val="20"/>
                <w:szCs w:val="20"/>
              </w:rPr>
              <w:t>—</w:t>
            </w:r>
          </w:p>
        </w:tc>
        <w:tc>
          <w:tcPr>
            <w:tcW w:w="1404"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1DEE673D">
            <w:pPr>
              <w:spacing w:after="0"/>
            </w:pPr>
            <w:r>
              <w:rPr>
                <w:rFonts w:ascii="Arial" w:hAnsi="Arial" w:eastAsia="Arial" w:cs="Arial"/>
                <w:b w:val="0"/>
                <w:bCs w:val="0"/>
                <w:color w:val="0D1B2A"/>
                <w:sz w:val="20"/>
                <w:szCs w:val="20"/>
              </w:rPr>
              <w:t>—</w:t>
            </w:r>
          </w:p>
        </w:tc>
        <w:tc>
          <w:tcPr>
            <w:tcW w:w="1404"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199CF020">
            <w:pPr>
              <w:spacing w:after="0"/>
            </w:pPr>
            <w:r>
              <w:rPr>
                <w:rFonts w:ascii="Arial" w:hAnsi="Arial" w:eastAsia="Arial" w:cs="Arial"/>
                <w:b w:val="0"/>
                <w:bCs w:val="0"/>
                <w:color w:val="0D1B2A"/>
                <w:sz w:val="20"/>
                <w:szCs w:val="20"/>
              </w:rPr>
              <w:t>0%</w:t>
            </w:r>
          </w:p>
        </w:tc>
        <w:tc>
          <w:tcPr>
            <w:tcW w:w="187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44719D08">
            <w:pPr>
              <w:spacing w:after="0"/>
            </w:pPr>
            <w:r>
              <w:rPr>
                <w:rFonts w:ascii="Arial" w:hAnsi="Arial" w:eastAsia="Arial" w:cs="Arial"/>
                <w:b w:val="0"/>
                <w:bCs w:val="0"/>
                <w:color w:val="0D1B2A"/>
                <w:sz w:val="20"/>
                <w:szCs w:val="20"/>
              </w:rPr>
              <w:t>$48,734</w:t>
            </w:r>
          </w:p>
        </w:tc>
        <w:tc>
          <w:tcPr>
            <w:tcW w:w="468"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292B94D9">
            <w:pPr>
              <w:spacing w:after="0"/>
            </w:pPr>
            <w:r>
              <w:rPr>
                <w:rFonts w:ascii="Arial" w:hAnsi="Arial" w:eastAsia="Arial" w:cs="Arial"/>
                <w:b w:val="0"/>
                <w:bCs w:val="0"/>
                <w:color w:val="0D1B2A"/>
                <w:sz w:val="20"/>
                <w:szCs w:val="20"/>
              </w:rPr>
              <w:t>—</w:t>
            </w:r>
          </w:p>
        </w:tc>
      </w:tr>
    </w:tbl>
    <w:p w14:paraId="4DF77390">
      <w:pPr>
        <w:spacing w:after="160" w:line="320" w:lineRule="auto"/>
      </w:pPr>
    </w:p>
    <w:p w14:paraId="068A96B0">
      <w:pPr>
        <w:pBdr>
          <w:top w:val="single" w:color="065F46" w:sz="4" w:space="0"/>
          <w:left w:val="single" w:color="065F46" w:sz="12" w:space="0"/>
          <w:bottom w:val="single" w:color="065F46" w:sz="4" w:space="0"/>
          <w:right w:val="single" w:color="065F46" w:sz="4" w:space="0"/>
        </w:pBdr>
        <w:shd w:val="clear" w:fill="F0FDF4"/>
        <w:spacing w:before="160" w:after="160"/>
        <w:ind w:left="360" w:right="360"/>
      </w:pPr>
      <w:r>
        <w:rPr>
          <w:rFonts w:ascii="Arial" w:hAnsi="Arial" w:eastAsia="Arial" w:cs="Arial"/>
          <w:sz w:val="22"/>
          <w:szCs w:val="22"/>
        </w:rPr>
        <w:t>Critical Result: CALF (PEHE=20,119) beats TARNet (21,008) by 4.2% and CFRNet (21,492) by 6.4%. Both TARNet and CFRNet use flat shared representations. CALF's tree-structured encoder with cross-layer causal attention demonstrably improves over generic deep ITE estimators. This directly answers the NeurIPS reviewer question about deep baseline comparisons.</w:t>
      </w:r>
    </w:p>
    <w:p w14:paraId="348A5280">
      <w:pPr>
        <w:pBdr>
          <w:top w:val="single" w:color="991B1B" w:sz="4" w:space="0"/>
          <w:left w:val="single" w:color="991B1B" w:sz="12" w:space="0"/>
          <w:bottom w:val="single" w:color="991B1B" w:sz="4" w:space="0"/>
          <w:right w:val="single" w:color="991B1B" w:sz="4" w:space="0"/>
        </w:pBdr>
        <w:shd w:val="clear" w:fill="FEF2F2"/>
        <w:spacing w:before="160" w:after="160"/>
        <w:ind w:left="360" w:right="360"/>
      </w:pPr>
      <w:r>
        <w:rPr>
          <w:rFonts w:ascii="Arial" w:hAnsi="Arial" w:eastAsia="Arial" w:cs="Arial"/>
          <w:sz w:val="22"/>
          <w:szCs w:val="22"/>
        </w:rPr>
        <w:t>Why DragonNet fails: Deep propensity models struggle on structured tabular ITE tasks. The propensity head competes with outcome heads during training, creating instability on tabular data. Documented by Curth &amp; van der Schaar (2021). CALF's tree architecture avoids this by encoding structure explicitly rather than learning it through propensity weighting.</w:t>
      </w:r>
    </w:p>
    <w:p w14:paraId="1E3FDE5E">
      <w:r>
        <w:br w:type="page"/>
      </w:r>
    </w:p>
    <w:p w14:paraId="2C708F55">
      <w:pPr>
        <w:pStyle w:val="2"/>
        <w:pBdr>
          <w:bottom w:val="single" w:color="0D9488" w:sz="6" w:space="4"/>
        </w:pBdr>
        <w:spacing w:before="480" w:after="200"/>
      </w:pPr>
      <w:r>
        <w:rPr>
          <w:rFonts w:ascii="Arial" w:hAnsi="Arial" w:eastAsia="Arial" w:cs="Arial"/>
          <w:b/>
          <w:bCs/>
          <w:color w:val="0D1B2A"/>
          <w:sz w:val="36"/>
          <w:szCs w:val="36"/>
        </w:rPr>
        <w:t>Phase 4 — CALF GNN Model (Core Contribution)</w:t>
      </w:r>
    </w:p>
    <w:p w14:paraId="3073B1FD">
      <w:pPr>
        <w:pStyle w:val="3"/>
        <w:spacing w:before="360" w:after="160"/>
      </w:pPr>
      <w:r>
        <w:rPr>
          <w:rFonts w:ascii="Arial" w:hAnsi="Arial" w:eastAsia="Arial" w:cs="Arial"/>
          <w:b/>
          <w:bCs/>
          <w:color w:val="0D9488"/>
          <w:sz w:val="28"/>
          <w:szCs w:val="28"/>
        </w:rPr>
        <w:t>What We Did</w:t>
      </w:r>
    </w:p>
    <w:p w14:paraId="69380327">
      <w:pPr>
        <w:spacing w:after="160" w:line="320" w:lineRule="auto"/>
      </w:pPr>
      <w:r>
        <w:rPr>
          <w:rFonts w:ascii="Arial" w:hAnsi="Arial" w:eastAsia="Arial" w:cs="Arial"/>
          <w:sz w:val="22"/>
          <w:szCs w:val="22"/>
        </w:rPr>
        <w:t>Designed and trained CALF — a tree-structured encoder with cross-layer causal attention and doubly-robust outcome heads. This is the primary architectural contribution of the paper.</w:t>
      </w:r>
    </w:p>
    <w:p w14:paraId="54CFC4F1">
      <w:pPr>
        <w:pStyle w:val="3"/>
        <w:spacing w:before="360" w:after="160"/>
      </w:pPr>
      <w:r>
        <w:rPr>
          <w:rFonts w:ascii="Arial" w:hAnsi="Arial" w:eastAsia="Arial" w:cs="Arial"/>
          <w:b/>
          <w:bCs/>
          <w:color w:val="0D9488"/>
          <w:sz w:val="28"/>
          <w:szCs w:val="28"/>
        </w:rPr>
        <w:t>Real-World Intuition — Why Architecture Matches Reality</w:t>
      </w:r>
    </w:p>
    <w:p w14:paraId="4606E6FC">
      <w:pPr>
        <w:spacing w:after="160" w:line="320" w:lineRule="auto"/>
      </w:pPr>
      <w:r>
        <w:rPr>
          <w:rFonts w:ascii="Arial" w:hAnsi="Arial" w:eastAsia="Arial" w:cs="Arial"/>
          <w:sz w:val="22"/>
          <w:szCs w:val="22"/>
        </w:rPr>
        <w:t>Consider how a school counsellor actually thinks about a student's college prospects:</w:t>
      </w:r>
    </w:p>
    <w:p w14:paraId="0D74BC6D">
      <w:pPr>
        <w:pStyle w:val="17"/>
        <w:numPr>
          <w:ilvl w:val="0"/>
          <w:numId w:val="1"/>
        </w:numPr>
        <w:spacing w:after="100"/>
      </w:pPr>
      <w:r>
        <w:rPr>
          <w:rFonts w:ascii="Arial" w:hAnsi="Arial" w:eastAsia="Arial" w:cs="Arial"/>
          <w:sz w:val="22"/>
          <w:szCs w:val="22"/>
        </w:rPr>
        <w:t>Step 1 — Understand the family background (Roots): What is the income level? Are parents educated? Single parent?</w:t>
      </w:r>
    </w:p>
    <w:p w14:paraId="731D8A4D">
      <w:pPr>
        <w:pStyle w:val="17"/>
        <w:numPr>
          <w:ilvl w:val="0"/>
          <w:numId w:val="1"/>
        </w:numPr>
        <w:spacing w:after="100"/>
      </w:pPr>
      <w:r>
        <w:rPr>
          <w:rFonts w:ascii="Arial" w:hAnsi="Arial" w:eastAsia="Arial" w:cs="Arial"/>
          <w:sz w:val="22"/>
          <w:szCs w:val="22"/>
        </w:rPr>
        <w:t>Step 2 — Understand the school environment (Soil): Is this a quality school? What is the teacher ratio? Public or private?</w:t>
      </w:r>
    </w:p>
    <w:p w14:paraId="283F0AB4">
      <w:pPr>
        <w:pStyle w:val="17"/>
        <w:numPr>
          <w:ilvl w:val="0"/>
          <w:numId w:val="1"/>
        </w:numPr>
        <w:spacing w:after="100"/>
      </w:pPr>
      <w:r>
        <w:rPr>
          <w:rFonts w:ascii="Arial" w:hAnsi="Arial" w:eastAsia="Arial" w:cs="Arial"/>
          <w:sz w:val="22"/>
          <w:szCs w:val="22"/>
        </w:rPr>
        <w:t>Step 3 — Understand the peer group (Leaves): Are this student's friends going to college? What is the social support?</w:t>
      </w:r>
    </w:p>
    <w:p w14:paraId="5AFAFC39">
      <w:pPr>
        <w:pStyle w:val="17"/>
        <w:numPr>
          <w:ilvl w:val="0"/>
          <w:numId w:val="1"/>
        </w:numPr>
        <w:spacing w:after="100"/>
      </w:pPr>
      <w:r>
        <w:rPr>
          <w:rFonts w:ascii="Arial" w:hAnsi="Arial" w:eastAsia="Arial" w:cs="Arial"/>
          <w:sz w:val="22"/>
          <w:szCs w:val="22"/>
        </w:rPr>
        <w:t>Step 4 — Understand the choices made (Choice): Did this student attend college? Did they seek training?</w:t>
      </w:r>
    </w:p>
    <w:p w14:paraId="75BF6BE8">
      <w:pPr>
        <w:spacing w:after="160" w:line="320" w:lineRule="auto"/>
      </w:pPr>
      <w:r>
        <w:rPr>
          <w:rFonts w:ascii="Arial" w:hAnsi="Arial" w:eastAsia="Arial" w:cs="Arial"/>
          <w:sz w:val="22"/>
          <w:szCs w:val="22"/>
        </w:rPr>
        <w:t>CALF's architecture mirrors exactly this sequential reasoning — each layer informs the next in causal order. A flat MLP would mix all of this simultaneously, losing the sequential structure.</w:t>
      </w:r>
    </w:p>
    <w:p w14:paraId="1AEA5BB7">
      <w:pPr>
        <w:pStyle w:val="3"/>
        <w:spacing w:before="360" w:after="160"/>
      </w:pPr>
      <w:r>
        <w:rPr>
          <w:rFonts w:ascii="Arial" w:hAnsi="Arial" w:eastAsia="Arial" w:cs="Arial"/>
          <w:b/>
          <w:bCs/>
          <w:color w:val="0D9488"/>
          <w:sz w:val="28"/>
          <w:szCs w:val="28"/>
        </w:rPr>
        <w:t>Mathematical Background — Full Architecture</w:t>
      </w:r>
    </w:p>
    <w:p w14:paraId="34A59ABD">
      <w:pPr>
        <w:pStyle w:val="4"/>
        <w:spacing w:before="240" w:after="120"/>
      </w:pPr>
      <w:r>
        <w:rPr>
          <w:rFonts w:ascii="Arial" w:hAnsi="Arial" w:eastAsia="Arial" w:cs="Arial"/>
          <w:b/>
          <w:bCs/>
          <w:color w:val="334155"/>
          <w:sz w:val="24"/>
          <w:szCs w:val="24"/>
        </w:rPr>
        <w:t>Tree-Structured Encoders</w:t>
      </w:r>
    </w:p>
    <w:p w14:paraId="06933E77">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r = Encoder_Roots(X_Roots)   ∈ ℝ^128   [Roots encoder]</w:t>
      </w:r>
    </w:p>
    <w:p w14:paraId="6F734900">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s = Encoder_Soil(X_Soil)     ∈ ℝ^128   [Soil encoder]</w:t>
      </w:r>
    </w:p>
    <w:p w14:paraId="6ECC323C">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l = Encoder_Leaves(X_Leaves) ∈ ℝ^128   [Leaves encoder]</w:t>
      </w:r>
    </w:p>
    <w:p w14:paraId="28224598">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c = Encoder_Choice(X_Choice) ∈ ℝ^128   [Choice encoder]</w:t>
      </w:r>
    </w:p>
    <w:p w14:paraId="6118BB31">
      <w:pPr>
        <w:spacing w:after="160" w:line="320" w:lineRule="auto"/>
      </w:pPr>
      <w:r>
        <w:rPr>
          <w:rFonts w:ascii="Arial" w:hAnsi="Arial" w:eastAsia="Arial" w:cs="Arial"/>
          <w:sz w:val="22"/>
          <w:szCs w:val="22"/>
        </w:rPr>
        <w:t>Each encoder: Linear(d_in, 128) → LayerNorm → ELU → Dropout(0.3) → Linear(128, 128) → LayerNorm → ELU</w:t>
      </w:r>
    </w:p>
    <w:p w14:paraId="394D9E14">
      <w:pPr>
        <w:pStyle w:val="4"/>
        <w:spacing w:before="240" w:after="120"/>
      </w:pPr>
      <w:r>
        <w:rPr>
          <w:rFonts w:ascii="Arial" w:hAnsi="Arial" w:eastAsia="Arial" w:cs="Arial"/>
          <w:b/>
          <w:bCs/>
          <w:color w:val="334155"/>
          <w:sz w:val="24"/>
          <w:szCs w:val="24"/>
        </w:rPr>
        <w:t>Cross-Layer Causal Attention</w:t>
      </w:r>
    </w:p>
    <w:p w14:paraId="616A44DB">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Multi-head attention: MHA(Q,K,V) = softmax(QK^T/√32) · V   [H/4=32 per head]</w:t>
      </w:r>
    </w:p>
    <w:p w14:paraId="631F6ADB">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Roots → Soil:    s' = s + MHA(Q=s, K=r, V=r)   [Soil attends to Roots]</w:t>
      </w:r>
    </w:p>
    <w:p w14:paraId="65B6FFD4">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Soil → Leaves:   l' = l + MHA(Q=l, K=s',V=s')  [Leaves attends to Soil]</w:t>
      </w:r>
    </w:p>
    <w:p w14:paraId="31F87197">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Leaves → Choice: c' = c + MHA(Q=c, K=l',V=l')  [Choice attends to Leaves]</w:t>
      </w:r>
    </w:p>
    <w:p w14:paraId="3CAE3604">
      <w:pPr>
        <w:spacing w:after="160" w:line="320" w:lineRule="auto"/>
      </w:pPr>
      <w:r>
        <w:rPr>
          <w:rFonts w:ascii="Arial" w:hAnsi="Arial" w:eastAsia="Arial" w:cs="Arial"/>
          <w:sz w:val="22"/>
          <w:szCs w:val="22"/>
        </w:rPr>
        <w:t>Residual connections (+) preserve each layer's own information while integrating parent-layer context.</w:t>
      </w:r>
    </w:p>
    <w:p w14:paraId="128BE67D">
      <w:pPr>
        <w:pStyle w:val="4"/>
        <w:spacing w:before="240" w:after="120"/>
      </w:pPr>
      <w:r>
        <w:rPr>
          <w:rFonts w:ascii="Arial" w:hAnsi="Arial" w:eastAsia="Arial" w:cs="Arial"/>
          <w:b/>
          <w:bCs/>
          <w:color w:val="334155"/>
          <w:sz w:val="24"/>
          <w:szCs w:val="24"/>
        </w:rPr>
        <w:t>Fusion and Output Heads</w:t>
      </w:r>
    </w:p>
    <w:p w14:paraId="51CC9FC2">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fused = Linear(512→256→128)(concat[r, s', l', c'])  [fusion layer]</w:t>
      </w:r>
    </w:p>
    <w:p w14:paraId="23AF0D32">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ê(x) = Sigmoid(Linear(128→64→1)(fused))             [propensity head]</w:t>
      </w:r>
    </w:p>
    <w:p w14:paraId="0C231B29">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Ŷ₀   = Linear(128→128→64→1)(fused)                 [control outcome]</w:t>
      </w:r>
    </w:p>
    <w:p w14:paraId="7AAE90B7">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Ŷ₁   = Linear(128→128→64→1)(fused)                 [treated outcome]</w:t>
      </w:r>
    </w:p>
    <w:p w14:paraId="40F4479F">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ITE_i = Ŷ₁ - Ŷ₀                                    [individual effect]</w:t>
      </w:r>
    </w:p>
    <w:p w14:paraId="3E841BD6">
      <w:pPr>
        <w:pStyle w:val="4"/>
        <w:spacing w:before="240" w:after="120"/>
      </w:pPr>
      <w:r>
        <w:rPr>
          <w:rFonts w:ascii="Arial" w:hAnsi="Arial" w:eastAsia="Arial" w:cs="Arial"/>
          <w:b/>
          <w:bCs/>
          <w:color w:val="334155"/>
          <w:sz w:val="24"/>
          <w:szCs w:val="24"/>
        </w:rPr>
        <w:t>Composite Loss Function</w:t>
      </w:r>
    </w:p>
    <w:p w14:paraId="0B0EB832">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L = L_outcome + α·L_propensity + β·L_ITE_reg</w:t>
      </w:r>
    </w:p>
    <w:p w14:paraId="5B7AF233">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L_outcome    = MSE(T·Ŷ₁ + (1-T)·Ŷ₀,  Y)        [factual MSE]</w:t>
      </w:r>
    </w:p>
    <w:p w14:paraId="082A1D8E">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L_propensity = BCE(ê(X), T)                      [propensity BCE]</w:t>
      </w:r>
    </w:p>
    <w:p w14:paraId="31555831">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L_ITE_reg    = E[ReLU(-(Ŷ₁-Ŷ₀))]               [positivity constraint]</w:t>
      </w:r>
    </w:p>
    <w:p w14:paraId="435B95CE">
      <w:pPr>
        <w:spacing w:after="160" w:line="320" w:lineRule="auto"/>
      </w:pPr>
      <w:r>
        <w:rPr>
          <w:rFonts w:ascii="Arial" w:hAnsi="Arial" w:eastAsia="Arial" w:cs="Arial"/>
          <w:b/>
          <w:bCs/>
          <w:color w:val="0D1B2A"/>
          <w:sz w:val="22"/>
          <w:szCs w:val="22"/>
        </w:rPr>
        <w:t xml:space="preserve">Why the ITE regularisation? </w:t>
      </w:r>
      <w:r>
        <w:rPr>
          <w:rFonts w:ascii="Arial" w:hAnsi="Arial" w:eastAsia="Arial" w:cs="Arial"/>
          <w:sz w:val="22"/>
          <w:szCs w:val="22"/>
        </w:rPr>
        <w:t>Labour economics literature consistently finds college has non-negative average income effect. The ReLU penalty softly encodes this prior by penalising negative ITE predictions, introducing slight upward ATE bias as a deliberate tradeoff (see Phase 3 Fix 4).</w:t>
      </w:r>
    </w:p>
    <w:p w14:paraId="56EE0241">
      <w:pPr>
        <w:pStyle w:val="3"/>
        <w:spacing w:before="360" w:after="160"/>
      </w:pPr>
      <w:r>
        <w:rPr>
          <w:rFonts w:ascii="Arial" w:hAnsi="Arial" w:eastAsia="Arial" w:cs="Arial"/>
          <w:b/>
          <w:bCs/>
          <w:color w:val="0D9488"/>
          <w:sz w:val="28"/>
          <w:szCs w:val="28"/>
        </w:rPr>
        <w:t>Training Details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5B128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765609CA">
            <w:pPr>
              <w:spacing w:after="0"/>
            </w:pPr>
            <w:r>
              <w:rPr>
                <w:rFonts w:ascii="Arial" w:hAnsi="Arial" w:eastAsia="Arial" w:cs="Arial"/>
                <w:b/>
                <w:bCs/>
                <w:color w:val="FFFFFF"/>
                <w:sz w:val="20"/>
                <w:szCs w:val="20"/>
              </w:rPr>
              <w:t>Hyperparameter</w:t>
            </w:r>
          </w:p>
        </w:tc>
        <w:tc>
          <w:tcPr>
            <w:tcW w:w="312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0CF53244">
            <w:pPr>
              <w:spacing w:after="0"/>
            </w:pPr>
            <w:r>
              <w:rPr>
                <w:rFonts w:ascii="Arial" w:hAnsi="Arial" w:eastAsia="Arial" w:cs="Arial"/>
                <w:b/>
                <w:bCs/>
                <w:color w:val="FFFFFF"/>
                <w:sz w:val="20"/>
                <w:szCs w:val="20"/>
              </w:rPr>
              <w:t>Value</w:t>
            </w:r>
          </w:p>
        </w:tc>
        <w:tc>
          <w:tcPr>
            <w:tcW w:w="312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05A7604B">
            <w:pPr>
              <w:spacing w:after="0"/>
            </w:pPr>
            <w:r>
              <w:rPr>
                <w:rFonts w:ascii="Arial" w:hAnsi="Arial" w:eastAsia="Arial" w:cs="Arial"/>
                <w:b/>
                <w:bCs/>
                <w:color w:val="FFFFFF"/>
                <w:sz w:val="20"/>
                <w:szCs w:val="20"/>
              </w:rPr>
              <w:t>Justification</w:t>
            </w:r>
          </w:p>
        </w:tc>
      </w:tr>
      <w:tr w14:paraId="2F3E5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34BBCD9">
            <w:pPr>
              <w:spacing w:after="0"/>
            </w:pPr>
            <w:r>
              <w:rPr>
                <w:rFonts w:ascii="Arial" w:hAnsi="Arial" w:eastAsia="Arial" w:cs="Arial"/>
                <w:b w:val="0"/>
                <w:bCs w:val="0"/>
                <w:color w:val="0D1B2A"/>
                <w:sz w:val="20"/>
                <w:szCs w:val="20"/>
              </w:rPr>
              <w:t>Hidden dimension H</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F06F7A7">
            <w:pPr>
              <w:spacing w:after="0"/>
            </w:pPr>
            <w:r>
              <w:rPr>
                <w:rFonts w:ascii="Arial" w:hAnsi="Arial" w:eastAsia="Arial" w:cs="Arial"/>
                <w:b w:val="0"/>
                <w:bCs w:val="0"/>
                <w:color w:val="0D1B2A"/>
                <w:sz w:val="20"/>
                <w:szCs w:val="20"/>
              </w:rPr>
              <w:t>128</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7F9BF7A">
            <w:pPr>
              <w:spacing w:after="0"/>
            </w:pPr>
            <w:r>
              <w:rPr>
                <w:rFonts w:ascii="Arial" w:hAnsi="Arial" w:eastAsia="Arial" w:cs="Arial"/>
                <w:b w:val="0"/>
                <w:bCs w:val="0"/>
                <w:color w:val="0D1B2A"/>
                <w:sz w:val="20"/>
                <w:szCs w:val="20"/>
              </w:rPr>
              <w:t>~22 train samples per param</w:t>
            </w:r>
          </w:p>
        </w:tc>
      </w:tr>
      <w:tr w14:paraId="69658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722478E">
            <w:pPr>
              <w:spacing w:after="0"/>
            </w:pPr>
            <w:r>
              <w:rPr>
                <w:rFonts w:ascii="Arial" w:hAnsi="Arial" w:eastAsia="Arial" w:cs="Arial"/>
                <w:b w:val="0"/>
                <w:bCs w:val="0"/>
                <w:color w:val="0D1B2A"/>
                <w:sz w:val="20"/>
                <w:szCs w:val="20"/>
              </w:rPr>
              <w:t>Attention heads</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2F84AEA4">
            <w:pPr>
              <w:spacing w:after="0"/>
            </w:pPr>
            <w:r>
              <w:rPr>
                <w:rFonts w:ascii="Arial" w:hAnsi="Arial" w:eastAsia="Arial" w:cs="Arial"/>
                <w:b w:val="0"/>
                <w:bCs w:val="0"/>
                <w:color w:val="0D1B2A"/>
                <w:sz w:val="20"/>
                <w:szCs w:val="20"/>
              </w:rPr>
              <w:t>4</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55B6FC3F">
            <w:pPr>
              <w:spacing w:after="0"/>
            </w:pPr>
            <w:r>
              <w:rPr>
                <w:rFonts w:ascii="Arial" w:hAnsi="Arial" w:eastAsia="Arial" w:cs="Arial"/>
                <w:b w:val="0"/>
                <w:bCs w:val="0"/>
                <w:color w:val="0D1B2A"/>
                <w:sz w:val="20"/>
                <w:szCs w:val="20"/>
              </w:rPr>
              <w:t>4×32-dim subspaces</w:t>
            </w:r>
          </w:p>
        </w:tc>
      </w:tr>
      <w:tr w14:paraId="25F35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9EA7F5D">
            <w:pPr>
              <w:spacing w:after="0"/>
            </w:pPr>
            <w:r>
              <w:rPr>
                <w:rFonts w:ascii="Arial" w:hAnsi="Arial" w:eastAsia="Arial" w:cs="Arial"/>
                <w:b w:val="0"/>
                <w:bCs w:val="0"/>
                <w:color w:val="0D1B2A"/>
                <w:sz w:val="20"/>
                <w:szCs w:val="20"/>
              </w:rPr>
              <w:t>Dropout</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B7ADEDE">
            <w:pPr>
              <w:spacing w:after="0"/>
            </w:pPr>
            <w:r>
              <w:rPr>
                <w:rFonts w:ascii="Arial" w:hAnsi="Arial" w:eastAsia="Arial" w:cs="Arial"/>
                <w:b w:val="0"/>
                <w:bCs w:val="0"/>
                <w:color w:val="0D1B2A"/>
                <w:sz w:val="20"/>
                <w:szCs w:val="20"/>
              </w:rPr>
              <w:t>0.3</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73F0F8A">
            <w:pPr>
              <w:spacing w:after="0"/>
            </w:pPr>
            <w:r>
              <w:rPr>
                <w:rFonts w:ascii="Arial" w:hAnsi="Arial" w:eastAsia="Arial" w:cs="Arial"/>
                <w:b w:val="0"/>
                <w:bCs w:val="0"/>
                <w:color w:val="0D1B2A"/>
                <w:sz w:val="20"/>
                <w:szCs w:val="20"/>
              </w:rPr>
              <w:t>Prevents overfitting</w:t>
            </w:r>
          </w:p>
        </w:tc>
      </w:tr>
      <w:tr w14:paraId="34634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CE5105F">
            <w:pPr>
              <w:spacing w:after="0"/>
            </w:pPr>
            <w:r>
              <w:rPr>
                <w:rFonts w:ascii="Arial" w:hAnsi="Arial" w:eastAsia="Arial" w:cs="Arial"/>
                <w:b w:val="0"/>
                <w:bCs w:val="0"/>
                <w:color w:val="0D1B2A"/>
                <w:sz w:val="20"/>
                <w:szCs w:val="20"/>
              </w:rPr>
              <w:t>Optimizer</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5C7D01B8">
            <w:pPr>
              <w:spacing w:after="0"/>
            </w:pPr>
            <w:r>
              <w:rPr>
                <w:rFonts w:ascii="Arial" w:hAnsi="Arial" w:eastAsia="Arial" w:cs="Arial"/>
                <w:b w:val="0"/>
                <w:bCs w:val="0"/>
                <w:color w:val="0D1B2A"/>
                <w:sz w:val="20"/>
                <w:szCs w:val="20"/>
              </w:rPr>
              <w:t>AdamW</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28825993">
            <w:pPr>
              <w:spacing w:after="0"/>
            </w:pPr>
            <w:r>
              <w:rPr>
                <w:rFonts w:ascii="Arial" w:hAnsi="Arial" w:eastAsia="Arial" w:cs="Arial"/>
                <w:b w:val="0"/>
                <w:bCs w:val="0"/>
                <w:color w:val="0D1B2A"/>
                <w:sz w:val="20"/>
                <w:szCs w:val="20"/>
              </w:rPr>
              <w:t>Decoupled weight decay</w:t>
            </w:r>
          </w:p>
        </w:tc>
      </w:tr>
      <w:tr w14:paraId="18152C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17A2DFA">
            <w:pPr>
              <w:spacing w:after="0"/>
            </w:pPr>
            <w:r>
              <w:rPr>
                <w:rFonts w:ascii="Arial" w:hAnsi="Arial" w:eastAsia="Arial" w:cs="Arial"/>
                <w:b w:val="0"/>
                <w:bCs w:val="0"/>
                <w:color w:val="0D1B2A"/>
                <w:sz w:val="20"/>
                <w:szCs w:val="20"/>
              </w:rPr>
              <w:t>Learning rate</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A853FB8">
            <w:pPr>
              <w:spacing w:after="0"/>
            </w:pPr>
            <w:r>
              <w:rPr>
                <w:rFonts w:ascii="Arial" w:hAnsi="Arial" w:eastAsia="Arial" w:cs="Arial"/>
                <w:b w:val="0"/>
                <w:bCs w:val="0"/>
                <w:color w:val="0D1B2A"/>
                <w:sz w:val="20"/>
                <w:szCs w:val="20"/>
              </w:rPr>
              <w:t>1e-3 → 1e-5</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7026C7D">
            <w:pPr>
              <w:spacing w:after="0"/>
            </w:pPr>
            <w:r>
              <w:rPr>
                <w:rFonts w:ascii="Arial" w:hAnsi="Arial" w:eastAsia="Arial" w:cs="Arial"/>
                <w:b w:val="0"/>
                <w:bCs w:val="0"/>
                <w:color w:val="0D1B2A"/>
                <w:sz w:val="20"/>
                <w:szCs w:val="20"/>
              </w:rPr>
              <w:t>Cosine annealing</w:t>
            </w:r>
          </w:p>
        </w:tc>
      </w:tr>
      <w:tr w14:paraId="75BE9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D2956AD">
            <w:pPr>
              <w:spacing w:after="0"/>
            </w:pPr>
            <w:r>
              <w:rPr>
                <w:rFonts w:ascii="Arial" w:hAnsi="Arial" w:eastAsia="Arial" w:cs="Arial"/>
                <w:b w:val="0"/>
                <w:bCs w:val="0"/>
                <w:color w:val="0D1B2A"/>
                <w:sz w:val="20"/>
                <w:szCs w:val="20"/>
              </w:rPr>
              <w:t>Batch size</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02D6CD10">
            <w:pPr>
              <w:spacing w:after="0"/>
            </w:pPr>
            <w:r>
              <w:rPr>
                <w:rFonts w:ascii="Arial" w:hAnsi="Arial" w:eastAsia="Arial" w:cs="Arial"/>
                <w:b w:val="0"/>
                <w:bCs w:val="0"/>
                <w:color w:val="0D1B2A"/>
                <w:sz w:val="20"/>
                <w:szCs w:val="20"/>
              </w:rPr>
              <w:t>64</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0A1D906D">
            <w:pPr>
              <w:spacing w:after="0"/>
            </w:pPr>
            <w:r>
              <w:rPr>
                <w:rFonts w:ascii="Arial" w:hAnsi="Arial" w:eastAsia="Arial" w:cs="Arial"/>
                <w:b w:val="0"/>
                <w:bCs w:val="0"/>
                <w:color w:val="0D1B2A"/>
                <w:sz w:val="20"/>
                <w:szCs w:val="20"/>
              </w:rPr>
              <w:t>Stable gradient estimates</w:t>
            </w:r>
          </w:p>
        </w:tc>
      </w:tr>
      <w:tr w14:paraId="6E957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5AFAA14">
            <w:pPr>
              <w:spacing w:after="0"/>
            </w:pPr>
            <w:r>
              <w:rPr>
                <w:rFonts w:ascii="Arial" w:hAnsi="Arial" w:eastAsia="Arial" w:cs="Arial"/>
                <w:b w:val="0"/>
                <w:bCs w:val="0"/>
                <w:color w:val="0D1B2A"/>
                <w:sz w:val="20"/>
                <w:szCs w:val="20"/>
              </w:rPr>
              <w:t>Total epochs</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A95B381">
            <w:pPr>
              <w:spacing w:after="0"/>
            </w:pPr>
            <w:r>
              <w:rPr>
                <w:rFonts w:ascii="Arial" w:hAnsi="Arial" w:eastAsia="Arial" w:cs="Arial"/>
                <w:b w:val="0"/>
                <w:bCs w:val="0"/>
                <w:color w:val="0D1B2A"/>
                <w:sz w:val="20"/>
                <w:szCs w:val="20"/>
              </w:rPr>
              <w:t>200</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8A1A2A1">
            <w:pPr>
              <w:spacing w:after="0"/>
            </w:pPr>
            <w:r>
              <w:rPr>
                <w:rFonts w:ascii="Arial" w:hAnsi="Arial" w:eastAsia="Arial" w:cs="Arial"/>
                <w:b w:val="0"/>
                <w:bCs w:val="0"/>
                <w:color w:val="0D1B2A"/>
                <w:sz w:val="20"/>
                <w:szCs w:val="20"/>
              </w:rPr>
              <w:t>Best checkpoint at epoch 40</w:t>
            </w:r>
          </w:p>
        </w:tc>
      </w:tr>
      <w:tr w14:paraId="2C551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032C312">
            <w:pPr>
              <w:spacing w:after="0"/>
            </w:pPr>
            <w:r>
              <w:rPr>
                <w:rFonts w:ascii="Arial" w:hAnsi="Arial" w:eastAsia="Arial" w:cs="Arial"/>
                <w:b w:val="0"/>
                <w:bCs w:val="0"/>
                <w:color w:val="0D1B2A"/>
                <w:sz w:val="20"/>
                <w:szCs w:val="20"/>
              </w:rPr>
              <w:t>Parameters</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2A8C260F">
            <w:pPr>
              <w:spacing w:after="0"/>
            </w:pPr>
            <w:r>
              <w:rPr>
                <w:rFonts w:ascii="Arial" w:hAnsi="Arial" w:eastAsia="Arial" w:cs="Arial"/>
                <w:b w:val="0"/>
                <w:bCs w:val="0"/>
                <w:color w:val="0D1B2A"/>
                <w:sz w:val="20"/>
                <w:szCs w:val="20"/>
              </w:rPr>
              <w:t>~285,000</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7C687A2E">
            <w:pPr>
              <w:spacing w:after="0"/>
            </w:pPr>
            <w:r>
              <w:rPr>
                <w:rFonts w:ascii="Arial" w:hAnsi="Arial" w:eastAsia="Arial" w:cs="Arial"/>
                <w:b w:val="0"/>
                <w:bCs w:val="0"/>
                <w:color w:val="0D1B2A"/>
                <w:sz w:val="20"/>
                <w:szCs w:val="20"/>
              </w:rPr>
              <w:t>Efficient for N=8,984</w:t>
            </w:r>
          </w:p>
        </w:tc>
      </w:tr>
      <w:tr w14:paraId="2444B4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CA8D2F5">
            <w:pPr>
              <w:spacing w:after="0"/>
            </w:pPr>
            <w:r>
              <w:rPr>
                <w:rFonts w:ascii="Arial" w:hAnsi="Arial" w:eastAsia="Arial" w:cs="Arial"/>
                <w:b w:val="0"/>
                <w:bCs w:val="0"/>
                <w:color w:val="0D1B2A"/>
                <w:sz w:val="20"/>
                <w:szCs w:val="20"/>
              </w:rPr>
              <w:t>GPU</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A758BFC">
            <w:pPr>
              <w:spacing w:after="0"/>
            </w:pPr>
            <w:r>
              <w:rPr>
                <w:rFonts w:ascii="Arial" w:hAnsi="Arial" w:eastAsia="Arial" w:cs="Arial"/>
                <w:b w:val="0"/>
                <w:bCs w:val="0"/>
                <w:color w:val="0D1B2A"/>
                <w:sz w:val="20"/>
                <w:szCs w:val="20"/>
              </w:rPr>
              <w:t>Tesla T4</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D836AC4">
            <w:pPr>
              <w:spacing w:after="0"/>
            </w:pPr>
            <w:r>
              <w:rPr>
                <w:rFonts w:ascii="Arial" w:hAnsi="Arial" w:eastAsia="Arial" w:cs="Arial"/>
                <w:b w:val="0"/>
                <w:bCs w:val="0"/>
                <w:color w:val="0D1B2A"/>
                <w:sz w:val="20"/>
                <w:szCs w:val="20"/>
              </w:rPr>
              <w:t>4.4 minutes training time</w:t>
            </w:r>
          </w:p>
        </w:tc>
      </w:tr>
    </w:tbl>
    <w:p w14:paraId="56FBA50A">
      <w:pPr>
        <w:pStyle w:val="3"/>
        <w:spacing w:before="360" w:after="160"/>
      </w:pPr>
      <w:r>
        <w:rPr>
          <w:rFonts w:ascii="Arial" w:hAnsi="Arial" w:eastAsia="Arial" w:cs="Arial"/>
          <w:b/>
          <w:bCs/>
          <w:color w:val="0D9488"/>
          <w:sz w:val="28"/>
          <w:szCs w:val="28"/>
        </w:rPr>
        <w:t>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7831A1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0C826B78">
            <w:pPr>
              <w:spacing w:after="0"/>
            </w:pPr>
            <w:r>
              <w:rPr>
                <w:rFonts w:ascii="Arial" w:hAnsi="Arial" w:eastAsia="Arial" w:cs="Arial"/>
                <w:b/>
                <w:bCs/>
                <w:color w:val="FFFFFF"/>
                <w:sz w:val="20"/>
                <w:szCs w:val="20"/>
              </w:rPr>
              <w:t>Metric</w:t>
            </w:r>
          </w:p>
        </w:tc>
        <w:tc>
          <w:tcPr>
            <w:tcW w:w="312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0C188366">
            <w:pPr>
              <w:spacing w:after="0"/>
            </w:pPr>
            <w:r>
              <w:rPr>
                <w:rFonts w:ascii="Arial" w:hAnsi="Arial" w:eastAsia="Arial" w:cs="Arial"/>
                <w:b/>
                <w:bCs/>
                <w:color w:val="FFFFFF"/>
                <w:sz w:val="20"/>
                <w:szCs w:val="20"/>
              </w:rPr>
              <w:t>CALF</w:t>
            </w:r>
          </w:p>
        </w:tc>
        <w:tc>
          <w:tcPr>
            <w:tcW w:w="312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0DB77C4B">
            <w:pPr>
              <w:spacing w:after="0"/>
            </w:pPr>
            <w:r>
              <w:rPr>
                <w:rFonts w:ascii="Arial" w:hAnsi="Arial" w:eastAsia="Arial" w:cs="Arial"/>
                <w:b/>
                <w:bCs/>
                <w:color w:val="FFFFFF"/>
                <w:sz w:val="20"/>
                <w:szCs w:val="20"/>
              </w:rPr>
              <w:t>Best Baseline (CF)</w:t>
            </w:r>
          </w:p>
        </w:tc>
      </w:tr>
      <w:tr w14:paraId="5B104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D10DA9B">
            <w:pPr>
              <w:spacing w:after="0"/>
            </w:pPr>
            <w:r>
              <w:rPr>
                <w:rFonts w:ascii="Arial" w:hAnsi="Arial" w:eastAsia="Arial" w:cs="Arial"/>
                <w:b w:val="0"/>
                <w:bCs w:val="0"/>
                <w:color w:val="0D1B2A"/>
                <w:sz w:val="20"/>
                <w:szCs w:val="20"/>
              </w:rPr>
              <w:t>PEHE</w:t>
            </w:r>
          </w:p>
        </w:tc>
        <w:tc>
          <w:tcPr>
            <w:tcW w:w="312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69943A3F">
            <w:pPr>
              <w:spacing w:after="0"/>
            </w:pPr>
            <w:r>
              <w:rPr>
                <w:rFonts w:ascii="Arial" w:hAnsi="Arial" w:eastAsia="Arial" w:cs="Arial"/>
                <w:b/>
                <w:bCs/>
                <w:color w:val="065F46"/>
                <w:sz w:val="20"/>
                <w:szCs w:val="20"/>
              </w:rPr>
              <w:t>20,119 ✅</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47A7B99">
            <w:pPr>
              <w:spacing w:after="0"/>
            </w:pPr>
            <w:r>
              <w:rPr>
                <w:rFonts w:ascii="Arial" w:hAnsi="Arial" w:eastAsia="Arial" w:cs="Arial"/>
                <w:b w:val="0"/>
                <w:bCs w:val="0"/>
                <w:color w:val="0D1B2A"/>
                <w:sz w:val="20"/>
                <w:szCs w:val="20"/>
              </w:rPr>
              <w:t>22,805</w:t>
            </w:r>
          </w:p>
        </w:tc>
      </w:tr>
      <w:tr w14:paraId="3370F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867E488">
            <w:pPr>
              <w:spacing w:after="0"/>
            </w:pPr>
            <w:r>
              <w:rPr>
                <w:rFonts w:ascii="Arial" w:hAnsi="Arial" w:eastAsia="Arial" w:cs="Arial"/>
                <w:b w:val="0"/>
                <w:bCs w:val="0"/>
                <w:color w:val="0D1B2A"/>
                <w:sz w:val="20"/>
                <w:szCs w:val="20"/>
              </w:rPr>
              <w:t>PEHE improvement</w:t>
            </w:r>
          </w:p>
        </w:tc>
        <w:tc>
          <w:tcPr>
            <w:tcW w:w="312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041E3F82">
            <w:pPr>
              <w:spacing w:after="0"/>
            </w:pPr>
            <w:r>
              <w:rPr>
                <w:rFonts w:ascii="Arial" w:hAnsi="Arial" w:eastAsia="Arial" w:cs="Arial"/>
                <w:b/>
                <w:bCs/>
                <w:color w:val="065F46"/>
                <w:sz w:val="20"/>
                <w:szCs w:val="20"/>
              </w:rPr>
              <w:t>11.8% ↓</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6BD9ABAC">
            <w:pPr>
              <w:spacing w:after="0"/>
            </w:pPr>
            <w:r>
              <w:rPr>
                <w:rFonts w:ascii="Arial" w:hAnsi="Arial" w:eastAsia="Arial" w:cs="Arial"/>
                <w:b w:val="0"/>
                <w:bCs w:val="0"/>
                <w:color w:val="0D1B2A"/>
                <w:sz w:val="20"/>
                <w:szCs w:val="20"/>
              </w:rPr>
              <w:t>—</w:t>
            </w:r>
          </w:p>
        </w:tc>
      </w:tr>
      <w:tr w14:paraId="178DE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DE0C7CA">
            <w:pPr>
              <w:spacing w:after="0"/>
            </w:pPr>
            <w:r>
              <w:rPr>
                <w:rFonts w:ascii="Arial" w:hAnsi="Arial" w:eastAsia="Arial" w:cs="Arial"/>
                <w:b w:val="0"/>
                <w:bCs w:val="0"/>
                <w:color w:val="0D1B2A"/>
                <w:sz w:val="20"/>
                <w:szCs w:val="20"/>
              </w:rPr>
              <w:t>ATE Predicted</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8D5AEFD">
            <w:pPr>
              <w:spacing w:after="0"/>
            </w:pPr>
            <w:r>
              <w:rPr>
                <w:rFonts w:ascii="Arial" w:hAnsi="Arial" w:eastAsia="Arial" w:cs="Arial"/>
                <w:b w:val="0"/>
                <w:bCs w:val="0"/>
                <w:color w:val="0D1B2A"/>
                <w:sz w:val="20"/>
                <w:szCs w:val="20"/>
              </w:rPr>
              <w:t>$50,858</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291696AF">
            <w:pPr>
              <w:spacing w:after="0"/>
            </w:pPr>
            <w:r>
              <w:rPr>
                <w:rFonts w:ascii="Arial" w:hAnsi="Arial" w:eastAsia="Arial" w:cs="Arial"/>
                <w:b w:val="0"/>
                <w:bCs w:val="0"/>
                <w:color w:val="0D1B2A"/>
                <w:sz w:val="20"/>
                <w:szCs w:val="20"/>
              </w:rPr>
              <w:t>$47,645</w:t>
            </w:r>
          </w:p>
        </w:tc>
      </w:tr>
      <w:tr w14:paraId="58539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B8AEA6D">
            <w:pPr>
              <w:spacing w:after="0"/>
            </w:pPr>
            <w:r>
              <w:rPr>
                <w:rFonts w:ascii="Arial" w:hAnsi="Arial" w:eastAsia="Arial" w:cs="Arial"/>
                <w:b w:val="0"/>
                <w:bCs w:val="0"/>
                <w:color w:val="0D1B2A"/>
                <w:sz w:val="20"/>
                <w:szCs w:val="20"/>
              </w:rPr>
              <w:t>ATE Error</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6C4DFA6">
            <w:pPr>
              <w:spacing w:after="0"/>
            </w:pPr>
            <w:r>
              <w:rPr>
                <w:rFonts w:ascii="Arial" w:hAnsi="Arial" w:eastAsia="Arial" w:cs="Arial"/>
                <w:b w:val="0"/>
                <w:bCs w:val="0"/>
                <w:color w:val="0D1B2A"/>
                <w:sz w:val="20"/>
                <w:szCs w:val="20"/>
              </w:rPr>
              <w:t>4.4%</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1C545FD4">
            <w:pPr>
              <w:spacing w:after="0"/>
            </w:pPr>
            <w:r>
              <w:rPr>
                <w:rFonts w:ascii="Arial" w:hAnsi="Arial" w:eastAsia="Arial" w:cs="Arial"/>
                <w:b w:val="0"/>
                <w:bCs w:val="0"/>
                <w:color w:val="0D1B2A"/>
                <w:sz w:val="20"/>
                <w:szCs w:val="20"/>
              </w:rPr>
              <w:t>2.2%</w:t>
            </w:r>
          </w:p>
        </w:tc>
      </w:tr>
      <w:tr w14:paraId="002B6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A9D4D13">
            <w:pPr>
              <w:spacing w:after="0"/>
            </w:pPr>
            <w:r>
              <w:rPr>
                <w:rFonts w:ascii="Arial" w:hAnsi="Arial" w:eastAsia="Arial" w:cs="Arial"/>
                <w:b w:val="0"/>
                <w:bCs w:val="0"/>
                <w:color w:val="0D1B2A"/>
                <w:sz w:val="20"/>
                <w:szCs w:val="20"/>
              </w:rPr>
              <w:t>vs TARNet</w:t>
            </w:r>
          </w:p>
        </w:tc>
        <w:tc>
          <w:tcPr>
            <w:tcW w:w="312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34E54E51">
            <w:pPr>
              <w:spacing w:after="0"/>
            </w:pPr>
            <w:r>
              <w:rPr>
                <w:rFonts w:ascii="Arial" w:hAnsi="Arial" w:eastAsia="Arial" w:cs="Arial"/>
                <w:b w:val="0"/>
                <w:bCs w:val="0"/>
                <w:color w:val="0D1B2A"/>
                <w:sz w:val="20"/>
                <w:szCs w:val="20"/>
              </w:rPr>
              <w:t>↓ 4.2%</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E1E855B">
            <w:pPr>
              <w:spacing w:after="0"/>
            </w:pPr>
            <w:r>
              <w:rPr>
                <w:rFonts w:ascii="Arial" w:hAnsi="Arial" w:eastAsia="Arial" w:cs="Arial"/>
                <w:b w:val="0"/>
                <w:bCs w:val="0"/>
                <w:color w:val="0D1B2A"/>
                <w:sz w:val="20"/>
                <w:szCs w:val="20"/>
              </w:rPr>
              <w:t>TARNet: 21,008</w:t>
            </w:r>
          </w:p>
        </w:tc>
      </w:tr>
      <w:tr w14:paraId="30CB2F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45ED524">
            <w:pPr>
              <w:spacing w:after="0"/>
            </w:pPr>
            <w:r>
              <w:rPr>
                <w:rFonts w:ascii="Arial" w:hAnsi="Arial" w:eastAsia="Arial" w:cs="Arial"/>
                <w:b w:val="0"/>
                <w:bCs w:val="0"/>
                <w:color w:val="0D1B2A"/>
                <w:sz w:val="20"/>
                <w:szCs w:val="20"/>
              </w:rPr>
              <w:t>vs CFRNet</w:t>
            </w:r>
          </w:p>
        </w:tc>
        <w:tc>
          <w:tcPr>
            <w:tcW w:w="312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7038BA16">
            <w:pPr>
              <w:spacing w:after="0"/>
            </w:pPr>
            <w:r>
              <w:rPr>
                <w:rFonts w:ascii="Arial" w:hAnsi="Arial" w:eastAsia="Arial" w:cs="Arial"/>
                <w:b w:val="0"/>
                <w:bCs w:val="0"/>
                <w:color w:val="0D1B2A"/>
                <w:sz w:val="20"/>
                <w:szCs w:val="20"/>
              </w:rPr>
              <w:t>↓ 6.4%</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3852855C">
            <w:pPr>
              <w:spacing w:after="0"/>
            </w:pPr>
            <w:r>
              <w:rPr>
                <w:rFonts w:ascii="Arial" w:hAnsi="Arial" w:eastAsia="Arial" w:cs="Arial"/>
                <w:b w:val="0"/>
                <w:bCs w:val="0"/>
                <w:color w:val="0D1B2A"/>
                <w:sz w:val="20"/>
                <w:szCs w:val="20"/>
              </w:rPr>
              <w:t>CFRNet: 21,492</w:t>
            </w:r>
          </w:p>
        </w:tc>
      </w:tr>
      <w:tr w14:paraId="1967A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C8E4B80">
            <w:pPr>
              <w:spacing w:after="0"/>
            </w:pPr>
            <w:r>
              <w:rPr>
                <w:rFonts w:ascii="Arial" w:hAnsi="Arial" w:eastAsia="Arial" w:cs="Arial"/>
                <w:b w:val="0"/>
                <w:bCs w:val="0"/>
                <w:color w:val="0D1B2A"/>
                <w:sz w:val="20"/>
                <w:szCs w:val="20"/>
              </w:rPr>
              <w:t>Best Epoch</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2904450">
            <w:pPr>
              <w:spacing w:after="0"/>
            </w:pPr>
            <w:r>
              <w:rPr>
                <w:rFonts w:ascii="Arial" w:hAnsi="Arial" w:eastAsia="Arial" w:cs="Arial"/>
                <w:b w:val="0"/>
                <w:bCs w:val="0"/>
                <w:color w:val="0D1B2A"/>
                <w:sz w:val="20"/>
                <w:szCs w:val="20"/>
              </w:rPr>
              <w:t>40 of 200</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04C1AE0A">
            <w:pPr>
              <w:spacing w:after="0"/>
            </w:pPr>
            <w:r>
              <w:rPr>
                <w:rFonts w:ascii="Arial" w:hAnsi="Arial" w:eastAsia="Arial" w:cs="Arial"/>
                <w:b w:val="0"/>
                <w:bCs w:val="0"/>
                <w:color w:val="0D1B2A"/>
                <w:sz w:val="20"/>
                <w:szCs w:val="20"/>
              </w:rPr>
              <w:t>—</w:t>
            </w:r>
          </w:p>
        </w:tc>
      </w:tr>
      <w:tr w14:paraId="075F38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4108908">
            <w:pPr>
              <w:spacing w:after="0"/>
            </w:pPr>
            <w:r>
              <w:rPr>
                <w:rFonts w:ascii="Arial" w:hAnsi="Arial" w:eastAsia="Arial" w:cs="Arial"/>
                <w:b w:val="0"/>
                <w:bCs w:val="0"/>
                <w:color w:val="0D1B2A"/>
                <w:sz w:val="20"/>
                <w:szCs w:val="20"/>
              </w:rPr>
              <w:t>Training Time</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6DE2F0E">
            <w:pPr>
              <w:spacing w:after="0"/>
            </w:pPr>
            <w:r>
              <w:rPr>
                <w:rFonts w:ascii="Arial" w:hAnsi="Arial" w:eastAsia="Arial" w:cs="Arial"/>
                <w:b w:val="0"/>
                <w:bCs w:val="0"/>
                <w:color w:val="0D1B2A"/>
                <w:sz w:val="20"/>
                <w:szCs w:val="20"/>
              </w:rPr>
              <w:t>4.4 min (T4 GPU)</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D626FC3">
            <w:pPr>
              <w:spacing w:after="0"/>
            </w:pPr>
            <w:r>
              <w:rPr>
                <w:rFonts w:ascii="Arial" w:hAnsi="Arial" w:eastAsia="Arial" w:cs="Arial"/>
                <w:b w:val="0"/>
                <w:bCs w:val="0"/>
                <w:color w:val="0D1B2A"/>
                <w:sz w:val="20"/>
                <w:szCs w:val="20"/>
              </w:rPr>
              <w:t>CF: 10.7s</w:t>
            </w:r>
          </w:p>
        </w:tc>
      </w:tr>
    </w:tbl>
    <w:p w14:paraId="47968CB9">
      <w:pPr>
        <w:spacing w:after="160" w:line="320" w:lineRule="auto"/>
      </w:pPr>
    </w:p>
    <w:p w14:paraId="4A804E9C">
      <w:pPr>
        <w:pBdr>
          <w:top w:val="single" w:color="065F46" w:sz="4" w:space="0"/>
          <w:left w:val="single" w:color="065F46" w:sz="12" w:space="0"/>
          <w:bottom w:val="single" w:color="065F46" w:sz="4" w:space="0"/>
          <w:right w:val="single" w:color="065F46" w:sz="4" w:space="0"/>
        </w:pBdr>
        <w:shd w:val="clear" w:fill="F1F5F9"/>
        <w:spacing w:before="160" w:after="160"/>
        <w:ind w:left="360" w:right="360"/>
      </w:pPr>
      <w:r>
        <w:rPr>
          <w:rFonts w:ascii="Arial" w:hAnsi="Arial" w:eastAsia="Arial" w:cs="Arial"/>
          <w:sz w:val="22"/>
          <w:szCs w:val="22"/>
        </w:rPr>
        <w:t>Primary Result: CALF PEHE=20,119 vs Causal Forest 22,805 (−11.8%). CALF also outperforms TARNet (−4.2%) and CFRNet (−6.4%), proving tree-structured causal encoding adds value beyond generic deep ITE methods. Bootstrap test: p&lt;0.0001 vs all 4 classical baselines.</w:t>
      </w:r>
    </w:p>
    <w:p w14:paraId="5A104D15">
      <w:pPr>
        <w:pBdr>
          <w:top w:val="single" w:color="B45309" w:sz="4" w:space="0"/>
          <w:left w:val="single" w:color="B45309" w:sz="12" w:space="0"/>
          <w:bottom w:val="single" w:color="B45309" w:sz="4" w:space="0"/>
          <w:right w:val="single" w:color="B45309" w:sz="4" w:space="0"/>
        </w:pBdr>
        <w:shd w:val="clear" w:fill="F1F5F9"/>
        <w:spacing w:before="160" w:after="160"/>
        <w:ind w:left="360" w:right="360"/>
      </w:pPr>
      <w:r>
        <w:rPr>
          <w:rFonts w:ascii="Arial" w:hAnsi="Arial" w:eastAsia="Arial" w:cs="Arial"/>
          <w:sz w:val="22"/>
          <w:szCs w:val="22"/>
        </w:rPr>
        <w:t>ATE Error Explanation: CALF ATE error (4.4%) &gt; CF (2.2%) due to ITE regularisation term (β·ReLU(−(Y1−Y0))). Removing β reduces ATE error to ~3.1% but increases PEHE. This is a deliberate bias-variance tradeoff documented in Phase 3 Fix 4.</w:t>
      </w:r>
    </w:p>
    <w:p w14:paraId="21DF7A3C">
      <w:r>
        <w:br w:type="page"/>
      </w:r>
    </w:p>
    <w:p w14:paraId="117E150E">
      <w:pPr>
        <w:pStyle w:val="2"/>
        <w:pBdr>
          <w:bottom w:val="single" w:color="0D9488" w:sz="6" w:space="4"/>
        </w:pBdr>
        <w:spacing w:before="480" w:after="200"/>
      </w:pPr>
      <w:r>
        <w:rPr>
          <w:rFonts w:ascii="Arial" w:hAnsi="Arial" w:eastAsia="Arial" w:cs="Arial"/>
          <w:b/>
          <w:bCs/>
          <w:color w:val="0D1B2A"/>
          <w:sz w:val="36"/>
          <w:szCs w:val="36"/>
        </w:rPr>
        <w:t>Phase 5 — Ablation Study</w:t>
      </w:r>
    </w:p>
    <w:p w14:paraId="0FCC0A6A">
      <w:pPr>
        <w:pStyle w:val="3"/>
        <w:spacing w:before="360" w:after="160"/>
      </w:pPr>
      <w:r>
        <w:rPr>
          <w:rFonts w:ascii="Arial" w:hAnsi="Arial" w:eastAsia="Arial" w:cs="Arial"/>
          <w:b/>
          <w:bCs/>
          <w:color w:val="0D9488"/>
          <w:sz w:val="28"/>
          <w:szCs w:val="28"/>
        </w:rPr>
        <w:t>What We Did</w:t>
      </w:r>
    </w:p>
    <w:p w14:paraId="3626E4D6">
      <w:pPr>
        <w:spacing w:after="160" w:line="320" w:lineRule="auto"/>
      </w:pPr>
      <w:r>
        <w:rPr>
          <w:rFonts w:ascii="Arial" w:hAnsi="Arial" w:eastAsia="Arial" w:cs="Arial"/>
          <w:sz w:val="22"/>
          <w:szCs w:val="22"/>
        </w:rPr>
        <w:t>Trained 5 CALF variants with one component removed each, proving every architectural element contributes.</w:t>
      </w:r>
    </w:p>
    <w:p w14:paraId="176ABDBA">
      <w:pPr>
        <w:pStyle w:val="3"/>
        <w:spacing w:before="360" w:after="160"/>
      </w:pPr>
      <w:r>
        <w:rPr>
          <w:rFonts w:ascii="Arial" w:hAnsi="Arial" w:eastAsia="Arial" w:cs="Arial"/>
          <w:b/>
          <w:bCs/>
          <w:color w:val="0D9488"/>
          <w:sz w:val="28"/>
          <w:szCs w:val="28"/>
        </w:rPr>
        <w:t>Real-World Interpretation of Ablation Results</w:t>
      </w:r>
    </w:p>
    <w:p w14:paraId="7707661D">
      <w:pPr>
        <w:spacing w:after="160" w:line="320" w:lineRule="auto"/>
      </w:pPr>
      <w:r>
        <w:rPr>
          <w:rFonts w:ascii="Arial" w:hAnsi="Arial" w:eastAsia="Arial" w:cs="Arial"/>
          <w:sz w:val="22"/>
          <w:szCs w:val="22"/>
        </w:rPr>
        <w:t>Each ablation answers a specific policy question:</w:t>
      </w:r>
    </w:p>
    <w:p w14:paraId="16324E1D">
      <w:pPr>
        <w:pStyle w:val="17"/>
        <w:numPr>
          <w:ilvl w:val="0"/>
          <w:numId w:val="1"/>
        </w:numPr>
        <w:spacing w:after="100"/>
      </w:pPr>
      <w:r>
        <w:rPr>
          <w:rFonts w:ascii="Arial" w:hAnsi="Arial" w:eastAsia="Arial" w:cs="Arial"/>
          <w:sz w:val="22"/>
          <w:szCs w:val="22"/>
        </w:rPr>
        <w:t>No Roots: What happens if we ignore family background entirely? PEHE worsens by 38.5% — the strongest degradation. Family background is the single most important confounder.</w:t>
      </w:r>
    </w:p>
    <w:p w14:paraId="5FB14ECC">
      <w:pPr>
        <w:pStyle w:val="17"/>
        <w:numPr>
          <w:ilvl w:val="0"/>
          <w:numId w:val="1"/>
        </w:numPr>
        <w:spacing w:after="100"/>
      </w:pPr>
      <w:r>
        <w:rPr>
          <w:rFonts w:ascii="Arial" w:hAnsi="Arial" w:eastAsia="Arial" w:cs="Arial"/>
          <w:sz w:val="22"/>
          <w:szCs w:val="22"/>
        </w:rPr>
        <w:t>No Soil: What if we ignore school quality? PEHE worsens 21.4%. Institutional environment is the second most critical.</w:t>
      </w:r>
    </w:p>
    <w:p w14:paraId="2B6AE79E">
      <w:pPr>
        <w:pStyle w:val="17"/>
        <w:numPr>
          <w:ilvl w:val="0"/>
          <w:numId w:val="1"/>
        </w:numPr>
        <w:spacing w:after="100"/>
      </w:pPr>
      <w:r>
        <w:rPr>
          <w:rFonts w:ascii="Arial" w:hAnsi="Arial" w:eastAsia="Arial" w:cs="Arial"/>
          <w:sz w:val="22"/>
          <w:szCs w:val="22"/>
        </w:rPr>
        <w:t>No Attention: What if we encode layers separately but don't let them communicate? PEHE worsens 4.3%. The causal messaging between layers matters.</w:t>
      </w:r>
    </w:p>
    <w:p w14:paraId="0E33CAAA">
      <w:pPr>
        <w:pStyle w:val="17"/>
        <w:numPr>
          <w:ilvl w:val="0"/>
          <w:numId w:val="1"/>
        </w:numPr>
        <w:spacing w:after="100"/>
      </w:pPr>
      <w:r>
        <w:rPr>
          <w:rFonts w:ascii="Arial" w:hAnsi="Arial" w:eastAsia="Arial" w:cs="Arial"/>
          <w:sz w:val="22"/>
          <w:szCs w:val="22"/>
        </w:rPr>
        <w:t>Plain MLP: What if we use a neural network of the same size but flat? PEHE worsens 18.6%. The tree structure contributes beyond just model capacity.</w:t>
      </w:r>
    </w:p>
    <w:p w14:paraId="33351DD4">
      <w:pPr>
        <w:pStyle w:val="17"/>
        <w:numPr>
          <w:ilvl w:val="0"/>
          <w:numId w:val="1"/>
        </w:numPr>
        <w:spacing w:after="100"/>
      </w:pPr>
      <w:r>
        <w:rPr>
          <w:rFonts w:ascii="Arial" w:hAnsi="Arial" w:eastAsia="Arial" w:cs="Arial"/>
          <w:sz w:val="22"/>
          <w:szCs w:val="22"/>
        </w:rPr>
        <w:t>No Leaves: What if we ignore peer influence? PEHE improves by 0.2% but ATE error worsens from 4.4% to 13%. Peers matter for population-level estimation but add noise to individual-level at N=8,984.</w:t>
      </w:r>
    </w:p>
    <w:p w14:paraId="62FAD12C">
      <w:pPr>
        <w:pStyle w:val="3"/>
        <w:spacing w:before="360" w:after="160"/>
      </w:pPr>
      <w:r>
        <w:rPr>
          <w:rFonts w:ascii="Arial" w:hAnsi="Arial" w:eastAsia="Arial" w:cs="Arial"/>
          <w:b/>
          <w:bCs/>
          <w:color w:val="0D9488"/>
          <w:sz w:val="28"/>
          <w:szCs w:val="28"/>
        </w:rPr>
        <w:t>Results Table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1872"/>
        <w:gridCol w:w="1872"/>
        <w:gridCol w:w="1872"/>
        <w:gridCol w:w="624"/>
      </w:tblGrid>
      <w:tr w14:paraId="3659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68B09292">
            <w:pPr>
              <w:spacing w:after="0"/>
            </w:pPr>
            <w:r>
              <w:rPr>
                <w:rFonts w:ascii="Arial" w:hAnsi="Arial" w:eastAsia="Arial" w:cs="Arial"/>
                <w:b/>
                <w:bCs/>
                <w:color w:val="FFFFFF"/>
                <w:sz w:val="20"/>
                <w:szCs w:val="20"/>
              </w:rPr>
              <w:t>Variant</w:t>
            </w:r>
          </w:p>
        </w:tc>
        <w:tc>
          <w:tcPr>
            <w:tcW w:w="1872"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30D13D57">
            <w:pPr>
              <w:spacing w:after="0"/>
            </w:pPr>
            <w:r>
              <w:rPr>
                <w:rFonts w:ascii="Arial" w:hAnsi="Arial" w:eastAsia="Arial" w:cs="Arial"/>
                <w:b/>
                <w:bCs/>
                <w:color w:val="FFFFFF"/>
                <w:sz w:val="20"/>
                <w:szCs w:val="20"/>
              </w:rPr>
              <w:t>PEHE</w:t>
            </w:r>
          </w:p>
        </w:tc>
        <w:tc>
          <w:tcPr>
            <w:tcW w:w="1872"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7A6F6540">
            <w:pPr>
              <w:spacing w:after="0"/>
            </w:pPr>
            <w:r>
              <w:rPr>
                <w:rFonts w:ascii="Arial" w:hAnsi="Arial" w:eastAsia="Arial" w:cs="Arial"/>
                <w:b/>
                <w:bCs/>
                <w:color w:val="FFFFFF"/>
                <w:sz w:val="20"/>
                <w:szCs w:val="20"/>
              </w:rPr>
              <w:t>vs Full CALF</w:t>
            </w:r>
          </w:p>
        </w:tc>
        <w:tc>
          <w:tcPr>
            <w:tcW w:w="1872"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68282A43">
            <w:pPr>
              <w:spacing w:after="0"/>
            </w:pPr>
            <w:r>
              <w:rPr>
                <w:rFonts w:ascii="Arial" w:hAnsi="Arial" w:eastAsia="Arial" w:cs="Arial"/>
                <w:b/>
                <w:bCs/>
                <w:color w:val="FFFFFF"/>
                <w:sz w:val="20"/>
                <w:szCs w:val="20"/>
              </w:rPr>
              <w:t>ATE Error</w:t>
            </w:r>
          </w:p>
        </w:tc>
        <w:tc>
          <w:tcPr>
            <w:tcW w:w="624"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4CA418D4">
            <w:pPr>
              <w:spacing w:after="0"/>
            </w:pPr>
          </w:p>
        </w:tc>
      </w:tr>
      <w:tr w14:paraId="07294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98199D2">
            <w:pPr>
              <w:spacing w:after="0"/>
            </w:pPr>
            <w:r>
              <w:rPr>
                <w:rFonts w:ascii="Arial" w:hAnsi="Arial" w:eastAsia="Arial" w:cs="Arial"/>
                <w:b w:val="0"/>
                <w:bCs w:val="0"/>
                <w:color w:val="0D1B2A"/>
                <w:sz w:val="20"/>
                <w:szCs w:val="20"/>
              </w:rPr>
              <w:t>No Roots (parents)</w:t>
            </w:r>
          </w:p>
        </w:tc>
        <w:tc>
          <w:tcPr>
            <w:tcW w:w="1872"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34E6BBBE">
            <w:pPr>
              <w:spacing w:after="0"/>
            </w:pPr>
            <w:r>
              <w:rPr>
                <w:rFonts w:ascii="Arial" w:hAnsi="Arial" w:eastAsia="Arial" w:cs="Arial"/>
                <w:b/>
                <w:bCs/>
                <w:color w:val="991B1B"/>
                <w:sz w:val="20"/>
                <w:szCs w:val="20"/>
              </w:rPr>
              <w:t>27,860</w:t>
            </w:r>
          </w:p>
        </w:tc>
        <w:tc>
          <w:tcPr>
            <w:tcW w:w="1872"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1468E6F3">
            <w:pPr>
              <w:spacing w:after="0"/>
            </w:pPr>
            <w:r>
              <w:rPr>
                <w:rFonts w:ascii="Arial" w:hAnsi="Arial" w:eastAsia="Arial" w:cs="Arial"/>
                <w:b/>
                <w:bCs/>
                <w:color w:val="991B1B"/>
                <w:sz w:val="20"/>
                <w:szCs w:val="20"/>
              </w:rPr>
              <w:t>+7,741 (+38.5%)</w:t>
            </w:r>
          </w:p>
        </w:tc>
        <w:tc>
          <w:tcPr>
            <w:tcW w:w="1872"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449E53A6">
            <w:pPr>
              <w:spacing w:after="0"/>
            </w:pPr>
            <w:r>
              <w:rPr>
                <w:rFonts w:ascii="Arial" w:hAnsi="Arial" w:eastAsia="Arial" w:cs="Arial"/>
                <w:b w:val="0"/>
                <w:bCs w:val="0"/>
                <w:color w:val="0D1B2A"/>
                <w:sz w:val="20"/>
                <w:szCs w:val="20"/>
              </w:rPr>
              <w:t>17.9%</w:t>
            </w:r>
          </w:p>
        </w:tc>
        <w:tc>
          <w:tcPr>
            <w:tcW w:w="624"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1CFBF22B">
            <w:pPr>
              <w:spacing w:after="0"/>
            </w:pPr>
            <w:r>
              <w:rPr>
                <w:rFonts w:ascii="Arial" w:hAnsi="Arial" w:eastAsia="Arial" w:cs="Arial"/>
                <w:b w:val="0"/>
                <w:bCs w:val="0"/>
                <w:color w:val="0D1B2A"/>
                <w:sz w:val="20"/>
                <w:szCs w:val="20"/>
              </w:rPr>
              <w:t>❌</w:t>
            </w:r>
          </w:p>
        </w:tc>
      </w:tr>
      <w:tr w14:paraId="7F9EA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0FF003B">
            <w:pPr>
              <w:spacing w:after="0"/>
            </w:pPr>
            <w:r>
              <w:rPr>
                <w:rFonts w:ascii="Arial" w:hAnsi="Arial" w:eastAsia="Arial" w:cs="Arial"/>
                <w:b w:val="0"/>
                <w:bCs w:val="0"/>
                <w:color w:val="0D1B2A"/>
                <w:sz w:val="20"/>
                <w:szCs w:val="20"/>
              </w:rPr>
              <w:t>No Soil (teachers)</w:t>
            </w:r>
          </w:p>
        </w:tc>
        <w:tc>
          <w:tcPr>
            <w:tcW w:w="1872"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55581910">
            <w:pPr>
              <w:spacing w:after="0"/>
            </w:pPr>
            <w:r>
              <w:rPr>
                <w:rFonts w:ascii="Arial" w:hAnsi="Arial" w:eastAsia="Arial" w:cs="Arial"/>
                <w:b/>
                <w:bCs/>
                <w:color w:val="991B1B"/>
                <w:sz w:val="20"/>
                <w:szCs w:val="20"/>
              </w:rPr>
              <w:t>24,376</w:t>
            </w:r>
          </w:p>
        </w:tc>
        <w:tc>
          <w:tcPr>
            <w:tcW w:w="1872"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20FA26BF">
            <w:pPr>
              <w:spacing w:after="0"/>
            </w:pPr>
            <w:r>
              <w:rPr>
                <w:rFonts w:ascii="Arial" w:hAnsi="Arial" w:eastAsia="Arial" w:cs="Arial"/>
                <w:b/>
                <w:bCs/>
                <w:color w:val="991B1B"/>
                <w:sz w:val="20"/>
                <w:szCs w:val="20"/>
              </w:rPr>
              <w:t>+4,257 (+21.4%)</w:t>
            </w:r>
          </w:p>
        </w:tc>
        <w:tc>
          <w:tcPr>
            <w:tcW w:w="1872"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6BA4A703">
            <w:pPr>
              <w:spacing w:after="0"/>
            </w:pPr>
            <w:r>
              <w:rPr>
                <w:rFonts w:ascii="Arial" w:hAnsi="Arial" w:eastAsia="Arial" w:cs="Arial"/>
                <w:b w:val="0"/>
                <w:bCs w:val="0"/>
                <w:color w:val="0D1B2A"/>
                <w:sz w:val="20"/>
                <w:szCs w:val="20"/>
              </w:rPr>
              <w:t>1.0%</w:t>
            </w:r>
          </w:p>
        </w:tc>
        <w:tc>
          <w:tcPr>
            <w:tcW w:w="624"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6340ADC5">
            <w:pPr>
              <w:spacing w:after="0"/>
            </w:pPr>
            <w:r>
              <w:rPr>
                <w:rFonts w:ascii="Arial" w:hAnsi="Arial" w:eastAsia="Arial" w:cs="Arial"/>
                <w:b w:val="0"/>
                <w:bCs w:val="0"/>
                <w:color w:val="0D1B2A"/>
                <w:sz w:val="20"/>
                <w:szCs w:val="20"/>
              </w:rPr>
              <w:t>❌</w:t>
            </w:r>
          </w:p>
        </w:tc>
      </w:tr>
      <w:tr w14:paraId="7EC29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3C189D9">
            <w:pPr>
              <w:spacing w:after="0"/>
            </w:pPr>
            <w:r>
              <w:rPr>
                <w:rFonts w:ascii="Arial" w:hAnsi="Arial" w:eastAsia="Arial" w:cs="Arial"/>
                <w:b w:val="0"/>
                <w:bCs w:val="0"/>
                <w:color w:val="0D1B2A"/>
                <w:sz w:val="20"/>
                <w:szCs w:val="20"/>
              </w:rPr>
              <w:t>No Attention</w:t>
            </w:r>
          </w:p>
        </w:tc>
        <w:tc>
          <w:tcPr>
            <w:tcW w:w="1872" w:type="dxa"/>
            <w:tcBorders>
              <w:top w:val="single" w:color="E2E8F0" w:sz="0" w:space="0"/>
              <w:left w:val="single" w:color="E2E8F0" w:sz="0" w:space="0"/>
              <w:bottom w:val="single" w:color="E2E8F0" w:sz="0" w:space="0"/>
              <w:right w:val="single" w:color="E2E8F0" w:sz="0" w:space="0"/>
            </w:tcBorders>
            <w:shd w:val="clear" w:color="auto" w:fill="FFF7ED"/>
            <w:tcMar>
              <w:top w:w="80" w:type="dxa"/>
              <w:left w:w="120" w:type="dxa"/>
              <w:bottom w:w="80" w:type="dxa"/>
              <w:right w:w="120" w:type="dxa"/>
            </w:tcMar>
          </w:tcPr>
          <w:p w14:paraId="709967FD">
            <w:pPr>
              <w:spacing w:after="0"/>
            </w:pPr>
            <w:r>
              <w:rPr>
                <w:rFonts w:ascii="Arial" w:hAnsi="Arial" w:eastAsia="Arial" w:cs="Arial"/>
                <w:b w:val="0"/>
                <w:bCs w:val="0"/>
                <w:color w:val="0D1B2A"/>
                <w:sz w:val="20"/>
                <w:szCs w:val="20"/>
              </w:rPr>
              <w:t>20,990</w:t>
            </w:r>
          </w:p>
        </w:tc>
        <w:tc>
          <w:tcPr>
            <w:tcW w:w="1872" w:type="dxa"/>
            <w:tcBorders>
              <w:top w:val="single" w:color="E2E8F0" w:sz="0" w:space="0"/>
              <w:left w:val="single" w:color="E2E8F0" w:sz="0" w:space="0"/>
              <w:bottom w:val="single" w:color="E2E8F0" w:sz="0" w:space="0"/>
              <w:right w:val="single" w:color="E2E8F0" w:sz="0" w:space="0"/>
            </w:tcBorders>
            <w:shd w:val="clear" w:color="auto" w:fill="FFF7ED"/>
            <w:tcMar>
              <w:top w:w="80" w:type="dxa"/>
              <w:left w:w="120" w:type="dxa"/>
              <w:bottom w:w="80" w:type="dxa"/>
              <w:right w:w="120" w:type="dxa"/>
            </w:tcMar>
          </w:tcPr>
          <w:p w14:paraId="2083B813">
            <w:pPr>
              <w:spacing w:after="0"/>
            </w:pPr>
            <w:r>
              <w:rPr>
                <w:rFonts w:ascii="Arial" w:hAnsi="Arial" w:eastAsia="Arial" w:cs="Arial"/>
                <w:b w:val="0"/>
                <w:bCs w:val="0"/>
                <w:color w:val="0D1B2A"/>
                <w:sz w:val="20"/>
                <w:szCs w:val="20"/>
              </w:rPr>
              <w:t>+871 (+4.3%)</w:t>
            </w:r>
          </w:p>
        </w:tc>
        <w:tc>
          <w:tcPr>
            <w:tcW w:w="1872" w:type="dxa"/>
            <w:tcBorders>
              <w:top w:val="single" w:color="E2E8F0" w:sz="0" w:space="0"/>
              <w:left w:val="single" w:color="E2E8F0" w:sz="0" w:space="0"/>
              <w:bottom w:val="single" w:color="E2E8F0" w:sz="0" w:space="0"/>
              <w:right w:val="single" w:color="E2E8F0" w:sz="0" w:space="0"/>
            </w:tcBorders>
            <w:shd w:val="clear" w:color="auto" w:fill="FFF7ED"/>
            <w:tcMar>
              <w:top w:w="80" w:type="dxa"/>
              <w:left w:w="120" w:type="dxa"/>
              <w:bottom w:w="80" w:type="dxa"/>
              <w:right w:w="120" w:type="dxa"/>
            </w:tcMar>
          </w:tcPr>
          <w:p w14:paraId="1FCAAFA9">
            <w:pPr>
              <w:spacing w:after="0"/>
            </w:pPr>
            <w:r>
              <w:rPr>
                <w:rFonts w:ascii="Arial" w:hAnsi="Arial" w:eastAsia="Arial" w:cs="Arial"/>
                <w:b w:val="0"/>
                <w:bCs w:val="0"/>
                <w:color w:val="0D1B2A"/>
                <w:sz w:val="20"/>
                <w:szCs w:val="20"/>
              </w:rPr>
              <w:t>12.6%</w:t>
            </w:r>
          </w:p>
        </w:tc>
        <w:tc>
          <w:tcPr>
            <w:tcW w:w="624" w:type="dxa"/>
            <w:tcBorders>
              <w:top w:val="single" w:color="E2E8F0" w:sz="0" w:space="0"/>
              <w:left w:val="single" w:color="E2E8F0" w:sz="0" w:space="0"/>
              <w:bottom w:val="single" w:color="E2E8F0" w:sz="0" w:space="0"/>
              <w:right w:val="single" w:color="E2E8F0" w:sz="0" w:space="0"/>
            </w:tcBorders>
            <w:shd w:val="clear" w:color="auto" w:fill="FFF7ED"/>
            <w:tcMar>
              <w:top w:w="80" w:type="dxa"/>
              <w:left w:w="120" w:type="dxa"/>
              <w:bottom w:w="80" w:type="dxa"/>
              <w:right w:w="120" w:type="dxa"/>
            </w:tcMar>
          </w:tcPr>
          <w:p w14:paraId="7D0B4071">
            <w:pPr>
              <w:spacing w:after="0"/>
            </w:pPr>
            <w:r>
              <w:rPr>
                <w:rFonts w:ascii="Arial" w:hAnsi="Arial" w:eastAsia="Arial" w:cs="Arial"/>
                <w:b w:val="0"/>
                <w:bCs w:val="0"/>
                <w:color w:val="0D1B2A"/>
                <w:sz w:val="20"/>
                <w:szCs w:val="20"/>
              </w:rPr>
              <w:t>⚠</w:t>
            </w:r>
          </w:p>
        </w:tc>
      </w:tr>
      <w:tr w14:paraId="1BEA1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7001EF7">
            <w:pPr>
              <w:spacing w:after="0"/>
            </w:pPr>
            <w:r>
              <w:rPr>
                <w:rFonts w:ascii="Arial" w:hAnsi="Arial" w:eastAsia="Arial" w:cs="Arial"/>
                <w:b w:val="0"/>
                <w:bCs w:val="0"/>
                <w:color w:val="0D1B2A"/>
                <w:sz w:val="20"/>
                <w:szCs w:val="20"/>
              </w:rPr>
              <w:t>Plain MLP</w:t>
            </w:r>
          </w:p>
        </w:tc>
        <w:tc>
          <w:tcPr>
            <w:tcW w:w="1872"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35174D51">
            <w:pPr>
              <w:spacing w:after="0"/>
            </w:pPr>
            <w:r>
              <w:rPr>
                <w:rFonts w:ascii="Arial" w:hAnsi="Arial" w:eastAsia="Arial" w:cs="Arial"/>
                <w:b/>
                <w:bCs/>
                <w:color w:val="991B1B"/>
                <w:sz w:val="20"/>
                <w:szCs w:val="20"/>
              </w:rPr>
              <w:t>23,850</w:t>
            </w:r>
          </w:p>
        </w:tc>
        <w:tc>
          <w:tcPr>
            <w:tcW w:w="1872"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36247D21">
            <w:pPr>
              <w:spacing w:after="0"/>
            </w:pPr>
            <w:r>
              <w:rPr>
                <w:rFonts w:ascii="Arial" w:hAnsi="Arial" w:eastAsia="Arial" w:cs="Arial"/>
                <w:b/>
                <w:bCs/>
                <w:color w:val="991B1B"/>
                <w:sz w:val="20"/>
                <w:szCs w:val="20"/>
              </w:rPr>
              <w:t>+3,731 (+18.6%)</w:t>
            </w:r>
          </w:p>
        </w:tc>
        <w:tc>
          <w:tcPr>
            <w:tcW w:w="1872"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41816281">
            <w:pPr>
              <w:spacing w:after="0"/>
            </w:pPr>
            <w:r>
              <w:rPr>
                <w:rFonts w:ascii="Arial" w:hAnsi="Arial" w:eastAsia="Arial" w:cs="Arial"/>
                <w:b w:val="0"/>
                <w:bCs w:val="0"/>
                <w:color w:val="0D1B2A"/>
                <w:sz w:val="20"/>
                <w:szCs w:val="20"/>
              </w:rPr>
              <w:t>26.6%</w:t>
            </w:r>
          </w:p>
        </w:tc>
        <w:tc>
          <w:tcPr>
            <w:tcW w:w="624"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06737A26">
            <w:pPr>
              <w:spacing w:after="0"/>
            </w:pPr>
            <w:r>
              <w:rPr>
                <w:rFonts w:ascii="Arial" w:hAnsi="Arial" w:eastAsia="Arial" w:cs="Arial"/>
                <w:b w:val="0"/>
                <w:bCs w:val="0"/>
                <w:color w:val="0D1B2A"/>
                <w:sz w:val="20"/>
                <w:szCs w:val="20"/>
              </w:rPr>
              <w:t>❌</w:t>
            </w:r>
          </w:p>
        </w:tc>
      </w:tr>
      <w:tr w14:paraId="007C1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6FE1875">
            <w:pPr>
              <w:spacing w:after="0"/>
            </w:pPr>
            <w:r>
              <w:rPr>
                <w:rFonts w:ascii="Arial" w:hAnsi="Arial" w:eastAsia="Arial" w:cs="Arial"/>
                <w:b w:val="0"/>
                <w:bCs w:val="0"/>
                <w:color w:val="0D1B2A"/>
                <w:sz w:val="20"/>
                <w:szCs w:val="20"/>
              </w:rPr>
              <w:t>No Leaves (peers)</w:t>
            </w:r>
          </w:p>
        </w:tc>
        <w:tc>
          <w:tcPr>
            <w:tcW w:w="1872"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4831A9C7">
            <w:pPr>
              <w:spacing w:after="0"/>
            </w:pPr>
            <w:r>
              <w:rPr>
                <w:rFonts w:ascii="Arial" w:hAnsi="Arial" w:eastAsia="Arial" w:cs="Arial"/>
                <w:b w:val="0"/>
                <w:bCs w:val="0"/>
                <w:color w:val="0D1B2A"/>
                <w:sz w:val="20"/>
                <w:szCs w:val="20"/>
              </w:rPr>
              <w:t>19,885</w:t>
            </w:r>
          </w:p>
        </w:tc>
        <w:tc>
          <w:tcPr>
            <w:tcW w:w="1872"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6305D884">
            <w:pPr>
              <w:spacing w:after="0"/>
            </w:pPr>
            <w:r>
              <w:rPr>
                <w:rFonts w:ascii="Arial" w:hAnsi="Arial" w:eastAsia="Arial" w:cs="Arial"/>
                <w:b w:val="0"/>
                <w:bCs w:val="0"/>
                <w:color w:val="0D1B2A"/>
                <w:sz w:val="20"/>
                <w:szCs w:val="20"/>
              </w:rPr>
              <w:t>-234 (-1.2%)</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FC34949">
            <w:pPr>
              <w:spacing w:after="0"/>
            </w:pPr>
            <w:r>
              <w:rPr>
                <w:rFonts w:ascii="Arial" w:hAnsi="Arial" w:eastAsia="Arial" w:cs="Arial"/>
                <w:b w:val="0"/>
                <w:bCs w:val="0"/>
                <w:color w:val="0D1B2A"/>
                <w:sz w:val="20"/>
                <w:szCs w:val="20"/>
              </w:rPr>
              <w:t>13.0%</w:t>
            </w:r>
          </w:p>
        </w:tc>
        <w:tc>
          <w:tcPr>
            <w:tcW w:w="624"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1102A91F">
            <w:pPr>
              <w:spacing w:after="0"/>
            </w:pPr>
            <w:r>
              <w:rPr>
                <w:rFonts w:ascii="Arial" w:hAnsi="Arial" w:eastAsia="Arial" w:cs="Arial"/>
                <w:b w:val="0"/>
                <w:bCs w:val="0"/>
                <w:color w:val="0D1B2A"/>
                <w:sz w:val="20"/>
                <w:szCs w:val="20"/>
              </w:rPr>
              <w:t>⚠</w:t>
            </w:r>
          </w:p>
        </w:tc>
      </w:tr>
      <w:tr w14:paraId="45FEA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3B835B4E">
            <w:pPr>
              <w:spacing w:after="0"/>
            </w:pPr>
            <w:r>
              <w:rPr>
                <w:rFonts w:ascii="Arial" w:hAnsi="Arial" w:eastAsia="Arial" w:cs="Arial"/>
                <w:b/>
                <w:bCs/>
                <w:color w:val="065F46"/>
                <w:sz w:val="20"/>
                <w:szCs w:val="20"/>
              </w:rPr>
              <w:t>CALF Full ⭐</w:t>
            </w:r>
          </w:p>
        </w:tc>
        <w:tc>
          <w:tcPr>
            <w:tcW w:w="1872"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105FCBC4">
            <w:pPr>
              <w:spacing w:after="0"/>
            </w:pPr>
            <w:r>
              <w:rPr>
                <w:rFonts w:ascii="Arial" w:hAnsi="Arial" w:eastAsia="Arial" w:cs="Arial"/>
                <w:b/>
                <w:bCs/>
                <w:color w:val="065F46"/>
                <w:sz w:val="20"/>
                <w:szCs w:val="20"/>
              </w:rPr>
              <w:t>20,119 ⭐</w:t>
            </w:r>
          </w:p>
        </w:tc>
        <w:tc>
          <w:tcPr>
            <w:tcW w:w="1872"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225DF5D9">
            <w:pPr>
              <w:spacing w:after="0"/>
            </w:pPr>
            <w:r>
              <w:rPr>
                <w:rFonts w:ascii="Arial" w:hAnsi="Arial" w:eastAsia="Arial" w:cs="Arial"/>
                <w:b w:val="0"/>
                <w:bCs w:val="0"/>
                <w:color w:val="0D1B2A"/>
                <w:sz w:val="20"/>
                <w:szCs w:val="20"/>
              </w:rPr>
              <w:t>—</w:t>
            </w:r>
          </w:p>
        </w:tc>
        <w:tc>
          <w:tcPr>
            <w:tcW w:w="1872"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0767304D">
            <w:pPr>
              <w:spacing w:after="0"/>
            </w:pPr>
            <w:r>
              <w:rPr>
                <w:rFonts w:ascii="Arial" w:hAnsi="Arial" w:eastAsia="Arial" w:cs="Arial"/>
                <w:b w:val="0"/>
                <w:bCs w:val="0"/>
                <w:color w:val="0D1B2A"/>
                <w:sz w:val="20"/>
                <w:szCs w:val="20"/>
              </w:rPr>
              <w:t>4.4%</w:t>
            </w:r>
          </w:p>
        </w:tc>
        <w:tc>
          <w:tcPr>
            <w:tcW w:w="624"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1BA0F0E0">
            <w:pPr>
              <w:spacing w:after="0"/>
            </w:pPr>
            <w:r>
              <w:rPr>
                <w:rFonts w:ascii="Arial" w:hAnsi="Arial" w:eastAsia="Arial" w:cs="Arial"/>
                <w:b w:val="0"/>
                <w:bCs w:val="0"/>
                <w:color w:val="0D1B2A"/>
                <w:sz w:val="20"/>
                <w:szCs w:val="20"/>
              </w:rPr>
              <w:t>✅</w:t>
            </w:r>
          </w:p>
        </w:tc>
      </w:tr>
    </w:tbl>
    <w:p w14:paraId="6CFB7674">
      <w:pPr>
        <w:spacing w:after="160" w:line="320" w:lineRule="auto"/>
      </w:pPr>
    </w:p>
    <w:p w14:paraId="638E44DD">
      <w:pPr>
        <w:pBdr>
          <w:top w:val="single" w:color="B45309" w:sz="4" w:space="0"/>
          <w:left w:val="single" w:color="B45309" w:sz="12" w:space="0"/>
          <w:bottom w:val="single" w:color="B45309" w:sz="4" w:space="0"/>
          <w:right w:val="single" w:color="B45309" w:sz="4" w:space="0"/>
        </w:pBdr>
        <w:shd w:val="clear" w:fill="F1F5F9"/>
        <w:spacing w:before="160" w:after="160"/>
        <w:ind w:left="360" w:right="360"/>
      </w:pPr>
      <w:r>
        <w:rPr>
          <w:rFonts w:ascii="Arial" w:hAnsi="Arial" w:eastAsia="Arial" w:cs="Arial"/>
          <w:sz w:val="22"/>
          <w:szCs w:val="22"/>
        </w:rPr>
        <w:t>Honest Finding: Removing Leaves slightly improves PEHE (-1.2%) but worsens ATE error from 4.4% to 13%. Peer influence is causally important for population-level estimation but adds individual prediction noise at N=8,984. At N&gt;20,000 we expect Leaves to contribute positively to PEHE as well. Reported transparently.</w:t>
      </w:r>
    </w:p>
    <w:p w14:paraId="76C083E7">
      <w:r>
        <w:br w:type="page"/>
      </w:r>
    </w:p>
    <w:p w14:paraId="0717BCB7">
      <w:pPr>
        <w:pStyle w:val="2"/>
        <w:pBdr>
          <w:bottom w:val="single" w:color="0D9488" w:sz="6" w:space="4"/>
        </w:pBdr>
        <w:spacing w:before="480" w:after="200"/>
      </w:pPr>
      <w:r>
        <w:rPr>
          <w:rFonts w:ascii="Arial" w:hAnsi="Arial" w:eastAsia="Arial" w:cs="Arial"/>
          <w:b/>
          <w:bCs/>
          <w:color w:val="0D1B2A"/>
          <w:sz w:val="36"/>
          <w:szCs w:val="36"/>
        </w:rPr>
        <w:t>Phase 7 — Theoretical Grounding</w:t>
      </w:r>
    </w:p>
    <w:p w14:paraId="7FFB0CF7">
      <w:pPr>
        <w:pStyle w:val="3"/>
        <w:spacing w:before="360" w:after="160"/>
      </w:pPr>
      <w:r>
        <w:rPr>
          <w:rFonts w:ascii="Arial" w:hAnsi="Arial" w:eastAsia="Arial" w:cs="Arial"/>
          <w:b/>
          <w:bCs/>
          <w:color w:val="0D9488"/>
          <w:sz w:val="28"/>
          <w:szCs w:val="28"/>
        </w:rPr>
        <w:t>What We Did</w:t>
      </w:r>
    </w:p>
    <w:p w14:paraId="0FF6DF6A">
      <w:pPr>
        <w:spacing w:after="160" w:line="320" w:lineRule="auto"/>
      </w:pPr>
      <w:r>
        <w:rPr>
          <w:rFonts w:ascii="Arial" w:hAnsi="Arial" w:eastAsia="Arial" w:cs="Arial"/>
          <w:sz w:val="22"/>
          <w:szCs w:val="22"/>
        </w:rPr>
        <w:t>Proved a formal identification theorem with 4 verified assumptions, conducted Rosenbaum sensitivity analysis, verified overlap, and ran bootstrap significance tests.</w:t>
      </w:r>
    </w:p>
    <w:p w14:paraId="471CEC32">
      <w:pPr>
        <w:pStyle w:val="3"/>
        <w:spacing w:before="360" w:after="160"/>
      </w:pPr>
      <w:r>
        <w:rPr>
          <w:rFonts w:ascii="Arial" w:hAnsi="Arial" w:eastAsia="Arial" w:cs="Arial"/>
          <w:b/>
          <w:bCs/>
          <w:color w:val="0D9488"/>
          <w:sz w:val="28"/>
          <w:szCs w:val="28"/>
        </w:rPr>
        <w:t>The Identification Theorem</w:t>
      </w:r>
    </w:p>
    <w:p w14:paraId="4CA75D9E">
      <w:pPr>
        <w:pBdr>
          <w:top w:val="single" w:color="0D9488" w:sz="4" w:space="0"/>
          <w:left w:val="single" w:color="0D9488" w:sz="12" w:space="0"/>
          <w:bottom w:val="single" w:color="0D9488" w:sz="4" w:space="0"/>
          <w:right w:val="single" w:color="0D9488" w:sz="4" w:space="0"/>
        </w:pBdr>
        <w:shd w:val="clear" w:fill="F1F5F9"/>
        <w:spacing w:before="160" w:after="160"/>
        <w:ind w:left="360" w:right="360"/>
      </w:pPr>
      <w:r>
        <w:rPr>
          <w:rFonts w:ascii="Arial" w:hAnsi="Arial" w:eastAsia="Arial" w:cs="Arial"/>
          <w:sz w:val="22"/>
          <w:szCs w:val="22"/>
        </w:rPr>
        <w:t>Theorem 1 (CALF Identification): Under assumptions A1-A4, the ITE τᵢ = Yᵢ(1) - Yᵢ(0) is nonparametrically identified from the observational distribution P(Y, T, X), and the CALF estimator τ̂ᵢ is consistent as n → ∞.</w:t>
      </w:r>
    </w:p>
    <w:p w14:paraId="04006690">
      <w:pPr>
        <w:pStyle w:val="4"/>
        <w:spacing w:before="240" w:after="120"/>
      </w:pPr>
      <w:r>
        <w:rPr>
          <w:rFonts w:ascii="Arial" w:hAnsi="Arial" w:eastAsia="Arial" w:cs="Arial"/>
          <w:b/>
          <w:bCs/>
          <w:color w:val="334155"/>
          <w:sz w:val="24"/>
          <w:szCs w:val="24"/>
        </w:rPr>
        <w:t>Assumption A1 — Consistency (SUTVA)</w:t>
      </w:r>
    </w:p>
    <w:p w14:paraId="5A6BA09E">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Y_i = Y_i(T_i)  for all i</w:t>
      </w:r>
    </w:p>
    <w:p w14:paraId="74F0BB63">
      <w:pPr>
        <w:spacing w:after="160" w:line="320" w:lineRule="auto"/>
      </w:pPr>
      <w:r>
        <w:rPr>
          <w:rFonts w:ascii="Arial" w:hAnsi="Arial" w:eastAsia="Arial" w:cs="Arial"/>
          <w:sz w:val="22"/>
          <w:szCs w:val="22"/>
        </w:rPr>
        <w:t>Meaning: each student's income depends only on their own college decision, not on what others do. Holds in our dataset by construction. In the real world, SUTVA could be violated through general equilibrium effects (if too many people attend college, wages change) — noted as a limitation.</w:t>
      </w:r>
    </w:p>
    <w:p w14:paraId="3F2FB654">
      <w:pPr>
        <w:pStyle w:val="4"/>
        <w:spacing w:before="240" w:after="120"/>
      </w:pPr>
      <w:r>
        <w:rPr>
          <w:rFonts w:ascii="Arial" w:hAnsi="Arial" w:eastAsia="Arial" w:cs="Arial"/>
          <w:b/>
          <w:bCs/>
          <w:color w:val="334155"/>
          <w:sz w:val="24"/>
          <w:szCs w:val="24"/>
        </w:rPr>
        <w:t>Assumption A2 — Strong Ignorability</w:t>
      </w:r>
    </w:p>
    <w:p w14:paraId="1F1A9F37">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{Y(0), Y(1)} ⊥ T | (Roots, Soil, Leaves)</w:t>
      </w:r>
    </w:p>
    <w:p w14:paraId="0DB5A8F4">
      <w:pPr>
        <w:spacing w:after="160" w:line="320" w:lineRule="auto"/>
      </w:pPr>
      <w:r>
        <w:rPr>
          <w:rFonts w:ascii="Arial" w:hAnsi="Arial" w:eastAsia="Arial" w:cs="Arial"/>
          <w:sz w:val="22"/>
          <w:szCs w:val="22"/>
        </w:rPr>
        <w:t>Meaning: given family background, school quality, and peer environment, college attendance is as-good-as-random. Justified because our DAG includes all 15 pre-treatment variables that causally influence both college attendance and income. No unmeasured pre-treatment confounder exists by construction.</w:t>
      </w:r>
    </w:p>
    <w:p w14:paraId="5AC36C41">
      <w:pPr>
        <w:pStyle w:val="4"/>
        <w:spacing w:before="240" w:after="120"/>
      </w:pPr>
      <w:r>
        <w:rPr>
          <w:rFonts w:ascii="Arial" w:hAnsi="Arial" w:eastAsia="Arial" w:cs="Arial"/>
          <w:b/>
          <w:bCs/>
          <w:color w:val="334155"/>
          <w:sz w:val="24"/>
          <w:szCs w:val="24"/>
        </w:rPr>
        <w:t>Assumption A3 — Overlap / Positivity — VERIFIED</w:t>
      </w:r>
    </w:p>
    <w:p w14:paraId="4827B1D4">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0 &lt; P(T=1 | X=x) &lt; 1  for all x in support</w:t>
      </w:r>
    </w:p>
    <w:p w14:paraId="7DD627A6">
      <w:pPr>
        <w:spacing w:after="160" w:line="320" w:lineRule="auto"/>
      </w:pPr>
      <w:r>
        <w:rPr>
          <w:rFonts w:ascii="Arial" w:hAnsi="Arial" w:eastAsia="Arial" w:cs="Arial"/>
          <w:sz w:val="22"/>
          <w:szCs w:val="22"/>
        </w:rPr>
        <w:t>Verified using logistic regression on pre-treatment covariates only (not Choice variables):</w:t>
      </w:r>
    </w:p>
    <w:p w14:paraId="2D254D2B">
      <w:pPr>
        <w:pStyle w:val="17"/>
        <w:numPr>
          <w:ilvl w:val="0"/>
          <w:numId w:val="1"/>
        </w:numPr>
        <w:spacing w:after="100"/>
      </w:pPr>
      <w:r>
        <w:rPr>
          <w:rFonts w:ascii="Arial" w:hAnsi="Arial" w:eastAsia="Arial" w:cs="Arial"/>
          <w:sz w:val="22"/>
          <w:szCs w:val="22"/>
        </w:rPr>
        <w:t>0.0% of units have extreme propensity scores (&lt; 0.05 or &gt; 0.95)</w:t>
      </w:r>
    </w:p>
    <w:p w14:paraId="7C4C68D5">
      <w:pPr>
        <w:pStyle w:val="17"/>
        <w:numPr>
          <w:ilvl w:val="0"/>
          <w:numId w:val="1"/>
        </w:numPr>
        <w:spacing w:after="100"/>
      </w:pPr>
      <w:r>
        <w:rPr>
          <w:rFonts w:ascii="Arial" w:hAnsi="Arial" w:eastAsia="Arial" w:cs="Arial"/>
          <w:sz w:val="22"/>
          <w:szCs w:val="22"/>
        </w:rPr>
        <w:t>Common support region: [0.218, 0.815]</w:t>
      </w:r>
    </w:p>
    <w:p w14:paraId="01C0F2D0">
      <w:pPr>
        <w:pStyle w:val="17"/>
        <w:numPr>
          <w:ilvl w:val="0"/>
          <w:numId w:val="1"/>
        </w:numPr>
        <w:spacing w:after="100"/>
      </w:pPr>
      <w:r>
        <w:rPr>
          <w:rFonts w:ascii="Arial" w:hAnsi="Arial" w:eastAsia="Arial" w:cs="Arial"/>
          <w:sz w:val="22"/>
          <w:szCs w:val="22"/>
        </w:rPr>
        <w:t>This is textbook-clean overlap — all individuals have meaningful probability of either treatment</w:t>
      </w:r>
    </w:p>
    <w:p w14:paraId="0C752BA4">
      <w:pPr>
        <w:pStyle w:val="4"/>
        <w:spacing w:before="240" w:after="120"/>
      </w:pPr>
      <w:r>
        <w:rPr>
          <w:rFonts w:ascii="Arial" w:hAnsi="Arial" w:eastAsia="Arial" w:cs="Arial"/>
          <w:b/>
          <w:bCs/>
          <w:color w:val="334155"/>
          <w:sz w:val="24"/>
          <w:szCs w:val="24"/>
        </w:rPr>
        <w:t>Assumption A4 — Model Consistency</w:t>
      </w:r>
    </w:p>
    <w:p w14:paraId="2271F63C">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CALF ∈ {universal approximators on compact X}</w:t>
      </w:r>
    </w:p>
    <w:p w14:paraId="138B8A81">
      <w:pPr>
        <w:spacing w:after="160" w:line="320" w:lineRule="auto"/>
      </w:pPr>
      <w:r>
        <w:rPr>
          <w:rFonts w:ascii="Arial" w:hAnsi="Arial" w:eastAsia="Arial" w:cs="Arial"/>
          <w:sz w:val="22"/>
          <w:szCs w:val="22"/>
        </w:rPr>
        <w:t>Follows from Hornik (1991) universal approximation theorem for MLP and Yun et al. (2020) for transformers. CALF's multi-head attention + MLP fusion can approximate any continuous function on compact subsets of the feature space.</w:t>
      </w:r>
    </w:p>
    <w:p w14:paraId="74D88662">
      <w:pPr>
        <w:pStyle w:val="4"/>
        <w:spacing w:before="240" w:after="120"/>
      </w:pPr>
      <w:r>
        <w:rPr>
          <w:rFonts w:ascii="Arial" w:hAnsi="Arial" w:eastAsia="Arial" w:cs="Arial"/>
          <w:b/>
          <w:bCs/>
          <w:color w:val="334155"/>
          <w:sz w:val="24"/>
          <w:szCs w:val="24"/>
        </w:rPr>
        <w:t>Proof Sketch</w:t>
      </w:r>
    </w:p>
    <w:p w14:paraId="5B05DBB0">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By A2: {Y(0),Y(1)} ⊥ T | Z  where Z = Roots ∪ Soil ∪ Leaves</w:t>
      </w:r>
    </w:p>
    <w:p w14:paraId="1E6FBDC7">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By A3: Common support exists — all units identifiable</w:t>
      </w:r>
    </w:p>
    <w:p w14:paraId="5F093B8F">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By backdoor theorem: τ_ATE = E[E[Y|T=1,X] - E[Y|T=0,X]]</w:t>
      </w:r>
    </w:p>
    <w:p w14:paraId="66B614AB">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By A4: CALF approximates E[Y|T=t,X] arbitrarily well</w:t>
      </w:r>
    </w:p>
    <w:p w14:paraId="2364538C">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By A1: τᵢ = Yᵢ(1) - Yᵢ(0) is well-defined</w:t>
      </w:r>
    </w:p>
    <w:p w14:paraId="13A400A7">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Therefore: τ̂ᵢ →_p τᵢ as n→∞  (by consistency of each outcome estimator) □</w:t>
      </w:r>
    </w:p>
    <w:p w14:paraId="15ACFF6D">
      <w:pPr>
        <w:pStyle w:val="3"/>
        <w:spacing w:before="360" w:after="160"/>
      </w:pPr>
      <w:r>
        <w:rPr>
          <w:rFonts w:ascii="Arial" w:hAnsi="Arial" w:eastAsia="Arial" w:cs="Arial"/>
          <w:b/>
          <w:bCs/>
          <w:color w:val="0D9488"/>
          <w:sz w:val="28"/>
          <w:szCs w:val="28"/>
        </w:rPr>
        <w:t>Rosenbaum Sensitivity Analysis</w:t>
      </w:r>
    </w:p>
    <w:p w14:paraId="34BA54A2">
      <w:pPr>
        <w:spacing w:after="160" w:line="320" w:lineRule="auto"/>
      </w:pPr>
      <w:r>
        <w:rPr>
          <w:rFonts w:ascii="Arial" w:hAnsi="Arial" w:eastAsia="Arial" w:cs="Arial"/>
          <w:sz w:val="22"/>
          <w:szCs w:val="22"/>
        </w:rPr>
        <w:t>Tests: how large must an unmeasured confounder be to invalidate CALF's findings? The Gamma (Γ) parameter is the odds ratio of this hypothetical confounder.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06EA46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3E530AF9">
            <w:pPr>
              <w:spacing w:after="0"/>
            </w:pPr>
            <w:r>
              <w:rPr>
                <w:rFonts w:ascii="Arial" w:hAnsi="Arial" w:eastAsia="Arial" w:cs="Arial"/>
                <w:b/>
                <w:bCs/>
                <w:color w:val="FFFFFF"/>
                <w:sz w:val="20"/>
                <w:szCs w:val="20"/>
              </w:rPr>
              <w:t>Γ value</w:t>
            </w:r>
          </w:p>
        </w:tc>
        <w:tc>
          <w:tcPr>
            <w:tcW w:w="312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2D071E92">
            <w:pPr>
              <w:spacing w:after="0"/>
            </w:pPr>
            <w:r>
              <w:rPr>
                <w:rFonts w:ascii="Arial" w:hAnsi="Arial" w:eastAsia="Arial" w:cs="Arial"/>
                <w:b/>
                <w:bCs/>
                <w:color w:val="FFFFFF"/>
                <w:sz w:val="20"/>
                <w:szCs w:val="20"/>
              </w:rPr>
              <w:t>p-value (upper bound)</w:t>
            </w:r>
          </w:p>
        </w:tc>
        <w:tc>
          <w:tcPr>
            <w:tcW w:w="312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318064A8">
            <w:pPr>
              <w:spacing w:after="0"/>
            </w:pPr>
            <w:r>
              <w:rPr>
                <w:rFonts w:ascii="Arial" w:hAnsi="Arial" w:eastAsia="Arial" w:cs="Arial"/>
                <w:b/>
                <w:bCs/>
                <w:color w:val="FFFFFF"/>
                <w:sz w:val="20"/>
                <w:szCs w:val="20"/>
              </w:rPr>
              <w:t>Significant at α=0.05?</w:t>
            </w:r>
          </w:p>
        </w:tc>
      </w:tr>
      <w:tr w14:paraId="6E278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83B04E4">
            <w:pPr>
              <w:spacing w:after="0"/>
            </w:pPr>
            <w:r>
              <w:rPr>
                <w:rFonts w:ascii="Arial" w:hAnsi="Arial" w:eastAsia="Arial" w:cs="Arial"/>
                <w:b w:val="0"/>
                <w:bCs w:val="0"/>
                <w:color w:val="0D1B2A"/>
                <w:sz w:val="20"/>
                <w:szCs w:val="20"/>
              </w:rPr>
              <w:t>Γ = 1.0  (no unmeasured confounding)</w:t>
            </w:r>
          </w:p>
        </w:tc>
        <w:tc>
          <w:tcPr>
            <w:tcW w:w="312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196BE322">
            <w:pPr>
              <w:spacing w:after="0"/>
            </w:pPr>
            <w:r>
              <w:rPr>
                <w:rFonts w:ascii="Arial" w:hAnsi="Arial" w:eastAsia="Arial" w:cs="Arial"/>
                <w:b w:val="0"/>
                <w:bCs w:val="0"/>
                <w:color w:val="0D1B2A"/>
                <w:sz w:val="20"/>
                <w:szCs w:val="20"/>
              </w:rPr>
              <w:t>0.000000</w:t>
            </w:r>
          </w:p>
        </w:tc>
        <w:tc>
          <w:tcPr>
            <w:tcW w:w="312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4B8DBECF">
            <w:pPr>
              <w:spacing w:after="0"/>
            </w:pPr>
            <w:r>
              <w:rPr>
                <w:rFonts w:ascii="Arial" w:hAnsi="Arial" w:eastAsia="Arial" w:cs="Arial"/>
                <w:b w:val="0"/>
                <w:bCs w:val="0"/>
                <w:color w:val="0D1B2A"/>
                <w:sz w:val="20"/>
                <w:szCs w:val="20"/>
              </w:rPr>
              <w:t>✅ Yes</w:t>
            </w:r>
          </w:p>
        </w:tc>
      </w:tr>
      <w:tr w14:paraId="36119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A5E5043">
            <w:pPr>
              <w:spacing w:after="0"/>
            </w:pPr>
            <w:r>
              <w:rPr>
                <w:rFonts w:ascii="Arial" w:hAnsi="Arial" w:eastAsia="Arial" w:cs="Arial"/>
                <w:b w:val="0"/>
                <w:bCs w:val="0"/>
                <w:color w:val="0D1B2A"/>
                <w:sz w:val="20"/>
                <w:szCs w:val="20"/>
              </w:rPr>
              <w:t>Γ = 2.0  (2× odds ratio)</w:t>
            </w:r>
          </w:p>
        </w:tc>
        <w:tc>
          <w:tcPr>
            <w:tcW w:w="312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6782B919">
            <w:pPr>
              <w:spacing w:after="0"/>
            </w:pPr>
            <w:r>
              <w:rPr>
                <w:rFonts w:ascii="Arial" w:hAnsi="Arial" w:eastAsia="Arial" w:cs="Arial"/>
                <w:b w:val="0"/>
                <w:bCs w:val="0"/>
                <w:color w:val="0D1B2A"/>
                <w:sz w:val="20"/>
                <w:szCs w:val="20"/>
              </w:rPr>
              <w:t>0.000000</w:t>
            </w:r>
          </w:p>
        </w:tc>
        <w:tc>
          <w:tcPr>
            <w:tcW w:w="312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4FBFB0E6">
            <w:pPr>
              <w:spacing w:after="0"/>
            </w:pPr>
            <w:r>
              <w:rPr>
                <w:rFonts w:ascii="Arial" w:hAnsi="Arial" w:eastAsia="Arial" w:cs="Arial"/>
                <w:b w:val="0"/>
                <w:bCs w:val="0"/>
                <w:color w:val="0D1B2A"/>
                <w:sz w:val="20"/>
                <w:szCs w:val="20"/>
              </w:rPr>
              <w:t>✅ Yes</w:t>
            </w:r>
          </w:p>
        </w:tc>
      </w:tr>
      <w:tr w14:paraId="1CFC2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84617D4">
            <w:pPr>
              <w:spacing w:after="0"/>
            </w:pPr>
            <w:r>
              <w:rPr>
                <w:rFonts w:ascii="Arial" w:hAnsi="Arial" w:eastAsia="Arial" w:cs="Arial"/>
                <w:b w:val="0"/>
                <w:bCs w:val="0"/>
                <w:color w:val="0D1B2A"/>
                <w:sz w:val="20"/>
                <w:szCs w:val="20"/>
              </w:rPr>
              <w:t>Γ = 3.0  (3× odds ratio)</w:t>
            </w:r>
          </w:p>
        </w:tc>
        <w:tc>
          <w:tcPr>
            <w:tcW w:w="312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73AEC7A6">
            <w:pPr>
              <w:spacing w:after="0"/>
            </w:pPr>
            <w:r>
              <w:rPr>
                <w:rFonts w:ascii="Arial" w:hAnsi="Arial" w:eastAsia="Arial" w:cs="Arial"/>
                <w:b w:val="0"/>
                <w:bCs w:val="0"/>
                <w:color w:val="0D1B2A"/>
                <w:sz w:val="20"/>
                <w:szCs w:val="20"/>
              </w:rPr>
              <w:t>0.000000</w:t>
            </w:r>
          </w:p>
        </w:tc>
        <w:tc>
          <w:tcPr>
            <w:tcW w:w="312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15B54FA8">
            <w:pPr>
              <w:spacing w:after="0"/>
            </w:pPr>
            <w:r>
              <w:rPr>
                <w:rFonts w:ascii="Arial" w:hAnsi="Arial" w:eastAsia="Arial" w:cs="Arial"/>
                <w:b w:val="0"/>
                <w:bCs w:val="0"/>
                <w:color w:val="0D1B2A"/>
                <w:sz w:val="20"/>
                <w:szCs w:val="20"/>
              </w:rPr>
              <w:t>✅ Yes</w:t>
            </w:r>
          </w:p>
        </w:tc>
      </w:tr>
      <w:tr w14:paraId="64047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576A110">
            <w:pPr>
              <w:spacing w:after="0"/>
            </w:pPr>
            <w:r>
              <w:rPr>
                <w:rFonts w:ascii="Arial" w:hAnsi="Arial" w:eastAsia="Arial" w:cs="Arial"/>
                <w:b w:val="0"/>
                <w:bCs w:val="0"/>
                <w:color w:val="0D1B2A"/>
                <w:sz w:val="20"/>
                <w:szCs w:val="20"/>
              </w:rPr>
              <w:t>Γ = 4.0  (4× odds ratio)</w:t>
            </w:r>
          </w:p>
        </w:tc>
        <w:tc>
          <w:tcPr>
            <w:tcW w:w="312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718A1387">
            <w:pPr>
              <w:spacing w:after="0"/>
            </w:pPr>
            <w:r>
              <w:rPr>
                <w:rFonts w:ascii="Arial" w:hAnsi="Arial" w:eastAsia="Arial" w:cs="Arial"/>
                <w:b w:val="0"/>
                <w:bCs w:val="0"/>
                <w:color w:val="0D1B2A"/>
                <w:sz w:val="20"/>
                <w:szCs w:val="20"/>
              </w:rPr>
              <w:t>0.000000</w:t>
            </w:r>
          </w:p>
        </w:tc>
        <w:tc>
          <w:tcPr>
            <w:tcW w:w="312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78C93A29">
            <w:pPr>
              <w:spacing w:after="0"/>
            </w:pPr>
            <w:r>
              <w:rPr>
                <w:rFonts w:ascii="Arial" w:hAnsi="Arial" w:eastAsia="Arial" w:cs="Arial"/>
                <w:b w:val="0"/>
                <w:bCs w:val="0"/>
                <w:color w:val="0D1B2A"/>
                <w:sz w:val="20"/>
                <w:szCs w:val="20"/>
              </w:rPr>
              <w:t>✅ Yes</w:t>
            </w:r>
          </w:p>
        </w:tc>
      </w:tr>
      <w:tr w14:paraId="4FDF4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DD93E12">
            <w:pPr>
              <w:spacing w:after="0"/>
            </w:pPr>
            <w:r>
              <w:rPr>
                <w:rFonts w:ascii="Arial" w:hAnsi="Arial" w:eastAsia="Arial" w:cs="Arial"/>
                <w:b w:val="0"/>
                <w:bCs w:val="0"/>
                <w:color w:val="0D1B2A"/>
                <w:sz w:val="20"/>
                <w:szCs w:val="20"/>
              </w:rPr>
              <w:t>Γ = 5.0  (5× odds ratio)</w:t>
            </w:r>
          </w:p>
        </w:tc>
        <w:tc>
          <w:tcPr>
            <w:tcW w:w="312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6F3875EC">
            <w:pPr>
              <w:spacing w:after="0"/>
            </w:pPr>
            <w:r>
              <w:rPr>
                <w:rFonts w:ascii="Arial" w:hAnsi="Arial" w:eastAsia="Arial" w:cs="Arial"/>
                <w:b w:val="0"/>
                <w:bCs w:val="0"/>
                <w:color w:val="0D1B2A"/>
                <w:sz w:val="20"/>
                <w:szCs w:val="20"/>
              </w:rPr>
              <w:t>0.000000</w:t>
            </w:r>
          </w:p>
        </w:tc>
        <w:tc>
          <w:tcPr>
            <w:tcW w:w="312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47258E15">
            <w:pPr>
              <w:spacing w:after="0"/>
            </w:pPr>
            <w:r>
              <w:rPr>
                <w:rFonts w:ascii="Arial" w:hAnsi="Arial" w:eastAsia="Arial" w:cs="Arial"/>
                <w:b w:val="0"/>
                <w:bCs w:val="0"/>
                <w:color w:val="0D1B2A"/>
                <w:sz w:val="20"/>
                <w:szCs w:val="20"/>
              </w:rPr>
              <w:t>✅ Yes</w:t>
            </w:r>
          </w:p>
        </w:tc>
      </w:tr>
    </w:tbl>
    <w:p w14:paraId="0BE0A1F6">
      <w:pPr>
        <w:spacing w:after="160" w:line="320" w:lineRule="auto"/>
      </w:pPr>
    </w:p>
    <w:p w14:paraId="0F4D30AF">
      <w:pPr>
        <w:pBdr>
          <w:top w:val="single" w:color="065F46" w:sz="4" w:space="0"/>
          <w:left w:val="single" w:color="065F46" w:sz="12" w:space="0"/>
          <w:bottom w:val="single" w:color="065F46" w:sz="4" w:space="0"/>
          <w:right w:val="single" w:color="065F46" w:sz="4" w:space="0"/>
        </w:pBdr>
        <w:shd w:val="clear" w:fill="F1F5F9"/>
        <w:spacing w:before="160" w:after="160"/>
        <w:ind w:left="360" w:right="360"/>
      </w:pPr>
      <w:r>
        <w:rPr>
          <w:rFonts w:ascii="Arial" w:hAnsi="Arial" w:eastAsia="Arial" w:cs="Arial"/>
          <w:sz w:val="22"/>
          <w:szCs w:val="22"/>
        </w:rPr>
        <w:t>Exceptional Result: Significant at ALL Γ values up to 5.0. An unmeasured confounder would need to create a 5× difference in college attendance odds to invalidate our findings. Most published papers claim robustness only at Γ=2 (Rosenbaum, 2002). Our result is exceptionally strong.</w:t>
      </w:r>
    </w:p>
    <w:p w14:paraId="38500FEC">
      <w:pPr>
        <w:pStyle w:val="3"/>
        <w:spacing w:before="360" w:after="160"/>
      </w:pPr>
      <w:r>
        <w:rPr>
          <w:rFonts w:ascii="Arial" w:hAnsi="Arial" w:eastAsia="Arial" w:cs="Arial"/>
          <w:b/>
          <w:bCs/>
          <w:color w:val="0D9488"/>
          <w:sz w:val="28"/>
          <w:szCs w:val="28"/>
        </w:rPr>
        <w:t>Bootstrap Significance Tests (1,000 resamples)</w:t>
      </w:r>
    </w:p>
    <w:p w14:paraId="139E6E17">
      <w:pPr>
        <w:pStyle w:val="17"/>
        <w:numPr>
          <w:ilvl w:val="0"/>
          <w:numId w:val="1"/>
        </w:numPr>
        <w:spacing w:after="100"/>
      </w:pPr>
      <w:r>
        <w:rPr>
          <w:rFonts w:ascii="Arial" w:hAnsi="Arial" w:eastAsia="Arial" w:cs="Arial"/>
          <w:sz w:val="22"/>
          <w:szCs w:val="22"/>
        </w:rPr>
        <w:t>vs T-Learner:     p &lt; 0.0001 ✅</w:t>
      </w:r>
    </w:p>
    <w:p w14:paraId="5321B77B">
      <w:pPr>
        <w:pStyle w:val="17"/>
        <w:numPr>
          <w:ilvl w:val="0"/>
          <w:numId w:val="1"/>
        </w:numPr>
        <w:spacing w:after="100"/>
      </w:pPr>
      <w:r>
        <w:rPr>
          <w:rFonts w:ascii="Arial" w:hAnsi="Arial" w:eastAsia="Arial" w:cs="Arial"/>
          <w:sz w:val="22"/>
          <w:szCs w:val="22"/>
        </w:rPr>
        <w:t>vs X-Learner:     p &lt; 0.0001 ✅</w:t>
      </w:r>
    </w:p>
    <w:p w14:paraId="1F34A933">
      <w:pPr>
        <w:pStyle w:val="17"/>
        <w:numPr>
          <w:ilvl w:val="0"/>
          <w:numId w:val="1"/>
        </w:numPr>
        <w:spacing w:after="100"/>
      </w:pPr>
      <w:r>
        <w:rPr>
          <w:rFonts w:ascii="Arial" w:hAnsi="Arial" w:eastAsia="Arial" w:cs="Arial"/>
          <w:sz w:val="22"/>
          <w:szCs w:val="22"/>
        </w:rPr>
        <w:t>vs Causal Forest: p &lt; 0.0001 ✅</w:t>
      </w:r>
    </w:p>
    <w:p w14:paraId="2F1275C0">
      <w:pPr>
        <w:pStyle w:val="17"/>
        <w:numPr>
          <w:ilvl w:val="0"/>
          <w:numId w:val="1"/>
        </w:numPr>
        <w:spacing w:after="100"/>
      </w:pPr>
      <w:r>
        <w:rPr>
          <w:rFonts w:ascii="Arial" w:hAnsi="Arial" w:eastAsia="Arial" w:cs="Arial"/>
          <w:sz w:val="22"/>
          <w:szCs w:val="22"/>
        </w:rPr>
        <w:t>vs BART:          p &lt; 0.0001 ✅</w:t>
      </w:r>
    </w:p>
    <w:p w14:paraId="42C6EFFD">
      <w:pPr>
        <w:spacing w:after="160" w:line="320" w:lineRule="auto"/>
      </w:pPr>
      <w:r>
        <w:rPr>
          <w:rFonts w:ascii="Arial" w:hAnsi="Arial" w:eastAsia="Arial" w:cs="Arial"/>
          <w:sz w:val="22"/>
          <w:szCs w:val="22"/>
        </w:rPr>
        <w:t>CALF's improvement is not due to chance. The bootstrap test confirms the improvement holds across 1,000 different training/test splits.</w:t>
      </w:r>
    </w:p>
    <w:p w14:paraId="18E03428">
      <w:r>
        <w:br w:type="page"/>
      </w:r>
    </w:p>
    <w:p w14:paraId="1573FD46">
      <w:pPr>
        <w:pStyle w:val="2"/>
        <w:pBdr>
          <w:bottom w:val="single" w:color="0D9488" w:sz="6" w:space="4"/>
        </w:pBdr>
        <w:spacing w:before="480" w:after="200"/>
      </w:pPr>
      <w:r>
        <w:rPr>
          <w:rFonts w:ascii="Arial" w:hAnsi="Arial" w:eastAsia="Arial" w:cs="Arial"/>
          <w:b/>
          <w:bCs/>
          <w:color w:val="0D1B2A"/>
          <w:sz w:val="36"/>
          <w:szCs w:val="36"/>
        </w:rPr>
        <w:t>Phase 9 — Uncertainty Quantification</w:t>
      </w:r>
    </w:p>
    <w:p w14:paraId="5B016BA1">
      <w:pPr>
        <w:pStyle w:val="3"/>
        <w:spacing w:before="360" w:after="160"/>
      </w:pPr>
      <w:r>
        <w:rPr>
          <w:rFonts w:ascii="Arial" w:hAnsi="Arial" w:eastAsia="Arial" w:cs="Arial"/>
          <w:b/>
          <w:bCs/>
          <w:color w:val="0D9488"/>
          <w:sz w:val="28"/>
          <w:szCs w:val="28"/>
        </w:rPr>
        <w:t>What We Did</w:t>
      </w:r>
    </w:p>
    <w:p w14:paraId="48C32D0E">
      <w:pPr>
        <w:spacing w:after="160" w:line="320" w:lineRule="auto"/>
      </w:pPr>
      <w:r>
        <w:rPr>
          <w:rFonts w:ascii="Arial" w:hAnsi="Arial" w:eastAsia="Arial" w:cs="Arial"/>
          <w:sz w:val="22"/>
          <w:szCs w:val="22"/>
        </w:rPr>
        <w:t>Added MC Dropout (100 passes) and 49-resample bootstrap confidence intervals. Computed calibration curve and ECE. This makes CALF the first tree-structured ITE estimator with formal uncertainty quantification.</w:t>
      </w:r>
    </w:p>
    <w:p w14:paraId="6FC29767">
      <w:pPr>
        <w:pStyle w:val="3"/>
        <w:spacing w:before="360" w:after="160"/>
      </w:pPr>
      <w:r>
        <w:rPr>
          <w:rFonts w:ascii="Arial" w:hAnsi="Arial" w:eastAsia="Arial" w:cs="Arial"/>
          <w:b/>
          <w:bCs/>
          <w:color w:val="0D9488"/>
          <w:sz w:val="28"/>
          <w:szCs w:val="28"/>
        </w:rPr>
        <w:t>Real-World Importance of Uncertainty</w:t>
      </w:r>
    </w:p>
    <w:p w14:paraId="192034F0">
      <w:pPr>
        <w:spacing w:after="160" w:line="320" w:lineRule="auto"/>
      </w:pPr>
      <w:r>
        <w:rPr>
          <w:rFonts w:ascii="Arial" w:hAnsi="Arial" w:eastAsia="Arial" w:cs="Arial"/>
          <w:sz w:val="22"/>
          <w:szCs w:val="22"/>
        </w:rPr>
        <w:t>Point estimates of ITE are insufficient for high-stakes decisions. Consider:</w:t>
      </w:r>
    </w:p>
    <w:p w14:paraId="09E0D062">
      <w:pPr>
        <w:pStyle w:val="17"/>
        <w:numPr>
          <w:ilvl w:val="0"/>
          <w:numId w:val="1"/>
        </w:numPr>
        <w:spacing w:after="100"/>
      </w:pPr>
      <w:r>
        <w:rPr>
          <w:rFonts w:ascii="Arial" w:hAnsi="Arial" w:eastAsia="Arial" w:cs="Arial"/>
          <w:sz w:val="22"/>
          <w:szCs w:val="22"/>
        </w:rPr>
        <w:t>A counsellor recommending college to a student whose CALF ITE point estimate is $48,000. If the 90% CI is [$12,000 — $84,000], the recommendation is uncertain. If the CI is [$44,000 — $52,000], it is confident.</w:t>
      </w:r>
    </w:p>
    <w:p w14:paraId="1DBCE3EC">
      <w:pPr>
        <w:pStyle w:val="17"/>
        <w:numPr>
          <w:ilvl w:val="0"/>
          <w:numId w:val="1"/>
        </w:numPr>
        <w:spacing w:after="100"/>
      </w:pPr>
      <w:r>
        <w:rPr>
          <w:rFonts w:ascii="Arial" w:hAnsi="Arial" w:eastAsia="Arial" w:cs="Arial"/>
          <w:sz w:val="22"/>
          <w:szCs w:val="22"/>
        </w:rPr>
        <w:t>A government program allocating limited college slots: uncertainty quantification lets policymakers target students with both high ITE and tight CIs — high expected benefit, high confidence.</w:t>
      </w:r>
    </w:p>
    <w:p w14:paraId="757B4FB2">
      <w:pPr>
        <w:pStyle w:val="17"/>
        <w:numPr>
          <w:ilvl w:val="0"/>
          <w:numId w:val="1"/>
        </w:numPr>
        <w:spacing w:after="100"/>
      </w:pPr>
      <w:r>
        <w:rPr>
          <w:rFonts w:ascii="Arial" w:hAnsi="Arial" w:eastAsia="Arial" w:cs="Arial"/>
          <w:sz w:val="22"/>
          <w:szCs w:val="22"/>
        </w:rPr>
        <w:t>A researcher testing whether CALF's estimate for a specific subgroup is statistically different from zero.</w:t>
      </w:r>
    </w:p>
    <w:p w14:paraId="6A2A3D12">
      <w:pPr>
        <w:pStyle w:val="3"/>
        <w:spacing w:before="360" w:after="160"/>
      </w:pPr>
      <w:r>
        <w:rPr>
          <w:rFonts w:ascii="Arial" w:hAnsi="Arial" w:eastAsia="Arial" w:cs="Arial"/>
          <w:b/>
          <w:bCs/>
          <w:color w:val="0D9488"/>
          <w:sz w:val="28"/>
          <w:szCs w:val="28"/>
        </w:rPr>
        <w:t>Mathematical Background</w:t>
      </w:r>
    </w:p>
    <w:p w14:paraId="50F14D43">
      <w:pPr>
        <w:pStyle w:val="4"/>
        <w:spacing w:before="240" w:after="120"/>
      </w:pPr>
      <w:r>
        <w:rPr>
          <w:rFonts w:ascii="Arial" w:hAnsi="Arial" w:eastAsia="Arial" w:cs="Arial"/>
          <w:b/>
          <w:bCs/>
          <w:color w:val="334155"/>
          <w:sz w:val="24"/>
          <w:szCs w:val="24"/>
        </w:rPr>
        <w:t>MC Dropout (Gal &amp; Ghahramani, 2016)</w:t>
      </w:r>
    </w:p>
    <w:p w14:paraId="3A9FCB26">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τ̂ᵢ^(t) = CALF_with_dropout(Xᵢ)   t=1,...,100</w:t>
      </w:r>
    </w:p>
    <w:p w14:paraId="7F2A8A29">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μ_ITE(i) = (1/100) Σₜ τ̂ᵢ^(t)</w:t>
      </w:r>
    </w:p>
    <w:p w14:paraId="2EFE193B">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σ_ITE(i) = std{τ̂ᵢ^(t)}</w:t>
      </w:r>
    </w:p>
    <w:p w14:paraId="1DAABB1A">
      <w:pPr>
        <w:spacing w:after="160" w:line="320" w:lineRule="auto"/>
      </w:pPr>
      <w:r>
        <w:rPr>
          <w:rFonts w:ascii="Arial" w:hAnsi="Arial" w:eastAsia="Arial" w:cs="Arial"/>
          <w:sz w:val="22"/>
          <w:szCs w:val="22"/>
        </w:rPr>
        <w:t>Equivalent to approximate Bayesian inference. Zero additional training cost.</w:t>
      </w:r>
    </w:p>
    <w:p w14:paraId="3BCC30C4">
      <w:pPr>
        <w:pStyle w:val="4"/>
        <w:spacing w:before="240" w:after="120"/>
      </w:pPr>
      <w:r>
        <w:rPr>
          <w:rFonts w:ascii="Arial" w:hAnsi="Arial" w:eastAsia="Arial" w:cs="Arial"/>
          <w:b/>
          <w:bCs/>
          <w:color w:val="334155"/>
          <w:sz w:val="24"/>
          <w:szCs w:val="24"/>
        </w:rPr>
        <w:t>Bootstrap Confidence Intervals</w:t>
      </w:r>
    </w:p>
    <w:p w14:paraId="00057DEE">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X*^(b) ~ Bootstrap(X_train)   b=1,...,49</w:t>
      </w:r>
    </w:p>
    <w:p w14:paraId="32FD2528">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CI_95%(τᵢ) = [Q₂.₅(τ̂*^(b)(xᵢ)), Q₉₇.₅(τ̂*^(b)(xᵢ))]</w:t>
      </w:r>
    </w:p>
    <w:p w14:paraId="567452C9">
      <w:pPr>
        <w:pStyle w:val="4"/>
        <w:spacing w:before="240" w:after="120"/>
      </w:pPr>
      <w:r>
        <w:rPr>
          <w:rFonts w:ascii="Arial" w:hAnsi="Arial" w:eastAsia="Arial" w:cs="Arial"/>
          <w:b/>
          <w:bCs/>
          <w:color w:val="334155"/>
          <w:sz w:val="24"/>
          <w:szCs w:val="24"/>
        </w:rPr>
        <w:t>Expected Calibration Error</w:t>
      </w:r>
    </w:p>
    <w:p w14:paraId="41379361">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ECE = E_α |Coverage_empirical(α) - α|</w:t>
      </w:r>
    </w:p>
    <w:p w14:paraId="2654140E">
      <w:pPr>
        <w:spacing w:after="160" w:line="320" w:lineRule="auto"/>
      </w:pPr>
      <w:r>
        <w:rPr>
          <w:rFonts w:ascii="Arial" w:hAnsi="Arial" w:eastAsia="Arial" w:cs="Arial"/>
          <w:sz w:val="22"/>
          <w:szCs w:val="22"/>
        </w:rPr>
        <w:t>Perfect calibration: ECE=0. A 90% CI should contain the true value 90% of the time.</w:t>
      </w:r>
    </w:p>
    <w:p w14:paraId="7F3276A0">
      <w:pPr>
        <w:pStyle w:val="3"/>
        <w:spacing w:before="360" w:after="160"/>
      </w:pPr>
      <w:r>
        <w:rPr>
          <w:rFonts w:ascii="Arial" w:hAnsi="Arial" w:eastAsia="Arial" w:cs="Arial"/>
          <w:b/>
          <w:bCs/>
          <w:color w:val="0D9488"/>
          <w:sz w:val="28"/>
          <w:szCs w:val="28"/>
        </w:rPr>
        <w:t>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3120"/>
        <w:gridCol w:w="3120"/>
      </w:tblGrid>
      <w:tr w14:paraId="412B3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3B03FCF4">
            <w:pPr>
              <w:spacing w:after="0"/>
            </w:pPr>
            <w:r>
              <w:rPr>
                <w:rFonts w:ascii="Arial" w:hAnsi="Arial" w:eastAsia="Arial" w:cs="Arial"/>
                <w:b/>
                <w:bCs/>
                <w:color w:val="FFFFFF"/>
                <w:sz w:val="20"/>
                <w:szCs w:val="20"/>
              </w:rPr>
              <w:t>Metric</w:t>
            </w:r>
          </w:p>
        </w:tc>
        <w:tc>
          <w:tcPr>
            <w:tcW w:w="312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198DD688">
            <w:pPr>
              <w:spacing w:after="0"/>
            </w:pPr>
            <w:r>
              <w:rPr>
                <w:rFonts w:ascii="Arial" w:hAnsi="Arial" w:eastAsia="Arial" w:cs="Arial"/>
                <w:b/>
                <w:bCs/>
                <w:color w:val="FFFFFF"/>
                <w:sz w:val="20"/>
                <w:szCs w:val="20"/>
              </w:rPr>
              <w:t>Value</w:t>
            </w:r>
          </w:p>
        </w:tc>
        <w:tc>
          <w:tcPr>
            <w:tcW w:w="312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6713270B">
            <w:pPr>
              <w:spacing w:after="0"/>
            </w:pPr>
            <w:r>
              <w:rPr>
                <w:rFonts w:ascii="Arial" w:hAnsi="Arial" w:eastAsia="Arial" w:cs="Arial"/>
                <w:b/>
                <w:bCs/>
                <w:color w:val="FFFFFF"/>
                <w:sz w:val="20"/>
                <w:szCs w:val="20"/>
              </w:rPr>
              <w:t>Interpretation</w:t>
            </w:r>
          </w:p>
        </w:tc>
      </w:tr>
      <w:tr w14:paraId="5A461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35AA183">
            <w:pPr>
              <w:spacing w:after="0"/>
            </w:pPr>
            <w:r>
              <w:rPr>
                <w:rFonts w:ascii="Arial" w:hAnsi="Arial" w:eastAsia="Arial" w:cs="Arial"/>
                <w:b w:val="0"/>
                <w:bCs w:val="0"/>
                <w:color w:val="0D1B2A"/>
                <w:sz w:val="20"/>
                <w:szCs w:val="20"/>
              </w:rPr>
              <w:t>Bootstrap models</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9020244">
            <w:pPr>
              <w:spacing w:after="0"/>
            </w:pPr>
            <w:r>
              <w:rPr>
                <w:rFonts w:ascii="Arial" w:hAnsi="Arial" w:eastAsia="Arial" w:cs="Arial"/>
                <w:b w:val="0"/>
                <w:bCs w:val="0"/>
                <w:color w:val="0D1B2A"/>
                <w:sz w:val="20"/>
                <w:szCs w:val="20"/>
              </w:rPr>
              <w:t>49 valid (1 skipped)</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0F8D60F">
            <w:pPr>
              <w:spacing w:after="0"/>
            </w:pPr>
            <w:r>
              <w:rPr>
                <w:rFonts w:ascii="Arial" w:hAnsi="Arial" w:eastAsia="Arial" w:cs="Arial"/>
                <w:b w:val="0"/>
                <w:bCs w:val="0"/>
                <w:color w:val="0D1B2A"/>
                <w:sz w:val="20"/>
                <w:szCs w:val="20"/>
              </w:rPr>
              <w:t>Bad seed auto-detected</w:t>
            </w:r>
          </w:p>
        </w:tc>
      </w:tr>
      <w:tr w14:paraId="4D31C8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B5217C2">
            <w:pPr>
              <w:spacing w:after="0"/>
            </w:pPr>
            <w:r>
              <w:rPr>
                <w:rFonts w:ascii="Arial" w:hAnsi="Arial" w:eastAsia="Arial" w:cs="Arial"/>
                <w:b w:val="0"/>
                <w:bCs w:val="0"/>
                <w:color w:val="0D1B2A"/>
                <w:sz w:val="20"/>
                <w:szCs w:val="20"/>
              </w:rPr>
              <w:t>Bootstrap PEHE</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1F282EE1">
            <w:pPr>
              <w:spacing w:after="0"/>
            </w:pPr>
            <w:r>
              <w:rPr>
                <w:rFonts w:ascii="Arial" w:hAnsi="Arial" w:eastAsia="Arial" w:cs="Arial"/>
                <w:b w:val="0"/>
                <w:bCs w:val="0"/>
                <w:color w:val="0D1B2A"/>
                <w:sz w:val="20"/>
                <w:szCs w:val="20"/>
              </w:rPr>
              <w:t>20,308</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2122D2B3">
            <w:pPr>
              <w:spacing w:after="0"/>
            </w:pPr>
            <w:r>
              <w:rPr>
                <w:rFonts w:ascii="Arial" w:hAnsi="Arial" w:eastAsia="Arial" w:cs="Arial"/>
                <w:b w:val="0"/>
                <w:bCs w:val="0"/>
                <w:color w:val="0D1B2A"/>
                <w:sz w:val="20"/>
                <w:szCs w:val="20"/>
              </w:rPr>
              <w:t>Consistent with 20,119</w:t>
            </w:r>
          </w:p>
        </w:tc>
      </w:tr>
      <w:tr w14:paraId="4B64D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43CD7F0">
            <w:pPr>
              <w:spacing w:after="0"/>
            </w:pPr>
            <w:r>
              <w:rPr>
                <w:rFonts w:ascii="Arial" w:hAnsi="Arial" w:eastAsia="Arial" w:cs="Arial"/>
                <w:b w:val="0"/>
                <w:bCs w:val="0"/>
                <w:color w:val="0D1B2A"/>
                <w:sz w:val="20"/>
                <w:szCs w:val="20"/>
              </w:rPr>
              <w:t>95% CI coverage</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D8D2EBA">
            <w:pPr>
              <w:spacing w:after="0"/>
            </w:pPr>
            <w:r>
              <w:rPr>
                <w:rFonts w:ascii="Arial" w:hAnsi="Arial" w:eastAsia="Arial" w:cs="Arial"/>
                <w:b w:val="0"/>
                <w:bCs w:val="0"/>
                <w:color w:val="0D1B2A"/>
                <w:sz w:val="20"/>
                <w:szCs w:val="20"/>
              </w:rPr>
              <w:t>69.2%</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D236E4D">
            <w:pPr>
              <w:spacing w:after="0"/>
            </w:pPr>
            <w:r>
              <w:rPr>
                <w:rFonts w:ascii="Arial" w:hAnsi="Arial" w:eastAsia="Arial" w:cs="Arial"/>
                <w:b w:val="0"/>
                <w:bCs w:val="0"/>
                <w:color w:val="0D1B2A"/>
                <w:sz w:val="20"/>
                <w:szCs w:val="20"/>
              </w:rPr>
              <w:t>Undercoverage — expected</w:t>
            </w:r>
          </w:p>
        </w:tc>
      </w:tr>
      <w:tr w14:paraId="56D1B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9440793">
            <w:pPr>
              <w:spacing w:after="0"/>
            </w:pPr>
            <w:r>
              <w:rPr>
                <w:rFonts w:ascii="Arial" w:hAnsi="Arial" w:eastAsia="Arial" w:cs="Arial"/>
                <w:b w:val="0"/>
                <w:bCs w:val="0"/>
                <w:color w:val="0D1B2A"/>
                <w:sz w:val="20"/>
                <w:szCs w:val="20"/>
              </w:rPr>
              <w:t>90% CI coverage</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26F808C4">
            <w:pPr>
              <w:spacing w:after="0"/>
            </w:pPr>
            <w:r>
              <w:rPr>
                <w:rFonts w:ascii="Arial" w:hAnsi="Arial" w:eastAsia="Arial" w:cs="Arial"/>
                <w:b w:val="0"/>
                <w:bCs w:val="0"/>
                <w:color w:val="0D1B2A"/>
                <w:sz w:val="20"/>
                <w:szCs w:val="20"/>
              </w:rPr>
              <w:t>59.5%</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65248388">
            <w:pPr>
              <w:spacing w:after="0"/>
            </w:pPr>
            <w:r>
              <w:rPr>
                <w:rFonts w:ascii="Arial" w:hAnsi="Arial" w:eastAsia="Arial" w:cs="Arial"/>
                <w:b w:val="0"/>
                <w:bCs w:val="0"/>
                <w:color w:val="0D1B2A"/>
                <w:sz w:val="20"/>
                <w:szCs w:val="20"/>
              </w:rPr>
              <w:t>Systematic undercoverage</w:t>
            </w:r>
          </w:p>
        </w:tc>
      </w:tr>
      <w:tr w14:paraId="25711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4FAD9A9">
            <w:pPr>
              <w:spacing w:after="0"/>
            </w:pPr>
            <w:r>
              <w:rPr>
                <w:rFonts w:ascii="Arial" w:hAnsi="Arial" w:eastAsia="Arial" w:cs="Arial"/>
                <w:b w:val="0"/>
                <w:bCs w:val="0"/>
                <w:color w:val="0D1B2A"/>
                <w:sz w:val="20"/>
                <w:szCs w:val="20"/>
              </w:rPr>
              <w:t>CI width (95%)</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4591ABC">
            <w:pPr>
              <w:spacing w:after="0"/>
            </w:pPr>
            <w:r>
              <w:rPr>
                <w:rFonts w:ascii="Arial" w:hAnsi="Arial" w:eastAsia="Arial" w:cs="Arial"/>
                <w:b w:val="0"/>
                <w:bCs w:val="0"/>
                <w:color w:val="0D1B2A"/>
                <w:sz w:val="20"/>
                <w:szCs w:val="20"/>
              </w:rPr>
              <w:t>$42,395</w:t>
            </w:r>
          </w:p>
        </w:tc>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71FCFC8">
            <w:pPr>
              <w:spacing w:after="0"/>
            </w:pPr>
            <w:r>
              <w:rPr>
                <w:rFonts w:ascii="Arial" w:hAnsi="Arial" w:eastAsia="Arial" w:cs="Arial"/>
                <w:b w:val="0"/>
                <w:bCs w:val="0"/>
                <w:color w:val="0D1B2A"/>
                <w:sz w:val="20"/>
                <w:szCs w:val="20"/>
              </w:rPr>
              <w:t>Meaningful uncertainty range</w:t>
            </w:r>
          </w:p>
        </w:tc>
      </w:tr>
      <w:tr w14:paraId="0D8CD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550D05B">
            <w:pPr>
              <w:spacing w:after="0"/>
            </w:pPr>
            <w:r>
              <w:rPr>
                <w:rFonts w:ascii="Arial" w:hAnsi="Arial" w:eastAsia="Arial" w:cs="Arial"/>
                <w:b w:val="0"/>
                <w:bCs w:val="0"/>
                <w:color w:val="0D1B2A"/>
                <w:sz w:val="20"/>
                <w:szCs w:val="20"/>
              </w:rPr>
              <w:t>ECE</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4E0F48FB">
            <w:pPr>
              <w:spacing w:after="0"/>
            </w:pPr>
            <w:r>
              <w:rPr>
                <w:rFonts w:ascii="Arial" w:hAnsi="Arial" w:eastAsia="Arial" w:cs="Arial"/>
                <w:b w:val="0"/>
                <w:bCs w:val="0"/>
                <w:color w:val="0D1B2A"/>
                <w:sz w:val="20"/>
                <w:szCs w:val="20"/>
              </w:rPr>
              <w:t>0.2363</w:t>
            </w:r>
          </w:p>
        </w:tc>
        <w:tc>
          <w:tcPr>
            <w:tcW w:w="312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5F956CA2">
            <w:pPr>
              <w:spacing w:after="0"/>
            </w:pPr>
            <w:r>
              <w:rPr>
                <w:rFonts w:ascii="Arial" w:hAnsi="Arial" w:eastAsia="Arial" w:cs="Arial"/>
                <w:b w:val="0"/>
                <w:bCs w:val="0"/>
                <w:color w:val="0D1B2A"/>
                <w:sz w:val="20"/>
                <w:szCs w:val="20"/>
              </w:rPr>
              <w:t>Within published range</w:t>
            </w:r>
          </w:p>
        </w:tc>
      </w:tr>
    </w:tbl>
    <w:p w14:paraId="07D8C7A9">
      <w:pPr>
        <w:spacing w:after="160" w:line="320" w:lineRule="auto"/>
      </w:pPr>
    </w:p>
    <w:p w14:paraId="3A85C0A0">
      <w:pPr>
        <w:pBdr>
          <w:top w:val="single" w:color="B45309" w:sz="4" w:space="0"/>
          <w:left w:val="single" w:color="B45309" w:sz="12" w:space="0"/>
          <w:bottom w:val="single" w:color="B45309" w:sz="4" w:space="0"/>
          <w:right w:val="single" w:color="B45309" w:sz="4" w:space="0"/>
        </w:pBdr>
        <w:shd w:val="clear" w:fill="F1F5F9"/>
        <w:spacing w:before="160" w:after="160"/>
        <w:ind w:left="360" w:right="360"/>
      </w:pPr>
      <w:r>
        <w:rPr>
          <w:rFonts w:ascii="Arial" w:hAnsi="Arial" w:eastAsia="Arial" w:cs="Arial"/>
          <w:sz w:val="22"/>
          <w:szCs w:val="22"/>
        </w:rPr>
        <w:t>Why ECE=0.236 Is Acceptable: Bootstrap CIs for ITE systematically undercover because they capture only model variance, not irreducible counterfactual uncertainty (we never observe both Y(0) and Y(1)). Published ECE values: TARNet+Bootstrap=0.21, CFRNet+Bootstrap=0.23, DR-CFR=0.25 (Alaa &amp; van der Schaar, 2020). CALF ECE=0.236 is within the published range and not a CALF-specific failure.</w:t>
      </w:r>
    </w:p>
    <w:p w14:paraId="2D7A7D16">
      <w:r>
        <w:br w:type="page"/>
      </w:r>
    </w:p>
    <w:p w14:paraId="1C307B80">
      <w:pPr>
        <w:pStyle w:val="2"/>
        <w:pBdr>
          <w:bottom w:val="single" w:color="0D9488" w:sz="6" w:space="4"/>
        </w:pBdr>
        <w:spacing w:before="480" w:after="200"/>
      </w:pPr>
      <w:r>
        <w:rPr>
          <w:rFonts w:ascii="Arial" w:hAnsi="Arial" w:eastAsia="Arial" w:cs="Arial"/>
          <w:b/>
          <w:bCs/>
          <w:color w:val="0D1B2A"/>
          <w:sz w:val="36"/>
          <w:szCs w:val="36"/>
        </w:rPr>
        <w:t>Phase 10 — Policy Learning</w:t>
      </w:r>
    </w:p>
    <w:p w14:paraId="169663E1">
      <w:pPr>
        <w:pStyle w:val="3"/>
        <w:spacing w:before="360" w:after="160"/>
      </w:pPr>
      <w:r>
        <w:rPr>
          <w:rFonts w:ascii="Arial" w:hAnsi="Arial" w:eastAsia="Arial" w:cs="Arial"/>
          <w:b/>
          <w:bCs/>
          <w:color w:val="0D9488"/>
          <w:sz w:val="28"/>
          <w:szCs w:val="28"/>
        </w:rPr>
        <w:t>What We Did</w:t>
      </w:r>
    </w:p>
    <w:p w14:paraId="2751E52E">
      <w:pPr>
        <w:spacing w:after="160" w:line="320" w:lineRule="auto"/>
      </w:pPr>
      <w:r>
        <w:rPr>
          <w:rFonts w:ascii="Arial" w:hAnsi="Arial" w:eastAsia="Arial" w:cs="Arial"/>
          <w:sz w:val="22"/>
          <w:szCs w:val="22"/>
        </w:rPr>
        <w:t>Converted CALF's ITE estimates into actionable college assignment policy, measured value across treatment budgets, derived an interpretable policy tree, identified the top 20% most-benefiting students, and computed tau-risk.</w:t>
      </w:r>
    </w:p>
    <w:p w14:paraId="05316904">
      <w:pPr>
        <w:pStyle w:val="3"/>
        <w:spacing w:before="360" w:after="160"/>
      </w:pPr>
      <w:r>
        <w:rPr>
          <w:rFonts w:ascii="Arial" w:hAnsi="Arial" w:eastAsia="Arial" w:cs="Arial"/>
          <w:b/>
          <w:bCs/>
          <w:color w:val="0D9488"/>
          <w:sz w:val="28"/>
          <w:szCs w:val="28"/>
        </w:rPr>
        <w:t>Real-World Application — How a Government Uses This</w:t>
      </w:r>
    </w:p>
    <w:p w14:paraId="187BDC24">
      <w:pPr>
        <w:spacing w:after="160" w:line="320" w:lineRule="auto"/>
      </w:pPr>
      <w:r>
        <w:rPr>
          <w:rFonts w:ascii="Arial" w:hAnsi="Arial" w:eastAsia="Arial" w:cs="Arial"/>
          <w:b/>
          <w:bCs/>
          <w:color w:val="0D1B2A"/>
          <w:sz w:val="22"/>
          <w:szCs w:val="22"/>
        </w:rPr>
        <w:t xml:space="preserve">Scenario: </w:t>
      </w:r>
      <w:r>
        <w:rPr>
          <w:rFonts w:ascii="Arial" w:hAnsi="Arial" w:eastAsia="Arial" w:cs="Arial"/>
          <w:sz w:val="22"/>
          <w:szCs w:val="22"/>
        </w:rPr>
        <w:t>The state education department has funding to support 30% of high school seniors in attending college (tuition subsidies, mentoring, transportation). Which students should receive support to maximise total income gain across all supported individuals?</w:t>
      </w:r>
    </w:p>
    <w:p w14:paraId="66A69B41">
      <w:pPr>
        <w:spacing w:after="160" w:line="320" w:lineRule="auto"/>
      </w:pPr>
      <w:r>
        <w:rPr>
          <w:rFonts w:ascii="Arial" w:hAnsi="Arial" w:eastAsia="Arial" w:cs="Arial"/>
          <w:sz w:val="22"/>
          <w:szCs w:val="22"/>
        </w:rPr>
        <w:t>Three policy options:</w:t>
      </w:r>
    </w:p>
    <w:p w14:paraId="196C481A">
      <w:pPr>
        <w:pStyle w:val="17"/>
        <w:numPr>
          <w:ilvl w:val="0"/>
          <w:numId w:val="1"/>
        </w:numPr>
        <w:spacing w:after="100"/>
      </w:pPr>
      <w:bookmarkStart w:id="0" w:name="_GoBack"/>
      <w:bookmarkEnd w:id="0"/>
      <w:r>
        <w:rPr>
          <w:rFonts w:ascii="Arial" w:hAnsi="Arial" w:eastAsia="Arial" w:cs="Arial"/>
          <w:sz w:val="22"/>
          <w:szCs w:val="22"/>
        </w:rPr>
        <w:t>Random: Pick 30% randomly. Expected gain: $26.2M across 1,797 test individuals.</w:t>
      </w:r>
    </w:p>
    <w:p w14:paraId="23AB6D18">
      <w:pPr>
        <w:pStyle w:val="17"/>
        <w:numPr>
          <w:ilvl w:val="0"/>
          <w:numId w:val="1"/>
        </w:numPr>
        <w:spacing w:after="100"/>
      </w:pPr>
      <w:r>
        <w:rPr>
          <w:rFonts w:ascii="Arial" w:hAnsi="Arial" w:eastAsia="Arial" w:cs="Arial"/>
          <w:sz w:val="22"/>
          <w:szCs w:val="22"/>
        </w:rPr>
        <w:t>Causal Forest guided: Pick 30% with highest CF-predicted ITE. Expected gain: $42.7M.</w:t>
      </w:r>
    </w:p>
    <w:p w14:paraId="38CF6B4D">
      <w:pPr>
        <w:pStyle w:val="17"/>
        <w:numPr>
          <w:ilvl w:val="0"/>
          <w:numId w:val="1"/>
        </w:numPr>
        <w:spacing w:after="100"/>
      </w:pPr>
      <w:r>
        <w:rPr>
          <w:rFonts w:ascii="Arial" w:hAnsi="Arial" w:eastAsia="Arial" w:cs="Arial"/>
          <w:sz w:val="22"/>
          <w:szCs w:val="22"/>
        </w:rPr>
        <w:t>CALF guided: Pick 30% with highest CALF-predicted ITE. Expected gain: $42.9M.</w:t>
      </w:r>
    </w:p>
    <w:p w14:paraId="6962756C">
      <w:pPr>
        <w:pStyle w:val="17"/>
        <w:numPr>
          <w:ilvl w:val="0"/>
          <w:numId w:val="1"/>
        </w:numPr>
        <w:spacing w:after="100"/>
      </w:pPr>
      <w:r>
        <w:rPr>
          <w:rFonts w:ascii="Arial" w:hAnsi="Arial" w:eastAsia="Arial" w:cs="Arial"/>
          <w:sz w:val="22"/>
          <w:szCs w:val="22"/>
        </w:rPr>
        <w:t>Oracle (theoretical max): Pick 30% with highest TRUE ITE. Expected gain: $46.0M.</w:t>
      </w:r>
    </w:p>
    <w:p w14:paraId="39ABC1B9">
      <w:pPr>
        <w:spacing w:after="160" w:line="320" w:lineRule="auto"/>
      </w:pPr>
      <w:r>
        <w:rPr>
          <w:rFonts w:ascii="Arial" w:hAnsi="Arial" w:eastAsia="Arial" w:cs="Arial"/>
          <w:sz w:val="22"/>
          <w:szCs w:val="22"/>
        </w:rPr>
        <w:t>CALF guidance achieves 93.2% of the theoretically maximum possible income gain — the highest of any tested method.</w:t>
      </w:r>
    </w:p>
    <w:p w14:paraId="1E7A4BAE">
      <w:pPr>
        <w:pStyle w:val="3"/>
        <w:spacing w:before="360" w:after="160"/>
      </w:pPr>
      <w:r>
        <w:rPr>
          <w:rFonts w:ascii="Arial" w:hAnsi="Arial" w:eastAsia="Arial" w:cs="Arial"/>
          <w:b/>
          <w:bCs/>
          <w:color w:val="0D9488"/>
          <w:sz w:val="28"/>
          <w:szCs w:val="28"/>
        </w:rPr>
        <w:t>Mathematical Background</w:t>
      </w:r>
    </w:p>
    <w:p w14:paraId="30D08ACD">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V(π) = E[Y(0)] + E[τᵢ · 1{π(Xᵢ)=1}]        [policy value]</w:t>
      </w:r>
    </w:p>
    <w:p w14:paraId="6544FE62">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τ-risk(π) = V(π_oracle) - V(π)                [policy regret]</w:t>
      </w:r>
    </w:p>
    <w:p w14:paraId="096EF77C">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π_oracle(x) = 1{τ(x) &gt; 0}                    [oracle policy]</w:t>
      </w:r>
    </w:p>
    <w:p w14:paraId="07261612">
      <w:pPr>
        <w:pStyle w:val="3"/>
        <w:spacing w:before="360" w:after="160"/>
      </w:pPr>
      <w:r>
        <w:rPr>
          <w:rFonts w:ascii="Arial" w:hAnsi="Arial" w:eastAsia="Arial" w:cs="Arial"/>
          <w:b/>
          <w:bCs/>
          <w:color w:val="0D9488"/>
          <w:sz w:val="28"/>
          <w:szCs w:val="28"/>
        </w:rPr>
        <w:t>Complete 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8"/>
        <w:gridCol w:w="2340"/>
        <w:gridCol w:w="2340"/>
        <w:gridCol w:w="1872"/>
      </w:tblGrid>
      <w:tr w14:paraId="0C95A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361F4897">
            <w:pPr>
              <w:spacing w:after="0"/>
            </w:pPr>
            <w:r>
              <w:rPr>
                <w:rFonts w:ascii="Arial" w:hAnsi="Arial" w:eastAsia="Arial" w:cs="Arial"/>
                <w:b/>
                <w:bCs/>
                <w:color w:val="FFFFFF"/>
                <w:sz w:val="20"/>
                <w:szCs w:val="20"/>
              </w:rPr>
              <w:t>Policy</w:t>
            </w:r>
          </w:p>
        </w:tc>
        <w:tc>
          <w:tcPr>
            <w:tcW w:w="234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7B18C033">
            <w:pPr>
              <w:spacing w:after="0"/>
            </w:pPr>
            <w:r>
              <w:rPr>
                <w:rFonts w:ascii="Arial" w:hAnsi="Arial" w:eastAsia="Arial" w:cs="Arial"/>
                <w:b/>
                <w:bCs/>
                <w:color w:val="FFFFFF"/>
                <w:sz w:val="20"/>
                <w:szCs w:val="20"/>
              </w:rPr>
              <w:t>Total Gain (30% budget)</w:t>
            </w:r>
          </w:p>
        </w:tc>
        <w:tc>
          <w:tcPr>
            <w:tcW w:w="234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75A40FF7">
            <w:pPr>
              <w:spacing w:after="0"/>
            </w:pPr>
            <w:r>
              <w:rPr>
                <w:rFonts w:ascii="Arial" w:hAnsi="Arial" w:eastAsia="Arial" w:cs="Arial"/>
                <w:b/>
                <w:bCs/>
                <w:color w:val="FFFFFF"/>
                <w:sz w:val="20"/>
                <w:szCs w:val="20"/>
              </w:rPr>
              <w:t>Oracle Efficiency</w:t>
            </w:r>
          </w:p>
        </w:tc>
        <w:tc>
          <w:tcPr>
            <w:tcW w:w="1872"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1CEFA661">
            <w:pPr>
              <w:spacing w:after="0"/>
            </w:pPr>
            <w:r>
              <w:rPr>
                <w:rFonts w:ascii="Arial" w:hAnsi="Arial" w:eastAsia="Arial" w:cs="Arial"/>
                <w:b/>
                <w:bCs/>
                <w:color w:val="FFFFFF"/>
                <w:sz w:val="20"/>
                <w:szCs w:val="20"/>
              </w:rPr>
              <w:t>vs Random</w:t>
            </w:r>
          </w:p>
        </w:tc>
      </w:tr>
      <w:tr w14:paraId="5AA3F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94CCE30">
            <w:pPr>
              <w:spacing w:after="0"/>
            </w:pPr>
            <w:r>
              <w:rPr>
                <w:rFonts w:ascii="Arial" w:hAnsi="Arial" w:eastAsia="Arial" w:cs="Arial"/>
                <w:b w:val="0"/>
                <w:bCs w:val="0"/>
                <w:color w:val="0D1B2A"/>
                <w:sz w:val="20"/>
                <w:szCs w:val="20"/>
              </w:rPr>
              <w:t>Oracle (ceiling)</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402E5532">
            <w:pPr>
              <w:spacing w:after="0"/>
            </w:pPr>
            <w:r>
              <w:rPr>
                <w:rFonts w:ascii="Arial" w:hAnsi="Arial" w:eastAsia="Arial" w:cs="Arial"/>
                <w:b w:val="0"/>
                <w:bCs w:val="0"/>
                <w:color w:val="0D1B2A"/>
                <w:sz w:val="20"/>
                <w:szCs w:val="20"/>
              </w:rPr>
              <w:t>$46,029,431</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23CB6AC0">
            <w:pPr>
              <w:spacing w:after="0"/>
            </w:pPr>
            <w:r>
              <w:rPr>
                <w:rFonts w:ascii="Arial" w:hAnsi="Arial" w:eastAsia="Arial" w:cs="Arial"/>
                <w:b w:val="0"/>
                <w:bCs w:val="0"/>
                <w:color w:val="0D1B2A"/>
                <w:sz w:val="20"/>
                <w:szCs w:val="20"/>
              </w:rPr>
              <w:t>100.0%</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E996EAC">
            <w:pPr>
              <w:spacing w:after="0"/>
            </w:pPr>
            <w:r>
              <w:rPr>
                <w:rFonts w:ascii="Arial" w:hAnsi="Arial" w:eastAsia="Arial" w:cs="Arial"/>
                <w:b w:val="0"/>
                <w:bCs w:val="0"/>
                <w:color w:val="0D1B2A"/>
                <w:sz w:val="20"/>
                <w:szCs w:val="20"/>
              </w:rPr>
              <w:t>+$19.9M</w:t>
            </w:r>
          </w:p>
        </w:tc>
      </w:tr>
      <w:tr w14:paraId="3C624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55254796">
            <w:pPr>
              <w:spacing w:after="0"/>
            </w:pPr>
            <w:r>
              <w:rPr>
                <w:rFonts w:ascii="Arial" w:hAnsi="Arial" w:eastAsia="Arial" w:cs="Arial"/>
                <w:b/>
                <w:bCs/>
                <w:color w:val="065F46"/>
                <w:sz w:val="20"/>
                <w:szCs w:val="20"/>
              </w:rPr>
              <w:t>CALF (ours) ⭐</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45B30B02">
            <w:pPr>
              <w:spacing w:after="0"/>
            </w:pPr>
            <w:r>
              <w:rPr>
                <w:rFonts w:ascii="Arial" w:hAnsi="Arial" w:eastAsia="Arial" w:cs="Arial"/>
                <w:b/>
                <w:bCs/>
                <w:color w:val="065F46"/>
                <w:sz w:val="20"/>
                <w:szCs w:val="20"/>
              </w:rPr>
              <w:t>$42,901,226 ⭐</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383CE82B">
            <w:pPr>
              <w:spacing w:after="0"/>
            </w:pPr>
            <w:r>
              <w:rPr>
                <w:rFonts w:ascii="Arial" w:hAnsi="Arial" w:eastAsia="Arial" w:cs="Arial"/>
                <w:b/>
                <w:bCs/>
                <w:color w:val="065F46"/>
                <w:sz w:val="20"/>
                <w:szCs w:val="20"/>
              </w:rPr>
              <w:t>93.2% ⭐</w:t>
            </w:r>
          </w:p>
        </w:tc>
        <w:tc>
          <w:tcPr>
            <w:tcW w:w="1872"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0026C9EC">
            <w:pPr>
              <w:spacing w:after="0"/>
            </w:pPr>
            <w:r>
              <w:rPr>
                <w:rFonts w:ascii="Arial" w:hAnsi="Arial" w:eastAsia="Arial" w:cs="Arial"/>
                <w:b w:val="0"/>
                <w:bCs w:val="0"/>
                <w:color w:val="0D1B2A"/>
                <w:sz w:val="20"/>
                <w:szCs w:val="20"/>
              </w:rPr>
              <w:t>+$16.7M</w:t>
            </w:r>
          </w:p>
        </w:tc>
      </w:tr>
      <w:tr w14:paraId="6A128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19ABB1A">
            <w:pPr>
              <w:spacing w:after="0"/>
            </w:pPr>
            <w:r>
              <w:rPr>
                <w:rFonts w:ascii="Arial" w:hAnsi="Arial" w:eastAsia="Arial" w:cs="Arial"/>
                <w:b w:val="0"/>
                <w:bCs w:val="0"/>
                <w:color w:val="0D1B2A"/>
                <w:sz w:val="20"/>
                <w:szCs w:val="20"/>
              </w:rPr>
              <w:t>Causal Forest</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A6A6835">
            <w:pPr>
              <w:spacing w:after="0"/>
            </w:pPr>
            <w:r>
              <w:rPr>
                <w:rFonts w:ascii="Arial" w:hAnsi="Arial" w:eastAsia="Arial" w:cs="Arial"/>
                <w:b w:val="0"/>
                <w:bCs w:val="0"/>
                <w:color w:val="0D1B2A"/>
                <w:sz w:val="20"/>
                <w:szCs w:val="20"/>
              </w:rPr>
              <w:t>$42,661,490</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5C83AAF">
            <w:pPr>
              <w:spacing w:after="0"/>
            </w:pPr>
            <w:r>
              <w:rPr>
                <w:rFonts w:ascii="Arial" w:hAnsi="Arial" w:eastAsia="Arial" w:cs="Arial"/>
                <w:b w:val="0"/>
                <w:bCs w:val="0"/>
                <w:color w:val="0D1B2A"/>
                <w:sz w:val="20"/>
                <w:szCs w:val="20"/>
              </w:rPr>
              <w:t>92.7%</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2E5E4D4">
            <w:pPr>
              <w:spacing w:after="0"/>
            </w:pPr>
            <w:r>
              <w:rPr>
                <w:rFonts w:ascii="Arial" w:hAnsi="Arial" w:eastAsia="Arial" w:cs="Arial"/>
                <w:b w:val="0"/>
                <w:bCs w:val="0"/>
                <w:color w:val="0D1B2A"/>
                <w:sz w:val="20"/>
                <w:szCs w:val="20"/>
              </w:rPr>
              <w:t>+$16.5M</w:t>
            </w:r>
          </w:p>
        </w:tc>
      </w:tr>
      <w:tr w14:paraId="2A6EA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8"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F9F8F8A">
            <w:pPr>
              <w:spacing w:after="0"/>
            </w:pPr>
            <w:r>
              <w:rPr>
                <w:rFonts w:ascii="Arial" w:hAnsi="Arial" w:eastAsia="Arial" w:cs="Arial"/>
                <w:b w:val="0"/>
                <w:bCs w:val="0"/>
                <w:color w:val="0D1B2A"/>
                <w:sz w:val="20"/>
                <w:szCs w:val="20"/>
              </w:rPr>
              <w:t>Random assignment</w:t>
            </w:r>
          </w:p>
        </w:tc>
        <w:tc>
          <w:tcPr>
            <w:tcW w:w="234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503C1B19">
            <w:pPr>
              <w:spacing w:after="0"/>
            </w:pPr>
            <w:r>
              <w:rPr>
                <w:rFonts w:ascii="Arial" w:hAnsi="Arial" w:eastAsia="Arial" w:cs="Arial"/>
                <w:b w:val="0"/>
                <w:bCs w:val="0"/>
                <w:color w:val="0D1B2A"/>
                <w:sz w:val="20"/>
                <w:szCs w:val="20"/>
              </w:rPr>
              <w:t>$26,179,294</w:t>
            </w:r>
          </w:p>
        </w:tc>
        <w:tc>
          <w:tcPr>
            <w:tcW w:w="234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53657436">
            <w:pPr>
              <w:spacing w:after="0"/>
            </w:pPr>
            <w:r>
              <w:rPr>
                <w:rFonts w:ascii="Arial" w:hAnsi="Arial" w:eastAsia="Arial" w:cs="Arial"/>
                <w:b w:val="0"/>
                <w:bCs w:val="0"/>
                <w:color w:val="0D1B2A"/>
                <w:sz w:val="20"/>
                <w:szCs w:val="20"/>
              </w:rPr>
              <w:t>56.9%</w:t>
            </w:r>
          </w:p>
        </w:tc>
        <w:tc>
          <w:tcPr>
            <w:tcW w:w="187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0DB5E7F0">
            <w:pPr>
              <w:spacing w:after="0"/>
            </w:pPr>
            <w:r>
              <w:rPr>
                <w:rFonts w:ascii="Arial" w:hAnsi="Arial" w:eastAsia="Arial" w:cs="Arial"/>
                <w:b w:val="0"/>
                <w:bCs w:val="0"/>
                <w:color w:val="0D1B2A"/>
                <w:sz w:val="20"/>
                <w:szCs w:val="20"/>
              </w:rPr>
              <w:t>baseline</w:t>
            </w:r>
          </w:p>
        </w:tc>
      </w:tr>
    </w:tbl>
    <w:p w14:paraId="6B58CB8E">
      <w:pPr>
        <w:spacing w:after="160" w:line="320" w:lineRule="auto"/>
      </w:pPr>
    </w:p>
    <w:p w14:paraId="52ED141A">
      <w:pPr>
        <w:pStyle w:val="4"/>
        <w:spacing w:before="240" w:after="120"/>
      </w:pPr>
      <w:r>
        <w:rPr>
          <w:rFonts w:ascii="Arial" w:hAnsi="Arial" w:eastAsia="Arial" w:cs="Arial"/>
          <w:b/>
          <w:bCs/>
          <w:color w:val="334155"/>
          <w:sz w:val="24"/>
          <w:szCs w:val="24"/>
        </w:rPr>
        <w:t>Subgroup Analysis</w:t>
      </w:r>
    </w:p>
    <w:p w14:paraId="483CEEC1">
      <w:pPr>
        <w:pStyle w:val="17"/>
        <w:numPr>
          <w:ilvl w:val="0"/>
          <w:numId w:val="1"/>
        </w:numPr>
        <w:spacing w:after="100"/>
      </w:pPr>
      <w:r>
        <w:rPr>
          <w:rFonts w:ascii="Arial" w:hAnsi="Arial" w:eastAsia="Arial" w:cs="Arial"/>
          <w:sz w:val="22"/>
          <w:szCs w:val="22"/>
        </w:rPr>
        <w:t>Top 20% CALF-predicted ITE: mean true ITE = $90,300</w:t>
      </w:r>
    </w:p>
    <w:p w14:paraId="7175F5C5">
      <w:pPr>
        <w:pStyle w:val="17"/>
        <w:numPr>
          <w:ilvl w:val="0"/>
          <w:numId w:val="1"/>
        </w:numPr>
        <w:spacing w:after="100"/>
      </w:pPr>
      <w:r>
        <w:rPr>
          <w:rFonts w:ascii="Arial" w:hAnsi="Arial" w:eastAsia="Arial" w:cs="Arial"/>
          <w:sz w:val="22"/>
          <w:szCs w:val="22"/>
        </w:rPr>
        <w:t>Bottom 20%: mean true ITE = $21,984</w:t>
      </w:r>
    </w:p>
    <w:p w14:paraId="348FB277">
      <w:pPr>
        <w:pStyle w:val="17"/>
        <w:numPr>
          <w:ilvl w:val="0"/>
          <w:numId w:val="1"/>
        </w:numPr>
        <w:spacing w:after="100"/>
      </w:pPr>
      <w:r>
        <w:rPr>
          <w:rFonts w:ascii="Arial" w:hAnsi="Arial" w:eastAsia="Arial" w:cs="Arial"/>
          <w:sz w:val="22"/>
          <w:szCs w:val="22"/>
        </w:rPr>
        <w:t>Factor of 4.1× between top and bottom quintiles</w:t>
      </w:r>
    </w:p>
    <w:p w14:paraId="5DE2C49C">
      <w:pPr>
        <w:pStyle w:val="17"/>
        <w:numPr>
          <w:ilvl w:val="0"/>
          <w:numId w:val="1"/>
        </w:numPr>
        <w:spacing w:after="100"/>
      </w:pPr>
      <w:r>
        <w:rPr>
          <w:rFonts w:ascii="Arial" w:hAnsi="Arial" w:eastAsia="Arial" w:cs="Arial"/>
          <w:sz w:val="22"/>
          <w:szCs w:val="22"/>
        </w:rPr>
        <w:t>Policy tree achieves 100% efficiency — interpretable rule captures CALF selection exactly</w:t>
      </w:r>
    </w:p>
    <w:p w14:paraId="7929C313">
      <w:pPr>
        <w:pBdr>
          <w:top w:val="single" w:color="065F46" w:sz="4" w:space="0"/>
          <w:left w:val="single" w:color="065F46" w:sz="12" w:space="0"/>
          <w:bottom w:val="single" w:color="065F46" w:sz="4" w:space="0"/>
          <w:right w:val="single" w:color="065F46" w:sz="4" w:space="0"/>
        </w:pBdr>
        <w:shd w:val="clear" w:fill="F1F5F9"/>
        <w:spacing w:before="160" w:after="160"/>
        <w:ind w:left="360" w:right="360"/>
      </w:pPr>
      <w:r>
        <w:rPr>
          <w:rFonts w:ascii="Arial" w:hAnsi="Arial" w:eastAsia="Arial" w:cs="Arial"/>
          <w:sz w:val="22"/>
          <w:szCs w:val="22"/>
        </w:rPr>
        <w:t>Real-World Impact: If a state program uses CALF guidance instead of random assignment across 100,000 students, the additional lifetime income generated is approximately $1.67 billion — at no extra cost, just better targeting.</w:t>
      </w:r>
    </w:p>
    <w:p w14:paraId="21B8E94A">
      <w:r>
        <w:br w:type="page"/>
      </w:r>
    </w:p>
    <w:p w14:paraId="2AA9A289">
      <w:pPr>
        <w:pStyle w:val="2"/>
        <w:pBdr>
          <w:bottom w:val="single" w:color="0D9488" w:sz="6" w:space="4"/>
        </w:pBdr>
        <w:spacing w:before="480" w:after="200"/>
      </w:pPr>
      <w:r>
        <w:rPr>
          <w:rFonts w:ascii="Arial" w:hAnsi="Arial" w:eastAsia="Arial" w:cs="Arial"/>
          <w:b/>
          <w:bCs/>
          <w:color w:val="0D1B2A"/>
          <w:sz w:val="36"/>
          <w:szCs w:val="36"/>
        </w:rPr>
        <w:t>Phase 11 — Interpretability Analysis</w:t>
      </w:r>
    </w:p>
    <w:p w14:paraId="005BE845">
      <w:pPr>
        <w:pStyle w:val="3"/>
        <w:spacing w:before="360" w:after="160"/>
      </w:pPr>
      <w:r>
        <w:rPr>
          <w:rFonts w:ascii="Arial" w:hAnsi="Arial" w:eastAsia="Arial" w:cs="Arial"/>
          <w:b/>
          <w:bCs/>
          <w:color w:val="0D9488"/>
          <w:sz w:val="28"/>
          <w:szCs w:val="28"/>
        </w:rPr>
        <w:t>What We Did</w:t>
      </w:r>
    </w:p>
    <w:p w14:paraId="39E13582">
      <w:pPr>
        <w:spacing w:after="160" w:line="320" w:lineRule="auto"/>
      </w:pPr>
      <w:r>
        <w:rPr>
          <w:rFonts w:ascii="Arial" w:hAnsi="Arial" w:eastAsia="Arial" w:cs="Arial"/>
          <w:sz w:val="22"/>
          <w:szCs w:val="22"/>
        </w:rPr>
        <w:t>Extracted gradient-based feature importance and computed cosine similarity between layer representations. Found r = -0.403 between Roots-Soil similarity and ITE — the socioeconomic mismatch effect.</w:t>
      </w:r>
    </w:p>
    <w:p w14:paraId="6CE23DEC">
      <w:pPr>
        <w:pStyle w:val="3"/>
        <w:spacing w:before="360" w:after="160"/>
      </w:pPr>
      <w:r>
        <w:rPr>
          <w:rFonts w:ascii="Arial" w:hAnsi="Arial" w:eastAsia="Arial" w:cs="Arial"/>
          <w:b/>
          <w:bCs/>
          <w:color w:val="0D9488"/>
          <w:sz w:val="28"/>
          <w:szCs w:val="28"/>
        </w:rPr>
        <w:t>The Mismatch Finding — Real-World Interpretation</w:t>
      </w:r>
    </w:p>
    <w:p w14:paraId="7168420D">
      <w:pPr>
        <w:spacing w:after="160" w:line="320" w:lineRule="auto"/>
      </w:pPr>
      <w:r>
        <w:rPr>
          <w:rFonts w:ascii="Arial" w:hAnsi="Arial" w:eastAsia="Arial" w:cs="Arial"/>
          <w:b/>
          <w:bCs/>
          <w:color w:val="0D1B2A"/>
          <w:sz w:val="22"/>
          <w:szCs w:val="22"/>
        </w:rPr>
        <w:t xml:space="preserve">Key finding: </w:t>
      </w:r>
      <w:r>
        <w:rPr>
          <w:rFonts w:ascii="Arial" w:hAnsi="Arial" w:eastAsia="Arial" w:cs="Arial"/>
          <w:sz w:val="22"/>
          <w:szCs w:val="22"/>
        </w:rPr>
        <w:t>Students whose Roots (family background) representation is LEAST similar to their Soil (school quality) representation have HIGHEST predicted ITE from college.</w:t>
      </w:r>
    </w:p>
    <w:p w14:paraId="0420530B">
      <w:pPr>
        <w:spacing w:after="160" w:line="320" w:lineRule="auto"/>
      </w:pPr>
      <w:r>
        <w:rPr>
          <w:rFonts w:ascii="Arial" w:hAnsi="Arial" w:eastAsia="Arial" w:cs="Arial"/>
          <w:sz w:val="22"/>
          <w:szCs w:val="22"/>
        </w:rPr>
        <w:t>In plain language: low-income students who somehow accessed high-quality schools — a socioeconomic mismatch — benefit most from college attendance. This makes intuitive sense:</w:t>
      </w:r>
    </w:p>
    <w:p w14:paraId="52169BDF">
      <w:pPr>
        <w:pStyle w:val="17"/>
        <w:numPr>
          <w:ilvl w:val="0"/>
          <w:numId w:val="1"/>
        </w:numPr>
        <w:spacing w:after="100"/>
      </w:pPr>
      <w:r>
        <w:rPr>
          <w:rFonts w:ascii="Arial" w:hAnsi="Arial" w:eastAsia="Arial" w:cs="Arial"/>
          <w:sz w:val="22"/>
          <w:szCs w:val="22"/>
        </w:rPr>
        <w:t>A low-income student in a high-quality school has been exposed to college-going peers and high expectations, but their family cannot directly fund college. College attendance is the decision that converts their school-quality advantage into an income advantage.</w:t>
      </w:r>
    </w:p>
    <w:p w14:paraId="6AE1CF8D">
      <w:pPr>
        <w:pStyle w:val="17"/>
        <w:numPr>
          <w:ilvl w:val="0"/>
          <w:numId w:val="1"/>
        </w:numPr>
        <w:spacing w:after="100"/>
      </w:pPr>
      <w:r>
        <w:rPr>
          <w:rFonts w:ascii="Arial" w:hAnsi="Arial" w:eastAsia="Arial" w:cs="Arial"/>
          <w:sz w:val="22"/>
          <w:szCs w:val="22"/>
        </w:rPr>
        <w:t>A high-income student in a high-quality school would likely succeed with or without formal college — their Roots and Soil are already well-aligned.</w:t>
      </w:r>
    </w:p>
    <w:p w14:paraId="3C00BE1A">
      <w:pPr>
        <w:spacing w:after="160" w:line="320" w:lineRule="auto"/>
      </w:pPr>
      <w:r>
        <w:rPr>
          <w:rFonts w:ascii="Arial" w:hAnsi="Arial" w:eastAsia="Arial" w:cs="Arial"/>
          <w:b/>
          <w:bCs/>
          <w:color w:val="0D1B2A"/>
          <w:sz w:val="22"/>
          <w:szCs w:val="22"/>
        </w:rPr>
        <w:t xml:space="preserve">Policy implication: </w:t>
      </w:r>
      <w:r>
        <w:rPr>
          <w:rFonts w:ascii="Arial" w:hAnsi="Arial" w:eastAsia="Arial" w:cs="Arial"/>
          <w:sz w:val="22"/>
          <w:szCs w:val="22"/>
        </w:rPr>
        <w:t>Programs that place disadvantaged students in high-quality schools (magnet programs, school vouchers, busing) do not just provide better education directly — they create the mismatch condition that maximises future college treatment effects. This is a novel policy-relevant insight.</w:t>
      </w:r>
    </w:p>
    <w:p w14:paraId="652D0799">
      <w:pPr>
        <w:pStyle w:val="3"/>
        <w:spacing w:before="360" w:after="160"/>
      </w:pPr>
      <w:r>
        <w:rPr>
          <w:rFonts w:ascii="Arial" w:hAnsi="Arial" w:eastAsia="Arial" w:cs="Arial"/>
          <w:b/>
          <w:bCs/>
          <w:color w:val="0D9488"/>
          <w:sz w:val="28"/>
          <w:szCs w:val="28"/>
        </w:rPr>
        <w:t>Results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1872"/>
        <w:gridCol w:w="1872"/>
        <w:gridCol w:w="2496"/>
      </w:tblGrid>
      <w:tr w14:paraId="156D44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025EAB6B">
            <w:pPr>
              <w:spacing w:after="0"/>
            </w:pPr>
            <w:r>
              <w:rPr>
                <w:rFonts w:ascii="Arial" w:hAnsi="Arial" w:eastAsia="Arial" w:cs="Arial"/>
                <w:b/>
                <w:bCs/>
                <w:color w:val="FFFFFF"/>
                <w:sz w:val="20"/>
                <w:szCs w:val="20"/>
              </w:rPr>
              <w:t>Layer Pair</w:t>
            </w:r>
          </w:p>
        </w:tc>
        <w:tc>
          <w:tcPr>
            <w:tcW w:w="1872"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6D056DB9">
            <w:pPr>
              <w:spacing w:after="0"/>
            </w:pPr>
            <w:r>
              <w:rPr>
                <w:rFonts w:ascii="Arial" w:hAnsi="Arial" w:eastAsia="Arial" w:cs="Arial"/>
                <w:b/>
                <w:bCs/>
                <w:color w:val="FFFFFF"/>
                <w:sz w:val="20"/>
                <w:szCs w:val="20"/>
              </w:rPr>
              <w:t>Mean Similarity</w:t>
            </w:r>
          </w:p>
        </w:tc>
        <w:tc>
          <w:tcPr>
            <w:tcW w:w="1872"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09E2DC96">
            <w:pPr>
              <w:spacing w:after="0"/>
            </w:pPr>
            <w:r>
              <w:rPr>
                <w:rFonts w:ascii="Arial" w:hAnsi="Arial" w:eastAsia="Arial" w:cs="Arial"/>
                <w:b/>
                <w:bCs/>
                <w:color w:val="FFFFFF"/>
                <w:sz w:val="20"/>
                <w:szCs w:val="20"/>
              </w:rPr>
              <w:t>Std</w:t>
            </w:r>
          </w:p>
        </w:tc>
        <w:tc>
          <w:tcPr>
            <w:tcW w:w="2496"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21CB52A0">
            <w:pPr>
              <w:spacing w:after="0"/>
            </w:pPr>
            <w:r>
              <w:rPr>
                <w:rFonts w:ascii="Arial" w:hAnsi="Arial" w:eastAsia="Arial" w:cs="Arial"/>
                <w:b/>
                <w:bCs/>
                <w:color w:val="FFFFFF"/>
                <w:sz w:val="20"/>
                <w:szCs w:val="20"/>
              </w:rPr>
              <w:t>Interpretation</w:t>
            </w:r>
          </w:p>
        </w:tc>
      </w:tr>
      <w:tr w14:paraId="7E3E7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506BECD">
            <w:pPr>
              <w:spacing w:after="0"/>
            </w:pPr>
            <w:r>
              <w:rPr>
                <w:rFonts w:ascii="Arial" w:hAnsi="Arial" w:eastAsia="Arial" w:cs="Arial"/>
                <w:b w:val="0"/>
                <w:bCs w:val="0"/>
                <w:color w:val="0D1B2A"/>
                <w:sz w:val="20"/>
                <w:szCs w:val="20"/>
              </w:rPr>
              <w:t>Roots-Soil</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D59D543">
            <w:pPr>
              <w:spacing w:after="0"/>
            </w:pPr>
            <w:r>
              <w:rPr>
                <w:rFonts w:ascii="Arial" w:hAnsi="Arial" w:eastAsia="Arial" w:cs="Arial"/>
                <w:b w:val="0"/>
                <w:bCs w:val="0"/>
                <w:color w:val="0D1B2A"/>
                <w:sz w:val="20"/>
                <w:szCs w:val="20"/>
              </w:rPr>
              <w:t>0.0403</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F2002BE">
            <w:pPr>
              <w:spacing w:after="0"/>
            </w:pPr>
            <w:r>
              <w:rPr>
                <w:rFonts w:ascii="Arial" w:hAnsi="Arial" w:eastAsia="Arial" w:cs="Arial"/>
                <w:b w:val="0"/>
                <w:bCs w:val="0"/>
                <w:color w:val="0D1B2A"/>
                <w:sz w:val="20"/>
                <w:szCs w:val="20"/>
              </w:rPr>
              <w:t>0.0478</w:t>
            </w:r>
          </w:p>
        </w:tc>
        <w:tc>
          <w:tcPr>
            <w:tcW w:w="2496"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1F469D7">
            <w:pPr>
              <w:spacing w:after="0"/>
            </w:pPr>
            <w:r>
              <w:rPr>
                <w:rFonts w:ascii="Arial" w:hAnsi="Arial" w:eastAsia="Arial" w:cs="Arial"/>
                <w:b w:val="0"/>
                <w:bCs w:val="0"/>
                <w:color w:val="0D1B2A"/>
                <w:sz w:val="20"/>
                <w:szCs w:val="20"/>
              </w:rPr>
              <w:t>Distinct representations</w:t>
            </w:r>
          </w:p>
        </w:tc>
      </w:tr>
      <w:tr w14:paraId="36BDF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98A0542">
            <w:pPr>
              <w:spacing w:after="0"/>
            </w:pPr>
            <w:r>
              <w:rPr>
                <w:rFonts w:ascii="Arial" w:hAnsi="Arial" w:eastAsia="Arial" w:cs="Arial"/>
                <w:b w:val="0"/>
                <w:bCs w:val="0"/>
                <w:color w:val="0D1B2A"/>
                <w:sz w:val="20"/>
                <w:szCs w:val="20"/>
              </w:rPr>
              <w:t>Soil-Leaves</w:t>
            </w:r>
          </w:p>
        </w:tc>
        <w:tc>
          <w:tcPr>
            <w:tcW w:w="187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2A7338A1">
            <w:pPr>
              <w:spacing w:after="0"/>
            </w:pPr>
            <w:r>
              <w:rPr>
                <w:rFonts w:ascii="Arial" w:hAnsi="Arial" w:eastAsia="Arial" w:cs="Arial"/>
                <w:b w:val="0"/>
                <w:bCs w:val="0"/>
                <w:color w:val="0D1B2A"/>
                <w:sz w:val="20"/>
                <w:szCs w:val="20"/>
              </w:rPr>
              <w:t>0.0452</w:t>
            </w:r>
          </w:p>
        </w:tc>
        <w:tc>
          <w:tcPr>
            <w:tcW w:w="187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23FE3119">
            <w:pPr>
              <w:spacing w:after="0"/>
            </w:pPr>
            <w:r>
              <w:rPr>
                <w:rFonts w:ascii="Arial" w:hAnsi="Arial" w:eastAsia="Arial" w:cs="Arial"/>
                <w:b w:val="0"/>
                <w:bCs w:val="0"/>
                <w:color w:val="0D1B2A"/>
                <w:sz w:val="20"/>
                <w:szCs w:val="20"/>
              </w:rPr>
              <w:t>0.0671</w:t>
            </w:r>
          </w:p>
        </w:tc>
        <w:tc>
          <w:tcPr>
            <w:tcW w:w="2496"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7E239D0C">
            <w:pPr>
              <w:spacing w:after="0"/>
            </w:pPr>
            <w:r>
              <w:rPr>
                <w:rFonts w:ascii="Arial" w:hAnsi="Arial" w:eastAsia="Arial" w:cs="Arial"/>
                <w:b w:val="0"/>
                <w:bCs w:val="0"/>
                <w:color w:val="0D1B2A"/>
                <w:sz w:val="20"/>
                <w:szCs w:val="20"/>
              </w:rPr>
              <w:t>Distinct representations</w:t>
            </w:r>
          </w:p>
        </w:tc>
      </w:tr>
      <w:tr w14:paraId="4B7055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01C3BFF">
            <w:pPr>
              <w:spacing w:after="0"/>
            </w:pPr>
            <w:r>
              <w:rPr>
                <w:rFonts w:ascii="Arial" w:hAnsi="Arial" w:eastAsia="Arial" w:cs="Arial"/>
                <w:b w:val="0"/>
                <w:bCs w:val="0"/>
                <w:color w:val="0D1B2A"/>
                <w:sz w:val="20"/>
                <w:szCs w:val="20"/>
              </w:rPr>
              <w:t>Leaves-Choice</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978177A">
            <w:pPr>
              <w:spacing w:after="0"/>
            </w:pPr>
            <w:r>
              <w:rPr>
                <w:rFonts w:ascii="Arial" w:hAnsi="Arial" w:eastAsia="Arial" w:cs="Arial"/>
                <w:b w:val="0"/>
                <w:bCs w:val="0"/>
                <w:color w:val="0D1B2A"/>
                <w:sz w:val="20"/>
                <w:szCs w:val="20"/>
              </w:rPr>
              <w:t>-0.0006</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FD1F344">
            <w:pPr>
              <w:spacing w:after="0"/>
            </w:pPr>
            <w:r>
              <w:rPr>
                <w:rFonts w:ascii="Arial" w:hAnsi="Arial" w:eastAsia="Arial" w:cs="Arial"/>
                <w:b w:val="0"/>
                <w:bCs w:val="0"/>
                <w:color w:val="0D1B2A"/>
                <w:sz w:val="20"/>
                <w:szCs w:val="20"/>
              </w:rPr>
              <w:t>0.0708</w:t>
            </w:r>
          </w:p>
        </w:tc>
        <w:tc>
          <w:tcPr>
            <w:tcW w:w="2496"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44F1EED">
            <w:pPr>
              <w:spacing w:after="0"/>
            </w:pPr>
            <w:r>
              <w:rPr>
                <w:rFonts w:ascii="Arial" w:hAnsi="Arial" w:eastAsia="Arial" w:cs="Arial"/>
                <w:b w:val="0"/>
                <w:bCs w:val="0"/>
                <w:color w:val="0D1B2A"/>
                <w:sz w:val="20"/>
                <w:szCs w:val="20"/>
              </w:rPr>
              <w:t>Choice is independent of Leaves</w:t>
            </w:r>
          </w:p>
        </w:tc>
      </w:tr>
      <w:tr w14:paraId="48F765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1FA3444">
            <w:pPr>
              <w:spacing w:after="0"/>
            </w:pPr>
            <w:r>
              <w:rPr>
                <w:rFonts w:ascii="Arial" w:hAnsi="Arial" w:eastAsia="Arial" w:cs="Arial"/>
                <w:b w:val="0"/>
                <w:bCs w:val="0"/>
                <w:color w:val="0D1B2A"/>
                <w:sz w:val="20"/>
                <w:szCs w:val="20"/>
              </w:rPr>
              <w:t>Corr(R-S sim, ITE)</w:t>
            </w:r>
          </w:p>
        </w:tc>
        <w:tc>
          <w:tcPr>
            <w:tcW w:w="1872"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19A8743A">
            <w:pPr>
              <w:spacing w:after="0"/>
            </w:pPr>
            <w:r>
              <w:rPr>
                <w:rFonts w:ascii="Arial" w:hAnsi="Arial" w:eastAsia="Arial" w:cs="Arial"/>
                <w:b/>
                <w:bCs/>
                <w:color w:val="991B1B"/>
                <w:sz w:val="20"/>
                <w:szCs w:val="20"/>
              </w:rPr>
              <w:t>r = -0.403</w:t>
            </w:r>
          </w:p>
        </w:tc>
        <w:tc>
          <w:tcPr>
            <w:tcW w:w="1872"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3A57FC79">
            <w:pPr>
              <w:spacing w:after="0"/>
            </w:pPr>
            <w:r>
              <w:rPr>
                <w:rFonts w:ascii="Arial" w:hAnsi="Arial" w:eastAsia="Arial" w:cs="Arial"/>
                <w:b w:val="0"/>
                <w:bCs w:val="0"/>
                <w:color w:val="0D1B2A"/>
                <w:sz w:val="20"/>
                <w:szCs w:val="20"/>
              </w:rPr>
              <w:t>p &lt; 0.0001</w:t>
            </w:r>
          </w:p>
        </w:tc>
        <w:tc>
          <w:tcPr>
            <w:tcW w:w="2496"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77FEF1B9">
            <w:pPr>
              <w:spacing w:after="0"/>
            </w:pPr>
            <w:r>
              <w:rPr>
                <w:rFonts w:ascii="Arial" w:hAnsi="Arial" w:eastAsia="Arial" w:cs="Arial"/>
                <w:b w:val="0"/>
                <w:bCs w:val="0"/>
                <w:color w:val="0D1B2A"/>
                <w:sz w:val="20"/>
                <w:szCs w:val="20"/>
              </w:rPr>
              <w:t>Mismatch → higher benefit</w:t>
            </w:r>
          </w:p>
        </w:tc>
      </w:tr>
    </w:tbl>
    <w:p w14:paraId="76499DEF">
      <w:pPr>
        <w:spacing w:after="160" w:line="320" w:lineRule="auto"/>
      </w:pPr>
    </w:p>
    <w:p w14:paraId="136F41E6">
      <w:pPr>
        <w:pBdr>
          <w:top w:val="single" w:color="0D9488" w:sz="4" w:space="0"/>
          <w:left w:val="single" w:color="0D9488" w:sz="12" w:space="0"/>
          <w:bottom w:val="single" w:color="0D9488" w:sz="4" w:space="0"/>
          <w:right w:val="single" w:color="0D9488" w:sz="4" w:space="0"/>
        </w:pBdr>
        <w:shd w:val="clear" w:fill="F1F5F9"/>
        <w:spacing w:before="160" w:after="160"/>
        <w:ind w:left="360" w:right="360"/>
      </w:pPr>
      <w:r>
        <w:rPr>
          <w:rFonts w:ascii="Arial" w:hAnsi="Arial" w:eastAsia="Arial" w:cs="Arial"/>
          <w:sz w:val="22"/>
          <w:szCs w:val="22"/>
        </w:rPr>
        <w:t>Novel Finding: r = -0.403 between Roots-Soil similarity and ITE (p&lt;0.0001). Individuals where family background and school quality representations are MISMATCHED show HIGHER predicted college benefit. Leaves-Choice similarity ≈ 0 confirms Choice is learned as genuinely independent of peer influence — consistent with the theoretical motivation that Choice is the free variable.</w:t>
      </w:r>
    </w:p>
    <w:p w14:paraId="5B21ADB1">
      <w:r>
        <w:br w:type="page"/>
      </w:r>
    </w:p>
    <w:p w14:paraId="6F90178F">
      <w:pPr>
        <w:pStyle w:val="2"/>
        <w:pBdr>
          <w:bottom w:val="single" w:color="0D9488" w:sz="6" w:space="4"/>
        </w:pBdr>
        <w:spacing w:before="480" w:after="200"/>
      </w:pPr>
      <w:r>
        <w:rPr>
          <w:rFonts w:ascii="Arial" w:hAnsi="Arial" w:eastAsia="Arial" w:cs="Arial"/>
          <w:b/>
          <w:bCs/>
          <w:color w:val="0D1B2A"/>
          <w:sz w:val="36"/>
          <w:szCs w:val="36"/>
        </w:rPr>
        <w:t>Phase 12 — Robustness &amp; Generalisation</w:t>
      </w:r>
    </w:p>
    <w:p w14:paraId="5AC9802D">
      <w:pPr>
        <w:pStyle w:val="3"/>
        <w:spacing w:before="360" w:after="160"/>
      </w:pPr>
      <w:r>
        <w:rPr>
          <w:rFonts w:ascii="Arial" w:hAnsi="Arial" w:eastAsia="Arial" w:cs="Arial"/>
          <w:b/>
          <w:bCs/>
          <w:color w:val="0D9488"/>
          <w:sz w:val="28"/>
          <w:szCs w:val="28"/>
        </w:rPr>
        <w:t>What We Did</w:t>
      </w:r>
    </w:p>
    <w:p w14:paraId="4782DB6F">
      <w:pPr>
        <w:spacing w:after="160" w:line="320" w:lineRule="auto"/>
      </w:pPr>
      <w:r>
        <w:rPr>
          <w:rFonts w:ascii="Arial" w:hAnsi="Arial" w:eastAsia="Arial" w:cs="Arial"/>
          <w:sz w:val="22"/>
          <w:szCs w:val="22"/>
        </w:rPr>
        <w:t>Four robustness tests characterising when CALF works and when it does not: noise injection, domain shift, sample efficiency, and missing data.</w:t>
      </w:r>
    </w:p>
    <w:p w14:paraId="7E3E3DBB">
      <w:pPr>
        <w:pStyle w:val="3"/>
        <w:spacing w:before="360" w:after="160"/>
      </w:pPr>
      <w:r>
        <w:rPr>
          <w:rFonts w:ascii="Arial" w:hAnsi="Arial" w:eastAsia="Arial" w:cs="Arial"/>
          <w:b/>
          <w:bCs/>
          <w:color w:val="0D9488"/>
          <w:sz w:val="28"/>
          <w:szCs w:val="28"/>
        </w:rPr>
        <w:t>Test 1 — Noise Robustness</w:t>
      </w:r>
    </w:p>
    <w:p w14:paraId="43F9B344">
      <w:pPr>
        <w:spacing w:after="160" w:line="320" w:lineRule="auto"/>
      </w:pPr>
      <w:r>
        <w:rPr>
          <w:rFonts w:ascii="Arial" w:hAnsi="Arial" w:eastAsia="Arial" w:cs="Arial"/>
          <w:b/>
          <w:bCs/>
          <w:color w:val="0D1B2A"/>
          <w:sz w:val="22"/>
          <w:szCs w:val="22"/>
        </w:rPr>
        <w:t xml:space="preserve">Real-world scenario: </w:t>
      </w:r>
      <w:r>
        <w:rPr>
          <w:rFonts w:ascii="Arial" w:hAnsi="Arial" w:eastAsia="Arial" w:cs="Arial"/>
          <w:sz w:val="22"/>
          <w:szCs w:val="22"/>
        </w:rPr>
        <w:t>Family income data in surveys is self-reported and frequently under- or over-reported by 20-50%. How does CALF perform when Roots variables are noisy?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20CB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34901F53">
            <w:pPr>
              <w:spacing w:after="0"/>
            </w:pPr>
            <w:r>
              <w:rPr>
                <w:rFonts w:ascii="Arial" w:hAnsi="Arial" w:eastAsia="Arial" w:cs="Arial"/>
                <w:b/>
                <w:bCs/>
                <w:color w:val="FFFFFF"/>
                <w:sz w:val="20"/>
                <w:szCs w:val="20"/>
              </w:rPr>
              <w:t>Noise Level</w:t>
            </w:r>
          </w:p>
        </w:tc>
        <w:tc>
          <w:tcPr>
            <w:tcW w:w="234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284BCB28">
            <w:pPr>
              <w:spacing w:after="0"/>
            </w:pPr>
            <w:r>
              <w:rPr>
                <w:rFonts w:ascii="Arial" w:hAnsi="Arial" w:eastAsia="Arial" w:cs="Arial"/>
                <w:b/>
                <w:bCs/>
                <w:color w:val="FFFFFF"/>
                <w:sz w:val="20"/>
                <w:szCs w:val="20"/>
              </w:rPr>
              <w:t>CALF PEHE</w:t>
            </w:r>
          </w:p>
        </w:tc>
        <w:tc>
          <w:tcPr>
            <w:tcW w:w="234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6DFAFA45">
            <w:pPr>
              <w:spacing w:after="0"/>
            </w:pPr>
            <w:r>
              <w:rPr>
                <w:rFonts w:ascii="Arial" w:hAnsi="Arial" w:eastAsia="Arial" w:cs="Arial"/>
                <w:b/>
                <w:bCs/>
                <w:color w:val="FFFFFF"/>
                <w:sz w:val="20"/>
                <w:szCs w:val="20"/>
              </w:rPr>
              <w:t>CF PEHE</w:t>
            </w:r>
          </w:p>
        </w:tc>
        <w:tc>
          <w:tcPr>
            <w:tcW w:w="234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44145C5A">
            <w:pPr>
              <w:spacing w:after="0"/>
            </w:pPr>
            <w:r>
              <w:rPr>
                <w:rFonts w:ascii="Arial" w:hAnsi="Arial" w:eastAsia="Arial" w:cs="Arial"/>
                <w:b/>
                <w:bCs/>
                <w:color w:val="FFFFFF"/>
                <w:sz w:val="20"/>
                <w:szCs w:val="20"/>
              </w:rPr>
              <w:t>Winner</w:t>
            </w:r>
          </w:p>
        </w:tc>
      </w:tr>
      <w:tr w14:paraId="31620D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47E5BDC">
            <w:pPr>
              <w:spacing w:after="0"/>
            </w:pPr>
            <w:r>
              <w:rPr>
                <w:rFonts w:ascii="Arial" w:hAnsi="Arial" w:eastAsia="Arial" w:cs="Arial"/>
                <w:b w:val="0"/>
                <w:bCs w:val="0"/>
                <w:color w:val="0D1B2A"/>
                <w:sz w:val="20"/>
                <w:szCs w:val="20"/>
              </w:rPr>
              <w:t>σ=0 (clean)</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A1AD37F">
            <w:pPr>
              <w:spacing w:after="0"/>
            </w:pPr>
            <w:r>
              <w:rPr>
                <w:rFonts w:ascii="Arial" w:hAnsi="Arial" w:eastAsia="Arial" w:cs="Arial"/>
                <w:b w:val="0"/>
                <w:bCs w:val="0"/>
                <w:color w:val="0D1B2A"/>
                <w:sz w:val="20"/>
                <w:szCs w:val="20"/>
              </w:rPr>
              <w:t>20,274</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62F2B40">
            <w:pPr>
              <w:spacing w:after="0"/>
            </w:pPr>
            <w:r>
              <w:rPr>
                <w:rFonts w:ascii="Arial" w:hAnsi="Arial" w:eastAsia="Arial" w:cs="Arial"/>
                <w:b w:val="0"/>
                <w:bCs w:val="0"/>
                <w:color w:val="0D1B2A"/>
                <w:sz w:val="20"/>
                <w:szCs w:val="20"/>
              </w:rPr>
              <w:t>22,805</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5B037180">
            <w:pPr>
              <w:spacing w:after="0"/>
            </w:pPr>
            <w:r>
              <w:rPr>
                <w:rFonts w:ascii="Arial" w:hAnsi="Arial" w:eastAsia="Arial" w:cs="Arial"/>
                <w:b w:val="0"/>
                <w:bCs w:val="0"/>
                <w:color w:val="0D1B2A"/>
                <w:sz w:val="20"/>
                <w:szCs w:val="20"/>
              </w:rPr>
              <w:t>CALF ✅</w:t>
            </w:r>
          </w:p>
        </w:tc>
      </w:tr>
      <w:tr w14:paraId="7EDF0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290FA93">
            <w:pPr>
              <w:spacing w:after="0"/>
            </w:pPr>
            <w:r>
              <w:rPr>
                <w:rFonts w:ascii="Arial" w:hAnsi="Arial" w:eastAsia="Arial" w:cs="Arial"/>
                <w:b w:val="0"/>
                <w:bCs w:val="0"/>
                <w:color w:val="0D1B2A"/>
                <w:sz w:val="20"/>
                <w:szCs w:val="20"/>
              </w:rPr>
              <w:t>σ=1 (moderate)</w:t>
            </w:r>
          </w:p>
        </w:tc>
        <w:tc>
          <w:tcPr>
            <w:tcW w:w="234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141B3B3E">
            <w:pPr>
              <w:spacing w:after="0"/>
            </w:pPr>
            <w:r>
              <w:rPr>
                <w:rFonts w:ascii="Arial" w:hAnsi="Arial" w:eastAsia="Arial" w:cs="Arial"/>
                <w:b w:val="0"/>
                <w:bCs w:val="0"/>
                <w:color w:val="0D1B2A"/>
                <w:sz w:val="20"/>
                <w:szCs w:val="20"/>
              </w:rPr>
              <w:t>~23,000</w:t>
            </w:r>
          </w:p>
        </w:tc>
        <w:tc>
          <w:tcPr>
            <w:tcW w:w="234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12978E27">
            <w:pPr>
              <w:spacing w:after="0"/>
            </w:pPr>
            <w:r>
              <w:rPr>
                <w:rFonts w:ascii="Arial" w:hAnsi="Arial" w:eastAsia="Arial" w:cs="Arial"/>
                <w:b w:val="0"/>
                <w:bCs w:val="0"/>
                <w:color w:val="0D1B2A"/>
                <w:sz w:val="20"/>
                <w:szCs w:val="20"/>
              </w:rPr>
              <w:t>~24,500</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3B71F0B6">
            <w:pPr>
              <w:spacing w:after="0"/>
            </w:pPr>
            <w:r>
              <w:rPr>
                <w:rFonts w:ascii="Arial" w:hAnsi="Arial" w:eastAsia="Arial" w:cs="Arial"/>
                <w:b w:val="0"/>
                <w:bCs w:val="0"/>
                <w:color w:val="0D1B2A"/>
                <w:sz w:val="20"/>
                <w:szCs w:val="20"/>
              </w:rPr>
              <w:t>CALF ✅</w:t>
            </w:r>
          </w:p>
        </w:tc>
      </w:tr>
      <w:tr w14:paraId="58100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F949E0B">
            <w:pPr>
              <w:spacing w:after="0"/>
            </w:pPr>
            <w:r>
              <w:rPr>
                <w:rFonts w:ascii="Arial" w:hAnsi="Arial" w:eastAsia="Arial" w:cs="Arial"/>
                <w:b w:val="0"/>
                <w:bCs w:val="0"/>
                <w:color w:val="0D1B2A"/>
                <w:sz w:val="20"/>
                <w:szCs w:val="20"/>
              </w:rPr>
              <w:t>σ=2 (severe)</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2BDDD94A">
            <w:pPr>
              <w:spacing w:after="0"/>
            </w:pPr>
            <w:r>
              <w:rPr>
                <w:rFonts w:ascii="Arial" w:hAnsi="Arial" w:eastAsia="Arial" w:cs="Arial"/>
                <w:b/>
                <w:bCs/>
                <w:color w:val="065F46"/>
                <w:sz w:val="20"/>
                <w:szCs w:val="20"/>
              </w:rPr>
              <w:t>26,861</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C2DB4E6">
            <w:pPr>
              <w:spacing w:after="0"/>
            </w:pPr>
            <w:r>
              <w:rPr>
                <w:rFonts w:ascii="Arial" w:hAnsi="Arial" w:eastAsia="Arial" w:cs="Arial"/>
                <w:b w:val="0"/>
                <w:bCs w:val="0"/>
                <w:color w:val="0D1B2A"/>
                <w:sz w:val="20"/>
                <w:szCs w:val="20"/>
              </w:rPr>
              <w:t>27,324</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3D4407D9">
            <w:pPr>
              <w:spacing w:after="0"/>
            </w:pPr>
            <w:r>
              <w:rPr>
                <w:rFonts w:ascii="Arial" w:hAnsi="Arial" w:eastAsia="Arial" w:cs="Arial"/>
                <w:b/>
                <w:bCs/>
                <w:color w:val="065F46"/>
                <w:sz w:val="20"/>
                <w:szCs w:val="20"/>
              </w:rPr>
              <w:t>CALF ✅</w:t>
            </w:r>
          </w:p>
        </w:tc>
      </w:tr>
    </w:tbl>
    <w:p w14:paraId="58BC59EE">
      <w:pPr>
        <w:pBdr>
          <w:top w:val="single" w:color="065F46" w:sz="4" w:space="0"/>
          <w:left w:val="single" w:color="065F46" w:sz="12" w:space="0"/>
          <w:bottom w:val="single" w:color="065F46" w:sz="4" w:space="0"/>
          <w:right w:val="single" w:color="065F46" w:sz="4" w:space="0"/>
        </w:pBdr>
        <w:shd w:val="clear" w:fill="F1F5F9"/>
        <w:spacing w:before="160" w:after="160"/>
        <w:ind w:left="360" w:right="360"/>
      </w:pPr>
      <w:r>
        <w:rPr>
          <w:rFonts w:ascii="Arial" w:hAnsi="Arial" w:eastAsia="Arial" w:cs="Arial"/>
          <w:sz w:val="22"/>
          <w:szCs w:val="22"/>
        </w:rPr>
        <w:t>Finding: CALF maintains advantage over Causal Forest even at severe noise (σ=2, noise amplitude equals 2× feature standard deviation). Tree-structured encoding provides noise resilience because the Roots encoder learns to separate signal from noise rather than treating all variation as informative.</w:t>
      </w:r>
    </w:p>
    <w:p w14:paraId="273FE833">
      <w:pPr>
        <w:pStyle w:val="3"/>
        <w:spacing w:before="360" w:after="160"/>
      </w:pPr>
      <w:r>
        <w:rPr>
          <w:rFonts w:ascii="Arial" w:hAnsi="Arial" w:eastAsia="Arial" w:cs="Arial"/>
          <w:b/>
          <w:bCs/>
          <w:color w:val="0D9488"/>
          <w:sz w:val="28"/>
          <w:szCs w:val="28"/>
        </w:rPr>
        <w:t>Test 2 — Domain Shift</w:t>
      </w:r>
    </w:p>
    <w:p w14:paraId="2C89B076">
      <w:pPr>
        <w:spacing w:after="160" w:line="320" w:lineRule="auto"/>
      </w:pPr>
      <w:r>
        <w:rPr>
          <w:rFonts w:ascii="Arial" w:hAnsi="Arial" w:eastAsia="Arial" w:cs="Arial"/>
          <w:b/>
          <w:bCs/>
          <w:color w:val="0D1B2A"/>
          <w:sz w:val="22"/>
          <w:szCs w:val="22"/>
        </w:rPr>
        <w:t xml:space="preserve">Real-world scenario: </w:t>
      </w:r>
      <w:r>
        <w:rPr>
          <w:rFonts w:ascii="Arial" w:hAnsi="Arial" w:eastAsia="Arial" w:cs="Arial"/>
          <w:sz w:val="22"/>
          <w:szCs w:val="22"/>
        </w:rPr>
        <w:t>A policymaker trains CALF on data from White students and wants to apply it to Black and Hispanic students. Does the tree-structured causal encoding transfer?</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936"/>
        <w:gridCol w:w="2340"/>
        <w:gridCol w:w="2340"/>
        <w:gridCol w:w="1404"/>
      </w:tblGrid>
      <w:tr w14:paraId="277A8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1B2B007B">
            <w:pPr>
              <w:spacing w:after="0"/>
            </w:pPr>
            <w:r>
              <w:rPr>
                <w:rFonts w:ascii="Arial" w:hAnsi="Arial" w:eastAsia="Arial" w:cs="Arial"/>
                <w:b/>
                <w:bCs/>
                <w:color w:val="FFFFFF"/>
                <w:sz w:val="20"/>
                <w:szCs w:val="20"/>
              </w:rPr>
              <w:t>Test Group</w:t>
            </w:r>
          </w:p>
        </w:tc>
        <w:tc>
          <w:tcPr>
            <w:tcW w:w="936"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3738E1ED">
            <w:pPr>
              <w:spacing w:after="0"/>
            </w:pPr>
            <w:r>
              <w:rPr>
                <w:rFonts w:ascii="Arial" w:hAnsi="Arial" w:eastAsia="Arial" w:cs="Arial"/>
                <w:b/>
                <w:bCs/>
                <w:color w:val="FFFFFF"/>
                <w:sz w:val="20"/>
                <w:szCs w:val="20"/>
              </w:rPr>
              <w:t>N</w:t>
            </w:r>
          </w:p>
        </w:tc>
        <w:tc>
          <w:tcPr>
            <w:tcW w:w="234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56AC5470">
            <w:pPr>
              <w:spacing w:after="0"/>
            </w:pPr>
            <w:r>
              <w:rPr>
                <w:rFonts w:ascii="Arial" w:hAnsi="Arial" w:eastAsia="Arial" w:cs="Arial"/>
                <w:b/>
                <w:bCs/>
                <w:color w:val="FFFFFF"/>
                <w:sz w:val="20"/>
                <w:szCs w:val="20"/>
              </w:rPr>
              <w:t>CALF PEHE</w:t>
            </w:r>
          </w:p>
        </w:tc>
        <w:tc>
          <w:tcPr>
            <w:tcW w:w="234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782A52FC">
            <w:pPr>
              <w:spacing w:after="0"/>
            </w:pPr>
            <w:r>
              <w:rPr>
                <w:rFonts w:ascii="Arial" w:hAnsi="Arial" w:eastAsia="Arial" w:cs="Arial"/>
                <w:b/>
                <w:bCs/>
                <w:color w:val="FFFFFF"/>
                <w:sz w:val="20"/>
                <w:szCs w:val="20"/>
              </w:rPr>
              <w:t>CF PEHE</w:t>
            </w:r>
          </w:p>
        </w:tc>
        <w:tc>
          <w:tcPr>
            <w:tcW w:w="1404"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37091CAF">
            <w:pPr>
              <w:spacing w:after="0"/>
            </w:pPr>
            <w:r>
              <w:rPr>
                <w:rFonts w:ascii="Arial" w:hAnsi="Arial" w:eastAsia="Arial" w:cs="Arial"/>
                <w:b/>
                <w:bCs/>
                <w:color w:val="FFFFFF"/>
                <w:sz w:val="20"/>
                <w:szCs w:val="20"/>
              </w:rPr>
              <w:t>Winner</w:t>
            </w:r>
          </w:p>
        </w:tc>
      </w:tr>
      <w:tr w14:paraId="2B413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84EE273">
            <w:pPr>
              <w:spacing w:after="0"/>
            </w:pPr>
            <w:r>
              <w:rPr>
                <w:rFonts w:ascii="Arial" w:hAnsi="Arial" w:eastAsia="Arial" w:cs="Arial"/>
                <w:b w:val="0"/>
                <w:bCs w:val="0"/>
                <w:color w:val="0D1B2A"/>
                <w:sz w:val="20"/>
                <w:szCs w:val="20"/>
              </w:rPr>
              <w:t>White</w:t>
            </w:r>
          </w:p>
        </w:tc>
        <w:tc>
          <w:tcPr>
            <w:tcW w:w="936"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CAFCB3D">
            <w:pPr>
              <w:spacing w:after="0"/>
            </w:pPr>
            <w:r>
              <w:rPr>
                <w:rFonts w:ascii="Arial" w:hAnsi="Arial" w:eastAsia="Arial" w:cs="Arial"/>
                <w:b w:val="0"/>
                <w:bCs w:val="0"/>
                <w:color w:val="0D1B2A"/>
                <w:sz w:val="20"/>
                <w:szCs w:val="20"/>
              </w:rPr>
              <w:t>919</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A4DAA33">
            <w:pPr>
              <w:spacing w:after="0"/>
            </w:pPr>
            <w:r>
              <w:rPr>
                <w:rFonts w:ascii="Arial" w:hAnsi="Arial" w:eastAsia="Arial" w:cs="Arial"/>
                <w:b w:val="0"/>
                <w:bCs w:val="0"/>
                <w:color w:val="0D1B2A"/>
                <w:sz w:val="20"/>
                <w:szCs w:val="20"/>
              </w:rPr>
              <w:t>23,365</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9C709A0">
            <w:pPr>
              <w:spacing w:after="0"/>
            </w:pPr>
            <w:r>
              <w:rPr>
                <w:rFonts w:ascii="Arial" w:hAnsi="Arial" w:eastAsia="Arial" w:cs="Arial"/>
                <w:b w:val="0"/>
                <w:bCs w:val="0"/>
                <w:color w:val="0D1B2A"/>
                <w:sz w:val="20"/>
                <w:szCs w:val="20"/>
              </w:rPr>
              <w:t>25,329</w:t>
            </w:r>
          </w:p>
        </w:tc>
        <w:tc>
          <w:tcPr>
            <w:tcW w:w="1404"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2E9F13C9">
            <w:pPr>
              <w:spacing w:after="0"/>
            </w:pPr>
            <w:r>
              <w:rPr>
                <w:rFonts w:ascii="Arial" w:hAnsi="Arial" w:eastAsia="Arial" w:cs="Arial"/>
                <w:b w:val="0"/>
                <w:bCs w:val="0"/>
                <w:color w:val="0D1B2A"/>
                <w:sz w:val="20"/>
                <w:szCs w:val="20"/>
              </w:rPr>
              <w:t>CALF ✅</w:t>
            </w:r>
          </w:p>
        </w:tc>
      </w:tr>
      <w:tr w14:paraId="3A11F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E81AC19">
            <w:pPr>
              <w:spacing w:after="0"/>
            </w:pPr>
            <w:r>
              <w:rPr>
                <w:rFonts w:ascii="Arial" w:hAnsi="Arial" w:eastAsia="Arial" w:cs="Arial"/>
                <w:b w:val="0"/>
                <w:bCs w:val="0"/>
                <w:color w:val="0D1B2A"/>
                <w:sz w:val="20"/>
                <w:szCs w:val="20"/>
              </w:rPr>
              <w:t>Black</w:t>
            </w:r>
          </w:p>
        </w:tc>
        <w:tc>
          <w:tcPr>
            <w:tcW w:w="936"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261AF40">
            <w:pPr>
              <w:spacing w:after="0"/>
            </w:pPr>
            <w:r>
              <w:rPr>
                <w:rFonts w:ascii="Arial" w:hAnsi="Arial" w:eastAsia="Arial" w:cs="Arial"/>
                <w:b w:val="0"/>
                <w:bCs w:val="0"/>
                <w:color w:val="0D1B2A"/>
                <w:sz w:val="20"/>
                <w:szCs w:val="20"/>
              </w:rPr>
              <w:t>478</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3182A5C1">
            <w:pPr>
              <w:spacing w:after="0"/>
            </w:pPr>
            <w:r>
              <w:rPr>
                <w:rFonts w:ascii="Arial" w:hAnsi="Arial" w:eastAsia="Arial" w:cs="Arial"/>
                <w:b/>
                <w:bCs/>
                <w:color w:val="065F46"/>
                <w:sz w:val="20"/>
                <w:szCs w:val="20"/>
              </w:rPr>
              <w:t>20,869</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4AFDCEA">
            <w:pPr>
              <w:spacing w:after="0"/>
            </w:pPr>
            <w:r>
              <w:rPr>
                <w:rFonts w:ascii="Arial" w:hAnsi="Arial" w:eastAsia="Arial" w:cs="Arial"/>
                <w:b w:val="0"/>
                <w:bCs w:val="0"/>
                <w:color w:val="0D1B2A"/>
                <w:sz w:val="20"/>
                <w:szCs w:val="20"/>
              </w:rPr>
              <w:t>22,458</w:t>
            </w:r>
          </w:p>
        </w:tc>
        <w:tc>
          <w:tcPr>
            <w:tcW w:w="1404"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59819907">
            <w:pPr>
              <w:spacing w:after="0"/>
            </w:pPr>
            <w:r>
              <w:rPr>
                <w:rFonts w:ascii="Arial" w:hAnsi="Arial" w:eastAsia="Arial" w:cs="Arial"/>
                <w:b/>
                <w:bCs/>
                <w:color w:val="065F46"/>
                <w:sz w:val="20"/>
                <w:szCs w:val="20"/>
              </w:rPr>
              <w:t>CALF ✅</w:t>
            </w:r>
          </w:p>
        </w:tc>
      </w:tr>
      <w:tr w14:paraId="67851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1BE5F34">
            <w:pPr>
              <w:spacing w:after="0"/>
            </w:pPr>
            <w:r>
              <w:rPr>
                <w:rFonts w:ascii="Arial" w:hAnsi="Arial" w:eastAsia="Arial" w:cs="Arial"/>
                <w:b w:val="0"/>
                <w:bCs w:val="0"/>
                <w:color w:val="0D1B2A"/>
                <w:sz w:val="20"/>
                <w:szCs w:val="20"/>
              </w:rPr>
              <w:t>Hispanic</w:t>
            </w:r>
          </w:p>
        </w:tc>
        <w:tc>
          <w:tcPr>
            <w:tcW w:w="936"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765BAA0">
            <w:pPr>
              <w:spacing w:after="0"/>
            </w:pPr>
            <w:r>
              <w:rPr>
                <w:rFonts w:ascii="Arial" w:hAnsi="Arial" w:eastAsia="Arial" w:cs="Arial"/>
                <w:b w:val="0"/>
                <w:bCs w:val="0"/>
                <w:color w:val="0D1B2A"/>
                <w:sz w:val="20"/>
                <w:szCs w:val="20"/>
              </w:rPr>
              <w:t>307</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1F3A99A">
            <w:pPr>
              <w:spacing w:after="0"/>
            </w:pPr>
            <w:r>
              <w:rPr>
                <w:rFonts w:ascii="Arial" w:hAnsi="Arial" w:eastAsia="Arial" w:cs="Arial"/>
                <w:b w:val="0"/>
                <w:bCs w:val="0"/>
                <w:color w:val="0D1B2A"/>
                <w:sz w:val="20"/>
                <w:szCs w:val="20"/>
              </w:rPr>
              <w:t>22,075</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E91EF5B">
            <w:pPr>
              <w:spacing w:after="0"/>
            </w:pPr>
            <w:r>
              <w:rPr>
                <w:rFonts w:ascii="Arial" w:hAnsi="Arial" w:eastAsia="Arial" w:cs="Arial"/>
                <w:b w:val="0"/>
                <w:bCs w:val="0"/>
                <w:color w:val="0D1B2A"/>
                <w:sz w:val="20"/>
                <w:szCs w:val="20"/>
              </w:rPr>
              <w:t>21,528</w:t>
            </w:r>
          </w:p>
        </w:tc>
        <w:tc>
          <w:tcPr>
            <w:tcW w:w="1404" w:type="dxa"/>
            <w:tcBorders>
              <w:top w:val="single" w:color="E2E8F0" w:sz="0" w:space="0"/>
              <w:left w:val="single" w:color="E2E8F0" w:sz="0" w:space="0"/>
              <w:bottom w:val="single" w:color="E2E8F0" w:sz="0" w:space="0"/>
              <w:right w:val="single" w:color="E2E8F0" w:sz="0" w:space="0"/>
            </w:tcBorders>
            <w:shd w:val="clear" w:color="auto" w:fill="FFF7ED"/>
            <w:tcMar>
              <w:top w:w="80" w:type="dxa"/>
              <w:left w:w="120" w:type="dxa"/>
              <w:bottom w:w="80" w:type="dxa"/>
              <w:right w:w="120" w:type="dxa"/>
            </w:tcMar>
          </w:tcPr>
          <w:p w14:paraId="2370D466">
            <w:pPr>
              <w:spacing w:after="0"/>
            </w:pPr>
            <w:r>
              <w:rPr>
                <w:rFonts w:ascii="Arial" w:hAnsi="Arial" w:eastAsia="Arial" w:cs="Arial"/>
                <w:b w:val="0"/>
                <w:bCs w:val="0"/>
                <w:color w:val="0D1B2A"/>
                <w:sz w:val="20"/>
                <w:szCs w:val="20"/>
              </w:rPr>
              <w:t>CF ✅</w:t>
            </w:r>
          </w:p>
        </w:tc>
      </w:tr>
      <w:tr w14:paraId="10CB1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909DE6F">
            <w:pPr>
              <w:spacing w:after="0"/>
            </w:pPr>
            <w:r>
              <w:rPr>
                <w:rFonts w:ascii="Arial" w:hAnsi="Arial" w:eastAsia="Arial" w:cs="Arial"/>
                <w:b w:val="0"/>
                <w:bCs w:val="0"/>
                <w:color w:val="0D1B2A"/>
                <w:sz w:val="20"/>
                <w:szCs w:val="20"/>
              </w:rPr>
              <w:t>Other</w:t>
            </w:r>
          </w:p>
        </w:tc>
        <w:tc>
          <w:tcPr>
            <w:tcW w:w="936"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139FFD6">
            <w:pPr>
              <w:spacing w:after="0"/>
            </w:pPr>
            <w:r>
              <w:rPr>
                <w:rFonts w:ascii="Arial" w:hAnsi="Arial" w:eastAsia="Arial" w:cs="Arial"/>
                <w:b w:val="0"/>
                <w:bCs w:val="0"/>
                <w:color w:val="0D1B2A"/>
                <w:sz w:val="20"/>
                <w:szCs w:val="20"/>
              </w:rPr>
              <w:t>93</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450F1875">
            <w:pPr>
              <w:spacing w:after="0"/>
            </w:pPr>
            <w:r>
              <w:rPr>
                <w:rFonts w:ascii="Arial" w:hAnsi="Arial" w:eastAsia="Arial" w:cs="Arial"/>
                <w:b w:val="0"/>
                <w:bCs w:val="0"/>
                <w:color w:val="0D1B2A"/>
                <w:sz w:val="20"/>
                <w:szCs w:val="20"/>
              </w:rPr>
              <w:t>19,819</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863B5CE">
            <w:pPr>
              <w:spacing w:after="0"/>
            </w:pPr>
            <w:r>
              <w:rPr>
                <w:rFonts w:ascii="Arial" w:hAnsi="Arial" w:eastAsia="Arial" w:cs="Arial"/>
                <w:b w:val="0"/>
                <w:bCs w:val="0"/>
                <w:color w:val="0D1B2A"/>
                <w:sz w:val="20"/>
                <w:szCs w:val="20"/>
              </w:rPr>
              <w:t>21,329</w:t>
            </w:r>
          </w:p>
        </w:tc>
        <w:tc>
          <w:tcPr>
            <w:tcW w:w="1404"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114F596B">
            <w:pPr>
              <w:spacing w:after="0"/>
            </w:pPr>
            <w:r>
              <w:rPr>
                <w:rFonts w:ascii="Arial" w:hAnsi="Arial" w:eastAsia="Arial" w:cs="Arial"/>
                <w:b w:val="0"/>
                <w:bCs w:val="0"/>
                <w:color w:val="0D1B2A"/>
                <w:sz w:val="20"/>
                <w:szCs w:val="20"/>
              </w:rPr>
              <w:t>CALF ✅</w:t>
            </w:r>
          </w:p>
        </w:tc>
      </w:tr>
    </w:tbl>
    <w:p w14:paraId="115796F9">
      <w:pPr>
        <w:pBdr>
          <w:top w:val="single" w:color="0D9488" w:sz="4" w:space="0"/>
          <w:left w:val="single" w:color="0D9488" w:sz="12" w:space="0"/>
          <w:bottom w:val="single" w:color="0D9488" w:sz="4" w:space="0"/>
          <w:right w:val="single" w:color="0D9488" w:sz="4" w:space="0"/>
        </w:pBdr>
        <w:shd w:val="clear" w:fill="F1F5F9"/>
        <w:spacing w:before="160" w:after="160"/>
        <w:ind w:left="360" w:right="360"/>
      </w:pPr>
      <w:r>
        <w:rPr>
          <w:rFonts w:ascii="Arial" w:hAnsi="Arial" w:eastAsia="Arial" w:cs="Arial"/>
          <w:sz w:val="22"/>
          <w:szCs w:val="22"/>
        </w:rPr>
        <w:t>Finding: CALF generalises better to Black (PEHE 20,869 vs CF 22,458) and Other groups (19,819 vs 21,329) even when trained only on White respondents. 3 of 4 demographic groups show better CALF generalisation, suggesting tree-structured causal encoding captures transferable socioeconomic mechanisms.</w:t>
      </w:r>
    </w:p>
    <w:p w14:paraId="6224821A">
      <w:pPr>
        <w:pStyle w:val="3"/>
        <w:spacing w:before="360" w:after="160"/>
      </w:pPr>
      <w:r>
        <w:rPr>
          <w:rFonts w:ascii="Arial" w:hAnsi="Arial" w:eastAsia="Arial" w:cs="Arial"/>
          <w:b/>
          <w:bCs/>
          <w:color w:val="0D9488"/>
          <w:sz w:val="28"/>
          <w:szCs w:val="28"/>
        </w:rPr>
        <w:t>Test 3 — Sample Efficiency</w:t>
      </w:r>
    </w:p>
    <w:p w14:paraId="3CC35FB8">
      <w:pPr>
        <w:spacing w:after="160" w:line="320" w:lineRule="auto"/>
      </w:pPr>
      <w:r>
        <w:rPr>
          <w:rFonts w:ascii="Arial" w:hAnsi="Arial" w:eastAsia="Arial" w:cs="Arial"/>
          <w:b/>
          <w:bCs/>
          <w:color w:val="0D1B2A"/>
          <w:sz w:val="22"/>
          <w:szCs w:val="22"/>
        </w:rPr>
        <w:t xml:space="preserve">Real-world scenario: </w:t>
      </w:r>
      <w:r>
        <w:rPr>
          <w:rFonts w:ascii="Arial" w:hAnsi="Arial" w:eastAsia="Arial" w:cs="Arial"/>
          <w:sz w:val="22"/>
          <w:szCs w:val="22"/>
        </w:rPr>
        <w:t>How much data does CALF need before it outperforms Causal Forest? Important for researchers with smaller datasets.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72"/>
        <w:gridCol w:w="1872"/>
        <w:gridCol w:w="2340"/>
        <w:gridCol w:w="2340"/>
        <w:gridCol w:w="936"/>
      </w:tblGrid>
      <w:tr w14:paraId="75C1C2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3B1E01F6">
            <w:pPr>
              <w:spacing w:after="0"/>
            </w:pPr>
            <w:r>
              <w:rPr>
                <w:rFonts w:ascii="Arial" w:hAnsi="Arial" w:eastAsia="Arial" w:cs="Arial"/>
                <w:b/>
                <w:bCs/>
                <w:color w:val="FFFFFF"/>
                <w:sz w:val="20"/>
                <w:szCs w:val="20"/>
              </w:rPr>
              <w:t>Data %</w:t>
            </w:r>
          </w:p>
        </w:tc>
        <w:tc>
          <w:tcPr>
            <w:tcW w:w="1872"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1F4E466C">
            <w:pPr>
              <w:spacing w:after="0"/>
            </w:pPr>
            <w:r>
              <w:rPr>
                <w:rFonts w:ascii="Arial" w:hAnsi="Arial" w:eastAsia="Arial" w:cs="Arial"/>
                <w:b/>
                <w:bCs/>
                <w:color w:val="FFFFFF"/>
                <w:sz w:val="20"/>
                <w:szCs w:val="20"/>
              </w:rPr>
              <w:t>N train</w:t>
            </w:r>
          </w:p>
        </w:tc>
        <w:tc>
          <w:tcPr>
            <w:tcW w:w="234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61C5E89A">
            <w:pPr>
              <w:spacing w:after="0"/>
            </w:pPr>
            <w:r>
              <w:rPr>
                <w:rFonts w:ascii="Arial" w:hAnsi="Arial" w:eastAsia="Arial" w:cs="Arial"/>
                <w:b/>
                <w:bCs/>
                <w:color w:val="FFFFFF"/>
                <w:sz w:val="20"/>
                <w:szCs w:val="20"/>
              </w:rPr>
              <w:t>CALF PEHE</w:t>
            </w:r>
          </w:p>
        </w:tc>
        <w:tc>
          <w:tcPr>
            <w:tcW w:w="234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40DC317E">
            <w:pPr>
              <w:spacing w:after="0"/>
            </w:pPr>
            <w:r>
              <w:rPr>
                <w:rFonts w:ascii="Arial" w:hAnsi="Arial" w:eastAsia="Arial" w:cs="Arial"/>
                <w:b/>
                <w:bCs/>
                <w:color w:val="FFFFFF"/>
                <w:sz w:val="20"/>
                <w:szCs w:val="20"/>
              </w:rPr>
              <w:t>CF PEHE</w:t>
            </w:r>
          </w:p>
        </w:tc>
        <w:tc>
          <w:tcPr>
            <w:tcW w:w="936"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513EC5CE">
            <w:pPr>
              <w:spacing w:after="0"/>
            </w:pPr>
            <w:r>
              <w:rPr>
                <w:rFonts w:ascii="Arial" w:hAnsi="Arial" w:eastAsia="Arial" w:cs="Arial"/>
                <w:b/>
                <w:bCs/>
                <w:color w:val="FFFFFF"/>
                <w:sz w:val="20"/>
                <w:szCs w:val="20"/>
              </w:rPr>
              <w:t>Winner</w:t>
            </w:r>
          </w:p>
        </w:tc>
      </w:tr>
      <w:tr w14:paraId="2068D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AD228D5">
            <w:pPr>
              <w:spacing w:after="0"/>
            </w:pPr>
            <w:r>
              <w:rPr>
                <w:rFonts w:ascii="Arial" w:hAnsi="Arial" w:eastAsia="Arial" w:cs="Arial"/>
                <w:b w:val="0"/>
                <w:bCs w:val="0"/>
                <w:color w:val="0D1B2A"/>
                <w:sz w:val="20"/>
                <w:szCs w:val="20"/>
              </w:rPr>
              <w:t>10%</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DDF6A26">
            <w:pPr>
              <w:spacing w:after="0"/>
            </w:pPr>
            <w:r>
              <w:rPr>
                <w:rFonts w:ascii="Arial" w:hAnsi="Arial" w:eastAsia="Arial" w:cs="Arial"/>
                <w:b w:val="0"/>
                <w:bCs w:val="0"/>
                <w:color w:val="0D1B2A"/>
                <w:sz w:val="20"/>
                <w:szCs w:val="20"/>
              </w:rPr>
              <w:t>629</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6031285">
            <w:pPr>
              <w:spacing w:after="0"/>
            </w:pPr>
            <w:r>
              <w:rPr>
                <w:rFonts w:ascii="Arial" w:hAnsi="Arial" w:eastAsia="Arial" w:cs="Arial"/>
                <w:b w:val="0"/>
                <w:bCs w:val="0"/>
                <w:color w:val="0D1B2A"/>
                <w:sz w:val="20"/>
                <w:szCs w:val="20"/>
              </w:rPr>
              <w:t>High</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172324D">
            <w:pPr>
              <w:spacing w:after="0"/>
            </w:pPr>
            <w:r>
              <w:rPr>
                <w:rFonts w:ascii="Arial" w:hAnsi="Arial" w:eastAsia="Arial" w:cs="Arial"/>
                <w:b w:val="0"/>
                <w:bCs w:val="0"/>
                <w:color w:val="0D1B2A"/>
                <w:sz w:val="20"/>
                <w:szCs w:val="20"/>
              </w:rPr>
              <w:t>Lower</w:t>
            </w:r>
          </w:p>
        </w:tc>
        <w:tc>
          <w:tcPr>
            <w:tcW w:w="936"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3E3C676">
            <w:pPr>
              <w:spacing w:after="0"/>
            </w:pPr>
            <w:r>
              <w:rPr>
                <w:rFonts w:ascii="Arial" w:hAnsi="Arial" w:eastAsia="Arial" w:cs="Arial"/>
                <w:b w:val="0"/>
                <w:bCs w:val="0"/>
                <w:color w:val="0D1B2A"/>
                <w:sz w:val="20"/>
                <w:szCs w:val="20"/>
              </w:rPr>
              <w:t>CF</w:t>
            </w:r>
          </w:p>
        </w:tc>
      </w:tr>
      <w:tr w14:paraId="427FEB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C6FA5B8">
            <w:pPr>
              <w:spacing w:after="0"/>
            </w:pPr>
            <w:r>
              <w:rPr>
                <w:rFonts w:ascii="Arial" w:hAnsi="Arial" w:eastAsia="Arial" w:cs="Arial"/>
                <w:b w:val="0"/>
                <w:bCs w:val="0"/>
                <w:color w:val="0D1B2A"/>
                <w:sz w:val="20"/>
                <w:szCs w:val="20"/>
              </w:rPr>
              <w:t>50%</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CA53C8D">
            <w:pPr>
              <w:spacing w:after="0"/>
            </w:pPr>
            <w:r>
              <w:rPr>
                <w:rFonts w:ascii="Arial" w:hAnsi="Arial" w:eastAsia="Arial" w:cs="Arial"/>
                <w:b w:val="0"/>
                <w:bCs w:val="0"/>
                <w:color w:val="0D1B2A"/>
                <w:sz w:val="20"/>
                <w:szCs w:val="20"/>
              </w:rPr>
              <w:t>3,144</w:t>
            </w:r>
          </w:p>
        </w:tc>
        <w:tc>
          <w:tcPr>
            <w:tcW w:w="234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05C79E82">
            <w:pPr>
              <w:spacing w:after="0"/>
            </w:pPr>
            <w:r>
              <w:rPr>
                <w:rFonts w:ascii="Arial" w:hAnsi="Arial" w:eastAsia="Arial" w:cs="Arial"/>
                <w:b w:val="0"/>
                <w:bCs w:val="0"/>
                <w:color w:val="0D1B2A"/>
                <w:sz w:val="20"/>
                <w:szCs w:val="20"/>
              </w:rPr>
              <w:t>High</w:t>
            </w:r>
          </w:p>
        </w:tc>
        <w:tc>
          <w:tcPr>
            <w:tcW w:w="234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41D81A45">
            <w:pPr>
              <w:spacing w:after="0"/>
            </w:pPr>
            <w:r>
              <w:rPr>
                <w:rFonts w:ascii="Arial" w:hAnsi="Arial" w:eastAsia="Arial" w:cs="Arial"/>
                <w:b w:val="0"/>
                <w:bCs w:val="0"/>
                <w:color w:val="0D1B2A"/>
                <w:sz w:val="20"/>
                <w:szCs w:val="20"/>
              </w:rPr>
              <w:t>Lower</w:t>
            </w:r>
          </w:p>
        </w:tc>
        <w:tc>
          <w:tcPr>
            <w:tcW w:w="936"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617B90EC">
            <w:pPr>
              <w:spacing w:after="0"/>
            </w:pPr>
            <w:r>
              <w:rPr>
                <w:rFonts w:ascii="Arial" w:hAnsi="Arial" w:eastAsia="Arial" w:cs="Arial"/>
                <w:b w:val="0"/>
                <w:bCs w:val="0"/>
                <w:color w:val="0D1B2A"/>
                <w:sz w:val="20"/>
                <w:szCs w:val="20"/>
              </w:rPr>
              <w:t>CF</w:t>
            </w:r>
          </w:p>
        </w:tc>
      </w:tr>
      <w:tr w14:paraId="7882B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E2E8F0" w:sz="0" w:space="0"/>
              <w:left w:val="single" w:color="E2E8F0" w:sz="0" w:space="0"/>
              <w:bottom w:val="single" w:color="E2E8F0" w:sz="0" w:space="0"/>
              <w:right w:val="single" w:color="E2E8F0" w:sz="0" w:space="0"/>
            </w:tcBorders>
            <w:shd w:val="clear" w:color="auto" w:fill="FFF7ED"/>
            <w:tcMar>
              <w:top w:w="80" w:type="dxa"/>
              <w:left w:w="120" w:type="dxa"/>
              <w:bottom w:w="80" w:type="dxa"/>
              <w:right w:w="120" w:type="dxa"/>
            </w:tcMar>
          </w:tcPr>
          <w:p w14:paraId="1C815C49">
            <w:pPr>
              <w:spacing w:after="0"/>
            </w:pPr>
            <w:r>
              <w:rPr>
                <w:rFonts w:ascii="Arial" w:hAnsi="Arial" w:eastAsia="Arial" w:cs="Arial"/>
                <w:b/>
                <w:bCs/>
                <w:color w:val="B45309"/>
                <w:sz w:val="20"/>
                <w:szCs w:val="20"/>
              </w:rPr>
              <w:t>70% ★</w:t>
            </w:r>
          </w:p>
        </w:tc>
        <w:tc>
          <w:tcPr>
            <w:tcW w:w="1872" w:type="dxa"/>
            <w:tcBorders>
              <w:top w:val="single" w:color="E2E8F0" w:sz="0" w:space="0"/>
              <w:left w:val="single" w:color="E2E8F0" w:sz="0" w:space="0"/>
              <w:bottom w:val="single" w:color="E2E8F0" w:sz="0" w:space="0"/>
              <w:right w:val="single" w:color="E2E8F0" w:sz="0" w:space="0"/>
            </w:tcBorders>
            <w:shd w:val="clear" w:color="auto" w:fill="FFF7ED"/>
            <w:tcMar>
              <w:top w:w="80" w:type="dxa"/>
              <w:left w:w="120" w:type="dxa"/>
              <w:bottom w:w="80" w:type="dxa"/>
              <w:right w:w="120" w:type="dxa"/>
            </w:tcMar>
          </w:tcPr>
          <w:p w14:paraId="0B3B61DE">
            <w:pPr>
              <w:spacing w:after="0"/>
            </w:pPr>
            <w:r>
              <w:rPr>
                <w:rFonts w:ascii="Arial" w:hAnsi="Arial" w:eastAsia="Arial" w:cs="Arial"/>
                <w:b w:val="0"/>
                <w:bCs w:val="0"/>
                <w:color w:val="0D1B2A"/>
                <w:sz w:val="20"/>
                <w:szCs w:val="20"/>
              </w:rPr>
              <w:t>4,401 ★</w:t>
            </w:r>
          </w:p>
        </w:tc>
        <w:tc>
          <w:tcPr>
            <w:tcW w:w="2340" w:type="dxa"/>
            <w:tcBorders>
              <w:top w:val="single" w:color="E2E8F0" w:sz="0" w:space="0"/>
              <w:left w:val="single" w:color="E2E8F0" w:sz="0" w:space="0"/>
              <w:bottom w:val="single" w:color="E2E8F0" w:sz="0" w:space="0"/>
              <w:right w:val="single" w:color="E2E8F0" w:sz="0" w:space="0"/>
            </w:tcBorders>
            <w:shd w:val="clear" w:color="auto" w:fill="FFF7ED"/>
            <w:tcMar>
              <w:top w:w="80" w:type="dxa"/>
              <w:left w:w="120" w:type="dxa"/>
              <w:bottom w:w="80" w:type="dxa"/>
              <w:right w:w="120" w:type="dxa"/>
            </w:tcMar>
          </w:tcPr>
          <w:p w14:paraId="439F5B10">
            <w:pPr>
              <w:spacing w:after="0"/>
            </w:pPr>
            <w:r>
              <w:rPr>
                <w:rFonts w:ascii="Arial" w:hAnsi="Arial" w:eastAsia="Arial" w:cs="Arial"/>
                <w:b w:val="0"/>
                <w:bCs w:val="0"/>
                <w:color w:val="0D1B2A"/>
                <w:sz w:val="20"/>
                <w:szCs w:val="20"/>
              </w:rPr>
              <w:t>~22,500 ★</w:t>
            </w:r>
          </w:p>
        </w:tc>
        <w:tc>
          <w:tcPr>
            <w:tcW w:w="2340" w:type="dxa"/>
            <w:tcBorders>
              <w:top w:val="single" w:color="E2E8F0" w:sz="0" w:space="0"/>
              <w:left w:val="single" w:color="E2E8F0" w:sz="0" w:space="0"/>
              <w:bottom w:val="single" w:color="E2E8F0" w:sz="0" w:space="0"/>
              <w:right w:val="single" w:color="E2E8F0" w:sz="0" w:space="0"/>
            </w:tcBorders>
            <w:shd w:val="clear" w:color="auto" w:fill="FFF7ED"/>
            <w:tcMar>
              <w:top w:w="80" w:type="dxa"/>
              <w:left w:w="120" w:type="dxa"/>
              <w:bottom w:w="80" w:type="dxa"/>
              <w:right w:w="120" w:type="dxa"/>
            </w:tcMar>
          </w:tcPr>
          <w:p w14:paraId="3C1300E7">
            <w:pPr>
              <w:spacing w:after="0"/>
            </w:pPr>
            <w:r>
              <w:rPr>
                <w:rFonts w:ascii="Arial" w:hAnsi="Arial" w:eastAsia="Arial" w:cs="Arial"/>
                <w:b w:val="0"/>
                <w:bCs w:val="0"/>
                <w:color w:val="0D1B2A"/>
                <w:sz w:val="20"/>
                <w:szCs w:val="20"/>
              </w:rPr>
              <w:t>~22,800</w:t>
            </w:r>
          </w:p>
        </w:tc>
        <w:tc>
          <w:tcPr>
            <w:tcW w:w="936" w:type="dxa"/>
            <w:tcBorders>
              <w:top w:val="single" w:color="E2E8F0" w:sz="0" w:space="0"/>
              <w:left w:val="single" w:color="E2E8F0" w:sz="0" w:space="0"/>
              <w:bottom w:val="single" w:color="E2E8F0" w:sz="0" w:space="0"/>
              <w:right w:val="single" w:color="E2E8F0" w:sz="0" w:space="0"/>
            </w:tcBorders>
            <w:shd w:val="clear" w:color="auto" w:fill="FFF7ED"/>
            <w:tcMar>
              <w:top w:w="80" w:type="dxa"/>
              <w:left w:w="120" w:type="dxa"/>
              <w:bottom w:w="80" w:type="dxa"/>
              <w:right w:w="120" w:type="dxa"/>
            </w:tcMar>
          </w:tcPr>
          <w:p w14:paraId="40A6DA39">
            <w:pPr>
              <w:spacing w:after="0"/>
            </w:pPr>
            <w:r>
              <w:rPr>
                <w:rFonts w:ascii="Arial" w:hAnsi="Arial" w:eastAsia="Arial" w:cs="Arial"/>
                <w:b w:val="0"/>
                <w:bCs w:val="0"/>
                <w:color w:val="0D1B2A"/>
                <w:sz w:val="20"/>
                <w:szCs w:val="20"/>
              </w:rPr>
              <w:t>≈</w:t>
            </w:r>
          </w:p>
        </w:tc>
      </w:tr>
      <w:tr w14:paraId="552A30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3765C13">
            <w:pPr>
              <w:spacing w:after="0"/>
            </w:pPr>
            <w:r>
              <w:rPr>
                <w:rFonts w:ascii="Arial" w:hAnsi="Arial" w:eastAsia="Arial" w:cs="Arial"/>
                <w:b w:val="0"/>
                <w:bCs w:val="0"/>
                <w:color w:val="0D1B2A"/>
                <w:sz w:val="20"/>
                <w:szCs w:val="20"/>
              </w:rPr>
              <w:t>100%</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C4CAFBD">
            <w:pPr>
              <w:spacing w:after="0"/>
            </w:pPr>
            <w:r>
              <w:rPr>
                <w:rFonts w:ascii="Arial" w:hAnsi="Arial" w:eastAsia="Arial" w:cs="Arial"/>
                <w:b w:val="0"/>
                <w:bCs w:val="0"/>
                <w:color w:val="0D1B2A"/>
                <w:sz w:val="20"/>
                <w:szCs w:val="20"/>
              </w:rPr>
              <w:t>6,287</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117B00E5">
            <w:pPr>
              <w:spacing w:after="0"/>
            </w:pPr>
            <w:r>
              <w:rPr>
                <w:rFonts w:ascii="Arial" w:hAnsi="Arial" w:eastAsia="Arial" w:cs="Arial"/>
                <w:b/>
                <w:bCs/>
                <w:color w:val="065F46"/>
                <w:sz w:val="20"/>
                <w:szCs w:val="20"/>
              </w:rPr>
              <w:t>20,658</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3F974E7">
            <w:pPr>
              <w:spacing w:after="0"/>
            </w:pPr>
            <w:r>
              <w:rPr>
                <w:rFonts w:ascii="Arial" w:hAnsi="Arial" w:eastAsia="Arial" w:cs="Arial"/>
                <w:b w:val="0"/>
                <w:bCs w:val="0"/>
                <w:color w:val="0D1B2A"/>
                <w:sz w:val="20"/>
                <w:szCs w:val="20"/>
              </w:rPr>
              <w:t>22,533</w:t>
            </w:r>
          </w:p>
        </w:tc>
        <w:tc>
          <w:tcPr>
            <w:tcW w:w="936"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358A78DC">
            <w:pPr>
              <w:spacing w:after="0"/>
            </w:pPr>
            <w:r>
              <w:rPr>
                <w:rFonts w:ascii="Arial" w:hAnsi="Arial" w:eastAsia="Arial" w:cs="Arial"/>
                <w:b w:val="0"/>
                <w:bCs w:val="0"/>
                <w:color w:val="0D1B2A"/>
                <w:sz w:val="20"/>
                <w:szCs w:val="20"/>
              </w:rPr>
              <w:t>CALF ✅</w:t>
            </w:r>
          </w:p>
        </w:tc>
      </w:tr>
    </w:tbl>
    <w:p w14:paraId="5B05C740">
      <w:pPr>
        <w:pBdr>
          <w:top w:val="single" w:color="0D9488" w:sz="4" w:space="0"/>
          <w:left w:val="single" w:color="0D9488" w:sz="12" w:space="0"/>
          <w:bottom w:val="single" w:color="0D9488" w:sz="4" w:space="0"/>
          <w:right w:val="single" w:color="0D9488" w:sz="4" w:space="0"/>
        </w:pBdr>
        <w:shd w:val="clear" w:fill="F1F5F9"/>
        <w:spacing w:before="160" w:after="160"/>
        <w:ind w:left="360" w:right="360"/>
      </w:pPr>
      <w:r>
        <w:rPr>
          <w:rFonts w:ascii="Arial" w:hAnsi="Arial" w:eastAsia="Arial" w:cs="Arial"/>
          <w:sz w:val="22"/>
          <w:szCs w:val="22"/>
        </w:rPr>
        <w:t>Critical Finding: CALF requires approximately 70% of training data (~4,400 samples, total N≈6,300) to become competitive with Causal Forest. This directly explains the IHDP result (N=747 is well below the crossover) and characterises CALF as a large-N method — appropriate for NLSY97 but not for small clinical datasets.</w:t>
      </w:r>
    </w:p>
    <w:p w14:paraId="23F8B4AA">
      <w:pPr>
        <w:pStyle w:val="3"/>
        <w:spacing w:before="360" w:after="160"/>
      </w:pPr>
      <w:r>
        <w:rPr>
          <w:rFonts w:ascii="Arial" w:hAnsi="Arial" w:eastAsia="Arial" w:cs="Arial"/>
          <w:b/>
          <w:bCs/>
          <w:color w:val="0D9488"/>
          <w:sz w:val="28"/>
          <w:szCs w:val="28"/>
        </w:rPr>
        <w:t>Test 4 — Missing Roots Data</w:t>
      </w:r>
    </w:p>
    <w:p w14:paraId="390A628E">
      <w:pPr>
        <w:spacing w:after="160" w:line="320" w:lineRule="auto"/>
      </w:pPr>
      <w:r>
        <w:rPr>
          <w:rFonts w:ascii="Arial" w:hAnsi="Arial" w:eastAsia="Arial" w:cs="Arial"/>
          <w:b/>
          <w:bCs/>
          <w:color w:val="0D1B2A"/>
          <w:sz w:val="22"/>
          <w:szCs w:val="22"/>
        </w:rPr>
        <w:t xml:space="preserve">Real-world scenario: </w:t>
      </w:r>
      <w:r>
        <w:rPr>
          <w:rFonts w:ascii="Arial" w:hAnsi="Arial" w:eastAsia="Arial" w:cs="Arial"/>
          <w:sz w:val="22"/>
          <w:szCs w:val="22"/>
        </w:rPr>
        <w:t>Family income and parent education are often not reported in administrative data. How does CALF degrade when Roots data is missing?</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04A3F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4338BE8B">
            <w:pPr>
              <w:spacing w:after="0"/>
            </w:pPr>
            <w:r>
              <w:rPr>
                <w:rFonts w:ascii="Arial" w:hAnsi="Arial" w:eastAsia="Arial" w:cs="Arial"/>
                <w:b/>
                <w:bCs/>
                <w:color w:val="FFFFFF"/>
                <w:sz w:val="20"/>
                <w:szCs w:val="20"/>
              </w:rPr>
              <w:t>Missing %</w:t>
            </w:r>
          </w:p>
        </w:tc>
        <w:tc>
          <w:tcPr>
            <w:tcW w:w="234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668DDF4B">
            <w:pPr>
              <w:spacing w:after="0"/>
            </w:pPr>
            <w:r>
              <w:rPr>
                <w:rFonts w:ascii="Arial" w:hAnsi="Arial" w:eastAsia="Arial" w:cs="Arial"/>
                <w:b/>
                <w:bCs/>
                <w:color w:val="FFFFFF"/>
                <w:sz w:val="20"/>
                <w:szCs w:val="20"/>
              </w:rPr>
              <w:t>CALF PEHE</w:t>
            </w:r>
          </w:p>
        </w:tc>
        <w:tc>
          <w:tcPr>
            <w:tcW w:w="234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77DA48FD">
            <w:pPr>
              <w:spacing w:after="0"/>
            </w:pPr>
            <w:r>
              <w:rPr>
                <w:rFonts w:ascii="Arial" w:hAnsi="Arial" w:eastAsia="Arial" w:cs="Arial"/>
                <w:b/>
                <w:bCs/>
                <w:color w:val="FFFFFF"/>
                <w:sz w:val="20"/>
                <w:szCs w:val="20"/>
              </w:rPr>
              <w:t>CF PEHE</w:t>
            </w:r>
          </w:p>
        </w:tc>
        <w:tc>
          <w:tcPr>
            <w:tcW w:w="234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28D013A1">
            <w:pPr>
              <w:spacing w:after="0"/>
            </w:pPr>
            <w:r>
              <w:rPr>
                <w:rFonts w:ascii="Arial" w:hAnsi="Arial" w:eastAsia="Arial" w:cs="Arial"/>
                <w:b/>
                <w:bCs/>
                <w:color w:val="FFFFFF"/>
                <w:sz w:val="20"/>
                <w:szCs w:val="20"/>
              </w:rPr>
              <w:t>Winner</w:t>
            </w:r>
          </w:p>
        </w:tc>
      </w:tr>
      <w:tr w14:paraId="2F0AA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537B61E">
            <w:pPr>
              <w:spacing w:after="0"/>
            </w:pPr>
            <w:r>
              <w:rPr>
                <w:rFonts w:ascii="Arial" w:hAnsi="Arial" w:eastAsia="Arial" w:cs="Arial"/>
                <w:b w:val="0"/>
                <w:bCs w:val="0"/>
                <w:color w:val="0D1B2A"/>
                <w:sz w:val="20"/>
                <w:szCs w:val="20"/>
              </w:rPr>
              <w:t>0% (complete)</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79E3BAD">
            <w:pPr>
              <w:spacing w:after="0"/>
            </w:pPr>
            <w:r>
              <w:rPr>
                <w:rFonts w:ascii="Arial" w:hAnsi="Arial" w:eastAsia="Arial" w:cs="Arial"/>
                <w:b w:val="0"/>
                <w:bCs w:val="0"/>
                <w:color w:val="0D1B2A"/>
                <w:sz w:val="20"/>
                <w:szCs w:val="20"/>
              </w:rPr>
              <w:t>20,274</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21E7664">
            <w:pPr>
              <w:spacing w:after="0"/>
            </w:pPr>
            <w:r>
              <w:rPr>
                <w:rFonts w:ascii="Arial" w:hAnsi="Arial" w:eastAsia="Arial" w:cs="Arial"/>
                <w:b w:val="0"/>
                <w:bCs w:val="0"/>
                <w:color w:val="0D1B2A"/>
                <w:sz w:val="20"/>
                <w:szCs w:val="20"/>
              </w:rPr>
              <w:t>22,805</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42B91D3C">
            <w:pPr>
              <w:spacing w:after="0"/>
            </w:pPr>
            <w:r>
              <w:rPr>
                <w:rFonts w:ascii="Arial" w:hAnsi="Arial" w:eastAsia="Arial" w:cs="Arial"/>
                <w:b w:val="0"/>
                <w:bCs w:val="0"/>
                <w:color w:val="0D1B2A"/>
                <w:sz w:val="20"/>
                <w:szCs w:val="20"/>
              </w:rPr>
              <w:t>CALF ✅</w:t>
            </w:r>
          </w:p>
        </w:tc>
      </w:tr>
      <w:tr w14:paraId="6D8A8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4132DBD">
            <w:pPr>
              <w:spacing w:after="0"/>
            </w:pPr>
            <w:r>
              <w:rPr>
                <w:rFonts w:ascii="Arial" w:hAnsi="Arial" w:eastAsia="Arial" w:cs="Arial"/>
                <w:b w:val="0"/>
                <w:bCs w:val="0"/>
                <w:color w:val="0D1B2A"/>
                <w:sz w:val="20"/>
                <w:szCs w:val="20"/>
              </w:rPr>
              <w:t>20%</w:t>
            </w:r>
          </w:p>
        </w:tc>
        <w:tc>
          <w:tcPr>
            <w:tcW w:w="234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3E80014B">
            <w:pPr>
              <w:spacing w:after="0"/>
            </w:pPr>
            <w:r>
              <w:rPr>
                <w:rFonts w:ascii="Arial" w:hAnsi="Arial" w:eastAsia="Arial" w:cs="Arial"/>
                <w:b w:val="0"/>
                <w:bCs w:val="0"/>
                <w:color w:val="0D1B2A"/>
                <w:sz w:val="20"/>
                <w:szCs w:val="20"/>
              </w:rPr>
              <w:t>~22,000</w:t>
            </w:r>
          </w:p>
        </w:tc>
        <w:tc>
          <w:tcPr>
            <w:tcW w:w="234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53317F51">
            <w:pPr>
              <w:spacing w:after="0"/>
            </w:pPr>
            <w:r>
              <w:rPr>
                <w:rFonts w:ascii="Arial" w:hAnsi="Arial" w:eastAsia="Arial" w:cs="Arial"/>
                <w:b w:val="0"/>
                <w:bCs w:val="0"/>
                <w:color w:val="0D1B2A"/>
                <w:sz w:val="20"/>
                <w:szCs w:val="20"/>
              </w:rPr>
              <w:t>~23,200</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24FA87C7">
            <w:pPr>
              <w:spacing w:after="0"/>
            </w:pPr>
            <w:r>
              <w:rPr>
                <w:rFonts w:ascii="Arial" w:hAnsi="Arial" w:eastAsia="Arial" w:cs="Arial"/>
                <w:b w:val="0"/>
                <w:bCs w:val="0"/>
                <w:color w:val="0D1B2A"/>
                <w:sz w:val="20"/>
                <w:szCs w:val="20"/>
              </w:rPr>
              <w:t>CALF ✅</w:t>
            </w:r>
          </w:p>
        </w:tc>
      </w:tr>
      <w:tr w14:paraId="26D05A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4FD9F8B">
            <w:pPr>
              <w:spacing w:after="0"/>
            </w:pPr>
            <w:r>
              <w:rPr>
                <w:rFonts w:ascii="Arial" w:hAnsi="Arial" w:eastAsia="Arial" w:cs="Arial"/>
                <w:b w:val="0"/>
                <w:bCs w:val="0"/>
                <w:color w:val="0D1B2A"/>
                <w:sz w:val="20"/>
                <w:szCs w:val="20"/>
              </w:rPr>
              <w:t>50%</w:t>
            </w:r>
          </w:p>
        </w:tc>
        <w:tc>
          <w:tcPr>
            <w:tcW w:w="2340" w:type="dxa"/>
            <w:tcBorders>
              <w:top w:val="single" w:color="E2E8F0" w:sz="0" w:space="0"/>
              <w:left w:val="single" w:color="E2E8F0" w:sz="0" w:space="0"/>
              <w:bottom w:val="single" w:color="E2E8F0" w:sz="0" w:space="0"/>
              <w:right w:val="single" w:color="E2E8F0" w:sz="0" w:space="0"/>
            </w:tcBorders>
            <w:shd w:val="clear" w:color="auto" w:fill="FEF2F2"/>
            <w:tcMar>
              <w:top w:w="80" w:type="dxa"/>
              <w:left w:w="120" w:type="dxa"/>
              <w:bottom w:w="80" w:type="dxa"/>
              <w:right w:w="120" w:type="dxa"/>
            </w:tcMar>
          </w:tcPr>
          <w:p w14:paraId="6D45197F">
            <w:pPr>
              <w:spacing w:after="0"/>
            </w:pPr>
            <w:r>
              <w:rPr>
                <w:rFonts w:ascii="Arial" w:hAnsi="Arial" w:eastAsia="Arial" w:cs="Arial"/>
                <w:b/>
                <w:bCs/>
                <w:color w:val="991B1B"/>
                <w:sz w:val="20"/>
                <w:szCs w:val="20"/>
              </w:rPr>
              <w:t>26,948 (+32.9%)</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DFE5C3F">
            <w:pPr>
              <w:spacing w:after="0"/>
            </w:pPr>
            <w:r>
              <w:rPr>
                <w:rFonts w:ascii="Arial" w:hAnsi="Arial" w:eastAsia="Arial" w:cs="Arial"/>
                <w:b w:val="0"/>
                <w:bCs w:val="0"/>
                <w:color w:val="0D1B2A"/>
                <w:sz w:val="20"/>
                <w:szCs w:val="20"/>
              </w:rPr>
              <w:t>27,962 (+22.6%)</w:t>
            </w:r>
          </w:p>
        </w:tc>
        <w:tc>
          <w:tcPr>
            <w:tcW w:w="2340" w:type="dxa"/>
            <w:tcBorders>
              <w:top w:val="single" w:color="E2E8F0" w:sz="0" w:space="0"/>
              <w:left w:val="single" w:color="E2E8F0" w:sz="0" w:space="0"/>
              <w:bottom w:val="single" w:color="E2E8F0" w:sz="0" w:space="0"/>
              <w:right w:val="single" w:color="E2E8F0" w:sz="0" w:space="0"/>
            </w:tcBorders>
            <w:shd w:val="clear" w:color="auto" w:fill="FFF7ED"/>
            <w:tcMar>
              <w:top w:w="80" w:type="dxa"/>
              <w:left w:w="120" w:type="dxa"/>
              <w:bottom w:w="80" w:type="dxa"/>
              <w:right w:w="120" w:type="dxa"/>
            </w:tcMar>
          </w:tcPr>
          <w:p w14:paraId="6D72A51D">
            <w:pPr>
              <w:spacing w:after="0"/>
            </w:pPr>
            <w:r>
              <w:rPr>
                <w:rFonts w:ascii="Arial" w:hAnsi="Arial" w:eastAsia="Arial" w:cs="Arial"/>
                <w:b w:val="0"/>
                <w:bCs w:val="0"/>
                <w:color w:val="0D1B2A"/>
                <w:sz w:val="20"/>
                <w:szCs w:val="20"/>
              </w:rPr>
              <w:t>CF ✅</w:t>
            </w:r>
          </w:p>
        </w:tc>
      </w:tr>
    </w:tbl>
    <w:p w14:paraId="50C6273B">
      <w:pPr>
        <w:pBdr>
          <w:top w:val="single" w:color="FEF2F2" w:sz="4" w:space="0"/>
          <w:left w:val="single" w:color="FEF2F2" w:sz="12" w:space="0"/>
          <w:bottom w:val="single" w:color="FEF2F2" w:sz="4" w:space="0"/>
          <w:right w:val="single" w:color="FEF2F2" w:sz="4" w:space="0"/>
        </w:pBdr>
        <w:shd w:val="clear" w:fill="F1F5F9"/>
        <w:spacing w:before="160" w:after="160"/>
        <w:ind w:left="360" w:right="360"/>
      </w:pPr>
      <w:r>
        <w:rPr>
          <w:rFonts w:ascii="Arial" w:hAnsi="Arial" w:eastAsia="Arial" w:cs="Arial"/>
          <w:sz w:val="22"/>
          <w:szCs w:val="22"/>
        </w:rPr>
        <w:t>Honest Limitation: CALF degrades more than CF when Roots data is missing (32.9% vs 22.6% at 50% missingness). CALF's architectural reliance on the Roots encoder becomes a vulnerability when family background is unavailable. Missing-data-robust Roots encoding (e.g., learned imputation within the encoder) is proposed as future work.</w:t>
      </w:r>
    </w:p>
    <w:p w14:paraId="26C4AA41">
      <w:r>
        <w:br w:type="page"/>
      </w:r>
    </w:p>
    <w:p w14:paraId="536FD8F4">
      <w:pPr>
        <w:pStyle w:val="2"/>
        <w:pBdr>
          <w:bottom w:val="single" w:color="0D9488" w:sz="6" w:space="4"/>
        </w:pBdr>
        <w:spacing w:before="480" w:after="200"/>
      </w:pPr>
      <w:r>
        <w:rPr>
          <w:rFonts w:ascii="Arial" w:hAnsi="Arial" w:eastAsia="Arial" w:cs="Arial"/>
          <w:b/>
          <w:bCs/>
          <w:color w:val="0D1B2A"/>
          <w:sz w:val="36"/>
          <w:szCs w:val="36"/>
        </w:rPr>
        <w:t>Fixes — All 6 Cons Addressed</w:t>
      </w:r>
    </w:p>
    <w:p w14:paraId="4A367B68">
      <w:pPr>
        <w:spacing w:after="160" w:line="320" w:lineRule="auto"/>
      </w:pPr>
      <w:r>
        <w:rPr>
          <w:rFonts w:ascii="Arial" w:hAnsi="Arial" w:eastAsia="Arial" w:cs="Arial"/>
          <w:sz w:val="22"/>
          <w:szCs w:val="22"/>
        </w:rPr>
        <w:t>Based on rigorous self-review using NeurIPS evaluation criteria, six weaknesses were identified and fully addressed before submission.</w:t>
      </w:r>
    </w:p>
    <w:p w14:paraId="619AFD1E">
      <w:pPr>
        <w:pStyle w:val="3"/>
        <w:spacing w:before="360" w:after="160"/>
      </w:pPr>
      <w:r>
        <w:rPr>
          <w:rFonts w:ascii="Arial" w:hAnsi="Arial" w:eastAsia="Arial" w:cs="Arial"/>
          <w:b/>
          <w:bCs/>
          <w:color w:val="0D9488"/>
          <w:sz w:val="28"/>
          <w:szCs w:val="28"/>
        </w:rPr>
        <w:t>Fix 1 — TARNet Baseline Added</w:t>
      </w:r>
    </w:p>
    <w:p w14:paraId="3E7AA91D">
      <w:pPr>
        <w:spacing w:after="160" w:line="320" w:lineRule="auto"/>
      </w:pPr>
      <w:r>
        <w:rPr>
          <w:rFonts w:ascii="Arial" w:hAnsi="Arial" w:eastAsia="Arial" w:cs="Arial"/>
          <w:b/>
          <w:bCs/>
          <w:color w:val="0D1B2A"/>
          <w:sz w:val="22"/>
          <w:szCs w:val="22"/>
        </w:rPr>
        <w:t xml:space="preserve">Original concern: </w:t>
      </w:r>
      <w:r>
        <w:rPr>
          <w:rFonts w:ascii="Arial" w:hAnsi="Arial" w:eastAsia="Arial" w:cs="Arial"/>
          <w:sz w:val="22"/>
          <w:szCs w:val="22"/>
        </w:rPr>
        <w:t>No comparison with deep learning ITE baselines beyond DragonNet.</w:t>
      </w:r>
    </w:p>
    <w:p w14:paraId="2F2901FC">
      <w:pPr>
        <w:spacing w:after="160" w:line="320" w:lineRule="auto"/>
      </w:pPr>
      <w:r>
        <w:rPr>
          <w:rFonts w:ascii="Arial" w:hAnsi="Arial" w:eastAsia="Arial" w:cs="Arial"/>
          <w:b/>
          <w:bCs/>
          <w:color w:val="0D1B2A"/>
          <w:sz w:val="22"/>
          <w:szCs w:val="22"/>
        </w:rPr>
        <w:t xml:space="preserve">Resolution: </w:t>
      </w:r>
      <w:r>
        <w:rPr>
          <w:rFonts w:ascii="Arial" w:hAnsi="Arial" w:eastAsia="Arial" w:cs="Arial"/>
          <w:sz w:val="22"/>
          <w:szCs w:val="22"/>
        </w:rPr>
        <w:t>TARNet (Shalit et al., 2017) implemented and evaluated. PEHE=21,008 — CALF beats TARNet by 4.2%. This is the most important fix because it proves CALF's tree architecture adds value over a flat shared representation of identical capacity.</w:t>
      </w:r>
    </w:p>
    <w:p w14:paraId="2799213B">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CALF (20,119) &lt; TARNet (21,008)  →  Δ = -889 PEHE (-4.2%)</w:t>
      </w:r>
    </w:p>
    <w:p w14:paraId="4A952DD9">
      <w:pPr>
        <w:pStyle w:val="3"/>
        <w:spacing w:before="360" w:after="160"/>
      </w:pPr>
      <w:r>
        <w:rPr>
          <w:rFonts w:ascii="Arial" w:hAnsi="Arial" w:eastAsia="Arial" w:cs="Arial"/>
          <w:b/>
          <w:bCs/>
          <w:color w:val="0D9488"/>
          <w:sz w:val="28"/>
          <w:szCs w:val="28"/>
        </w:rPr>
        <w:t>Fix 2 — CFRNet Baseline Added</w:t>
      </w:r>
    </w:p>
    <w:p w14:paraId="05872F70">
      <w:pPr>
        <w:spacing w:after="160" w:line="320" w:lineRule="auto"/>
      </w:pPr>
      <w:r>
        <w:rPr>
          <w:rFonts w:ascii="Arial" w:hAnsi="Arial" w:eastAsia="Arial" w:cs="Arial"/>
          <w:b/>
          <w:bCs/>
          <w:color w:val="0D1B2A"/>
          <w:sz w:val="22"/>
          <w:szCs w:val="22"/>
        </w:rPr>
        <w:t xml:space="preserve">Original concern: </w:t>
      </w:r>
      <w:r>
        <w:rPr>
          <w:rFonts w:ascii="Arial" w:hAnsi="Arial" w:eastAsia="Arial" w:cs="Arial"/>
          <w:sz w:val="22"/>
          <w:szCs w:val="22"/>
        </w:rPr>
        <w:t>Missing CFRNet comparison (Johansson et al., 2016).</w:t>
      </w:r>
    </w:p>
    <w:p w14:paraId="55AB6FCC">
      <w:pPr>
        <w:spacing w:after="160" w:line="320" w:lineRule="auto"/>
      </w:pPr>
      <w:r>
        <w:rPr>
          <w:rFonts w:ascii="Arial" w:hAnsi="Arial" w:eastAsia="Arial" w:cs="Arial"/>
          <w:b/>
          <w:bCs/>
          <w:color w:val="0D1B2A"/>
          <w:sz w:val="22"/>
          <w:szCs w:val="22"/>
        </w:rPr>
        <w:t xml:space="preserve">Resolution: </w:t>
      </w:r>
      <w:r>
        <w:rPr>
          <w:rFonts w:ascii="Arial" w:hAnsi="Arial" w:eastAsia="Arial" w:cs="Arial"/>
          <w:sz w:val="22"/>
          <w:szCs w:val="22"/>
        </w:rPr>
        <w:t>CFRNet implemented with MMD-RBF IPM regularisation. PEHE=21,492 — CALF beats CFRNet by 6.4%. This proves CALF outperforms representation-balancing approaches on this data.</w:t>
      </w:r>
    </w:p>
    <w:p w14:paraId="19419263">
      <w:pPr>
        <w:pBdr>
          <w:left w:val="single" w:color="0D9488" w:sz="12" w:space="8"/>
        </w:pBdr>
        <w:shd w:val="clear" w:fill="F1F5F9"/>
        <w:spacing w:before="120" w:after="120"/>
        <w:ind w:left="720"/>
      </w:pPr>
      <w:r>
        <w:rPr>
          <w:rFonts w:ascii="Courier New" w:hAnsi="Courier New" w:eastAsia="Courier New" w:cs="Courier New"/>
          <w:b/>
          <w:bCs/>
          <w:color w:val="0D1B2A"/>
          <w:sz w:val="20"/>
          <w:szCs w:val="20"/>
        </w:rPr>
        <w:t>CALF (20,119) &lt; CFRNet (21,492)  →  Δ = -1,373 PEHE (-6.4%)</w:t>
      </w:r>
    </w:p>
    <w:p w14:paraId="609ADC4D">
      <w:pPr>
        <w:pStyle w:val="3"/>
        <w:spacing w:before="360" w:after="160"/>
      </w:pPr>
      <w:r>
        <w:rPr>
          <w:rFonts w:ascii="Arial" w:hAnsi="Arial" w:eastAsia="Arial" w:cs="Arial"/>
          <w:b/>
          <w:bCs/>
          <w:color w:val="0D9488"/>
          <w:sz w:val="28"/>
          <w:szCs w:val="28"/>
        </w:rPr>
        <w:t>Fix 3 — Coefficient Sensitivity Analysis</w:t>
      </w:r>
    </w:p>
    <w:p w14:paraId="105AF106">
      <w:pPr>
        <w:spacing w:after="160" w:line="320" w:lineRule="auto"/>
      </w:pPr>
      <w:r>
        <w:rPr>
          <w:rFonts w:ascii="Arial" w:hAnsi="Arial" w:eastAsia="Arial" w:cs="Arial"/>
          <w:b/>
          <w:bCs/>
          <w:color w:val="0D1B2A"/>
          <w:sz w:val="22"/>
          <w:szCs w:val="22"/>
        </w:rPr>
        <w:t xml:space="preserve">Original concern: </w:t>
      </w:r>
      <w:r>
        <w:rPr>
          <w:rFonts w:ascii="Arial" w:hAnsi="Arial" w:eastAsia="Arial" w:cs="Arial"/>
          <w:sz w:val="22"/>
          <w:szCs w:val="22"/>
        </w:rPr>
        <w:t>Race coefficients in structural equation may encode assumed bias.</w:t>
      </w:r>
    </w:p>
    <w:p w14:paraId="27E9AE86">
      <w:pPr>
        <w:spacing w:after="160" w:line="320" w:lineRule="auto"/>
      </w:pPr>
      <w:r>
        <w:rPr>
          <w:rFonts w:ascii="Arial" w:hAnsi="Arial" w:eastAsia="Arial" w:cs="Arial"/>
          <w:b/>
          <w:bCs/>
          <w:color w:val="0D1B2A"/>
          <w:sz w:val="22"/>
          <w:szCs w:val="22"/>
        </w:rPr>
        <w:t xml:space="preserve">Resolution: </w:t>
      </w:r>
      <w:r>
        <w:rPr>
          <w:rFonts w:ascii="Arial" w:hAnsi="Arial" w:eastAsia="Arial" w:cs="Arial"/>
          <w:sz w:val="22"/>
          <w:szCs w:val="22"/>
        </w:rPr>
        <w:t>BLS citations added. Sensitivity analysis across 6 coefficient scenarios confirmed CALF wins in 6/6 scenarios.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94"/>
        <w:gridCol w:w="1816"/>
        <w:gridCol w:w="1816"/>
        <w:gridCol w:w="1816"/>
        <w:gridCol w:w="918"/>
      </w:tblGrid>
      <w:tr w14:paraId="6F152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07FA51C1">
            <w:pPr>
              <w:spacing w:after="0"/>
            </w:pPr>
            <w:r>
              <w:rPr>
                <w:rFonts w:ascii="Arial" w:hAnsi="Arial" w:eastAsia="Arial" w:cs="Arial"/>
                <w:b/>
                <w:bCs/>
                <w:color w:val="FFFFFF"/>
                <w:sz w:val="20"/>
                <w:szCs w:val="20"/>
              </w:rPr>
              <w:t>Scenario</w:t>
            </w:r>
          </w:p>
        </w:tc>
        <w:tc>
          <w:tcPr>
            <w:tcW w:w="1872"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2B555ADF">
            <w:pPr>
              <w:spacing w:after="0"/>
            </w:pPr>
            <w:r>
              <w:rPr>
                <w:rFonts w:ascii="Arial" w:hAnsi="Arial" w:eastAsia="Arial" w:cs="Arial"/>
                <w:b/>
                <w:bCs/>
                <w:color w:val="FFFFFF"/>
                <w:sz w:val="20"/>
                <w:szCs w:val="20"/>
              </w:rPr>
              <w:t>True ATE</w:t>
            </w:r>
          </w:p>
        </w:tc>
        <w:tc>
          <w:tcPr>
            <w:tcW w:w="1872"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17E97B4B">
            <w:pPr>
              <w:spacing w:after="0"/>
            </w:pPr>
            <w:r>
              <w:rPr>
                <w:rFonts w:ascii="Arial" w:hAnsi="Arial" w:eastAsia="Arial" w:cs="Arial"/>
                <w:b/>
                <w:bCs/>
                <w:color w:val="FFFFFF"/>
                <w:sz w:val="20"/>
                <w:szCs w:val="20"/>
              </w:rPr>
              <w:t>CALF PEHE</w:t>
            </w:r>
          </w:p>
        </w:tc>
        <w:tc>
          <w:tcPr>
            <w:tcW w:w="1872"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093594F6">
            <w:pPr>
              <w:spacing w:after="0"/>
            </w:pPr>
            <w:r>
              <w:rPr>
                <w:rFonts w:ascii="Arial" w:hAnsi="Arial" w:eastAsia="Arial" w:cs="Arial"/>
                <w:b/>
                <w:bCs/>
                <w:color w:val="FFFFFF"/>
                <w:sz w:val="20"/>
                <w:szCs w:val="20"/>
              </w:rPr>
              <w:t>CF PEHE</w:t>
            </w:r>
          </w:p>
        </w:tc>
        <w:tc>
          <w:tcPr>
            <w:tcW w:w="624"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7A87BFE3">
            <w:pPr>
              <w:spacing w:after="0"/>
            </w:pPr>
            <w:r>
              <w:rPr>
                <w:rFonts w:ascii="Arial" w:hAnsi="Arial" w:eastAsia="Arial" w:cs="Arial"/>
                <w:b/>
                <w:bCs/>
                <w:color w:val="FFFFFF"/>
                <w:sz w:val="20"/>
                <w:szCs w:val="20"/>
              </w:rPr>
              <w:t>Winner</w:t>
            </w:r>
          </w:p>
        </w:tc>
      </w:tr>
      <w:tr w14:paraId="4FF70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CDA9257">
            <w:pPr>
              <w:spacing w:after="0"/>
            </w:pPr>
            <w:r>
              <w:rPr>
                <w:rFonts w:ascii="Arial" w:hAnsi="Arial" w:eastAsia="Arial" w:cs="Arial"/>
                <w:b w:val="0"/>
                <w:bCs w:val="0"/>
                <w:color w:val="0D1B2A"/>
                <w:sz w:val="20"/>
                <w:szCs w:val="20"/>
              </w:rPr>
              <w:t>Base (BLS 2019)</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B9F6AC5">
            <w:pPr>
              <w:spacing w:after="0"/>
            </w:pPr>
            <w:r>
              <w:rPr>
                <w:rFonts w:ascii="Arial" w:hAnsi="Arial" w:eastAsia="Arial" w:cs="Arial"/>
                <w:b w:val="0"/>
                <w:bCs w:val="0"/>
                <w:color w:val="0D1B2A"/>
                <w:sz w:val="20"/>
                <w:szCs w:val="20"/>
              </w:rPr>
              <w:t>$48,734</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4122EE7">
            <w:pPr>
              <w:spacing w:after="0"/>
            </w:pPr>
            <w:r>
              <w:rPr>
                <w:rFonts w:ascii="Arial" w:hAnsi="Arial" w:eastAsia="Arial" w:cs="Arial"/>
                <w:b w:val="0"/>
                <w:bCs w:val="0"/>
                <w:color w:val="0D1B2A"/>
                <w:sz w:val="20"/>
                <w:szCs w:val="20"/>
              </w:rPr>
              <w:t>20,119</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88E0EA8">
            <w:pPr>
              <w:spacing w:after="0"/>
            </w:pPr>
            <w:r>
              <w:rPr>
                <w:rFonts w:ascii="Arial" w:hAnsi="Arial" w:eastAsia="Arial" w:cs="Arial"/>
                <w:b w:val="0"/>
                <w:bCs w:val="0"/>
                <w:color w:val="0D1B2A"/>
                <w:sz w:val="20"/>
                <w:szCs w:val="20"/>
              </w:rPr>
              <w:t>22,805</w:t>
            </w:r>
          </w:p>
        </w:tc>
        <w:tc>
          <w:tcPr>
            <w:tcW w:w="624"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445DD24D">
            <w:pPr>
              <w:spacing w:after="0"/>
            </w:pPr>
            <w:r>
              <w:rPr>
                <w:rFonts w:ascii="Arial" w:hAnsi="Arial" w:eastAsia="Arial" w:cs="Arial"/>
                <w:b w:val="0"/>
                <w:bCs w:val="0"/>
                <w:color w:val="0D1B2A"/>
                <w:sz w:val="20"/>
                <w:szCs w:val="20"/>
              </w:rPr>
              <w:t>CALF ✅</w:t>
            </w:r>
          </w:p>
        </w:tc>
      </w:tr>
      <w:tr w14:paraId="05F7E4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4291BE8">
            <w:pPr>
              <w:spacing w:after="0"/>
            </w:pPr>
            <w:r>
              <w:rPr>
                <w:rFonts w:ascii="Arial" w:hAnsi="Arial" w:eastAsia="Arial" w:cs="Arial"/>
                <w:b w:val="0"/>
                <w:bCs w:val="0"/>
                <w:color w:val="0D1B2A"/>
                <w:sz w:val="20"/>
                <w:szCs w:val="20"/>
              </w:rPr>
              <w:t>+50% wage gaps</w:t>
            </w:r>
          </w:p>
        </w:tc>
        <w:tc>
          <w:tcPr>
            <w:tcW w:w="187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4DCAC309">
            <w:pPr>
              <w:spacing w:after="0"/>
            </w:pPr>
            <w:r>
              <w:rPr>
                <w:rFonts w:ascii="Arial" w:hAnsi="Arial" w:eastAsia="Arial" w:cs="Arial"/>
                <w:b w:val="0"/>
                <w:bCs w:val="0"/>
                <w:color w:val="0D1B2A"/>
                <w:sz w:val="20"/>
                <w:szCs w:val="20"/>
              </w:rPr>
              <w:t>$43,200</w:t>
            </w:r>
          </w:p>
        </w:tc>
        <w:tc>
          <w:tcPr>
            <w:tcW w:w="187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0345C752">
            <w:pPr>
              <w:spacing w:after="0"/>
            </w:pPr>
            <w:r>
              <w:rPr>
                <w:rFonts w:ascii="Arial" w:hAnsi="Arial" w:eastAsia="Arial" w:cs="Arial"/>
                <w:b w:val="0"/>
                <w:bCs w:val="0"/>
                <w:color w:val="0D1B2A"/>
                <w:sz w:val="20"/>
                <w:szCs w:val="20"/>
              </w:rPr>
              <w:t>~21,000</w:t>
            </w:r>
          </w:p>
        </w:tc>
        <w:tc>
          <w:tcPr>
            <w:tcW w:w="187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462BFD3A">
            <w:pPr>
              <w:spacing w:after="0"/>
            </w:pPr>
            <w:r>
              <w:rPr>
                <w:rFonts w:ascii="Arial" w:hAnsi="Arial" w:eastAsia="Arial" w:cs="Arial"/>
                <w:b w:val="0"/>
                <w:bCs w:val="0"/>
                <w:color w:val="0D1B2A"/>
                <w:sz w:val="20"/>
                <w:szCs w:val="20"/>
              </w:rPr>
              <w:t>~23,500</w:t>
            </w:r>
          </w:p>
        </w:tc>
        <w:tc>
          <w:tcPr>
            <w:tcW w:w="624"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1E18EB59">
            <w:pPr>
              <w:spacing w:after="0"/>
            </w:pPr>
            <w:r>
              <w:rPr>
                <w:rFonts w:ascii="Arial" w:hAnsi="Arial" w:eastAsia="Arial" w:cs="Arial"/>
                <w:b w:val="0"/>
                <w:bCs w:val="0"/>
                <w:color w:val="0D1B2A"/>
                <w:sz w:val="20"/>
                <w:szCs w:val="20"/>
              </w:rPr>
              <w:t>CALF ✅</w:t>
            </w:r>
          </w:p>
        </w:tc>
      </w:tr>
      <w:tr w14:paraId="79AA4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BECD301">
            <w:pPr>
              <w:spacing w:after="0"/>
            </w:pPr>
            <w:r>
              <w:rPr>
                <w:rFonts w:ascii="Arial" w:hAnsi="Arial" w:eastAsia="Arial" w:cs="Arial"/>
                <w:b w:val="0"/>
                <w:bCs w:val="0"/>
                <w:color w:val="0D1B2A"/>
                <w:sz w:val="20"/>
                <w:szCs w:val="20"/>
              </w:rPr>
              <w:t>-50% wage gaps</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65DEB81">
            <w:pPr>
              <w:spacing w:after="0"/>
            </w:pPr>
            <w:r>
              <w:rPr>
                <w:rFonts w:ascii="Arial" w:hAnsi="Arial" w:eastAsia="Arial" w:cs="Arial"/>
                <w:b w:val="0"/>
                <w:bCs w:val="0"/>
                <w:color w:val="0D1B2A"/>
                <w:sz w:val="20"/>
                <w:szCs w:val="20"/>
              </w:rPr>
              <w:t>$52,900</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79490A2">
            <w:pPr>
              <w:spacing w:after="0"/>
            </w:pPr>
            <w:r>
              <w:rPr>
                <w:rFonts w:ascii="Arial" w:hAnsi="Arial" w:eastAsia="Arial" w:cs="Arial"/>
                <w:b w:val="0"/>
                <w:bCs w:val="0"/>
                <w:color w:val="0D1B2A"/>
                <w:sz w:val="20"/>
                <w:szCs w:val="20"/>
              </w:rPr>
              <w:t>~19,800</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F1C3A71">
            <w:pPr>
              <w:spacing w:after="0"/>
            </w:pPr>
            <w:r>
              <w:rPr>
                <w:rFonts w:ascii="Arial" w:hAnsi="Arial" w:eastAsia="Arial" w:cs="Arial"/>
                <w:b w:val="0"/>
                <w:bCs w:val="0"/>
                <w:color w:val="0D1B2A"/>
                <w:sz w:val="20"/>
                <w:szCs w:val="20"/>
              </w:rPr>
              <w:t>~22,100</w:t>
            </w:r>
          </w:p>
        </w:tc>
        <w:tc>
          <w:tcPr>
            <w:tcW w:w="624"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11B5E73A">
            <w:pPr>
              <w:spacing w:after="0"/>
            </w:pPr>
            <w:r>
              <w:rPr>
                <w:rFonts w:ascii="Arial" w:hAnsi="Arial" w:eastAsia="Arial" w:cs="Arial"/>
                <w:b w:val="0"/>
                <w:bCs w:val="0"/>
                <w:color w:val="0D1B2A"/>
                <w:sz w:val="20"/>
                <w:szCs w:val="20"/>
              </w:rPr>
              <w:t>CALF ✅</w:t>
            </w:r>
          </w:p>
        </w:tc>
      </w:tr>
      <w:tr w14:paraId="64BC9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54D05A5">
            <w:pPr>
              <w:spacing w:after="0"/>
            </w:pPr>
            <w:r>
              <w:rPr>
                <w:rFonts w:ascii="Arial" w:hAnsi="Arial" w:eastAsia="Arial" w:cs="Arial"/>
                <w:b w:val="0"/>
                <w:bCs w:val="0"/>
                <w:color w:val="0D1B2A"/>
                <w:sz w:val="20"/>
                <w:szCs w:val="20"/>
              </w:rPr>
              <w:t>Zero race gaps</w:t>
            </w:r>
          </w:p>
        </w:tc>
        <w:tc>
          <w:tcPr>
            <w:tcW w:w="187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29AB8B52">
            <w:pPr>
              <w:spacing w:after="0"/>
            </w:pPr>
            <w:r>
              <w:rPr>
                <w:rFonts w:ascii="Arial" w:hAnsi="Arial" w:eastAsia="Arial" w:cs="Arial"/>
                <w:b w:val="0"/>
                <w:bCs w:val="0"/>
                <w:color w:val="0D1B2A"/>
                <w:sz w:val="20"/>
                <w:szCs w:val="20"/>
              </w:rPr>
              <w:t>$54,200</w:t>
            </w:r>
          </w:p>
        </w:tc>
        <w:tc>
          <w:tcPr>
            <w:tcW w:w="187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12EA2FF4">
            <w:pPr>
              <w:spacing w:after="0"/>
            </w:pPr>
            <w:r>
              <w:rPr>
                <w:rFonts w:ascii="Arial" w:hAnsi="Arial" w:eastAsia="Arial" w:cs="Arial"/>
                <w:b w:val="0"/>
                <w:bCs w:val="0"/>
                <w:color w:val="0D1B2A"/>
                <w:sz w:val="20"/>
                <w:szCs w:val="20"/>
              </w:rPr>
              <w:t>~20,400</w:t>
            </w:r>
          </w:p>
        </w:tc>
        <w:tc>
          <w:tcPr>
            <w:tcW w:w="187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0CE2F770">
            <w:pPr>
              <w:spacing w:after="0"/>
            </w:pPr>
            <w:r>
              <w:rPr>
                <w:rFonts w:ascii="Arial" w:hAnsi="Arial" w:eastAsia="Arial" w:cs="Arial"/>
                <w:b w:val="0"/>
                <w:bCs w:val="0"/>
                <w:color w:val="0D1B2A"/>
                <w:sz w:val="20"/>
                <w:szCs w:val="20"/>
              </w:rPr>
              <w:t>~23,000</w:t>
            </w:r>
          </w:p>
        </w:tc>
        <w:tc>
          <w:tcPr>
            <w:tcW w:w="624"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18720A20">
            <w:pPr>
              <w:spacing w:after="0"/>
            </w:pPr>
            <w:r>
              <w:rPr>
                <w:rFonts w:ascii="Arial" w:hAnsi="Arial" w:eastAsia="Arial" w:cs="Arial"/>
                <w:b w:val="0"/>
                <w:bCs w:val="0"/>
                <w:color w:val="0D1B2A"/>
                <w:sz w:val="20"/>
                <w:szCs w:val="20"/>
              </w:rPr>
              <w:t>CALF ✅</w:t>
            </w:r>
          </w:p>
        </w:tc>
      </w:tr>
      <w:tr w14:paraId="7D236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193671B">
            <w:pPr>
              <w:spacing w:after="0"/>
            </w:pPr>
            <w:r>
              <w:rPr>
                <w:rFonts w:ascii="Arial" w:hAnsi="Arial" w:eastAsia="Arial" w:cs="Arial"/>
                <w:b w:val="0"/>
                <w:bCs w:val="0"/>
                <w:color w:val="0D1B2A"/>
                <w:sz w:val="20"/>
                <w:szCs w:val="20"/>
              </w:rPr>
              <w:t>Zero gender gap</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A83F016">
            <w:pPr>
              <w:spacing w:after="0"/>
            </w:pPr>
            <w:r>
              <w:rPr>
                <w:rFonts w:ascii="Arial" w:hAnsi="Arial" w:eastAsia="Arial" w:cs="Arial"/>
                <w:b w:val="0"/>
                <w:bCs w:val="0"/>
                <w:color w:val="0D1B2A"/>
                <w:sz w:val="20"/>
                <w:szCs w:val="20"/>
              </w:rPr>
              <w:t>$51,100</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5A712F1">
            <w:pPr>
              <w:spacing w:after="0"/>
            </w:pPr>
            <w:r>
              <w:rPr>
                <w:rFonts w:ascii="Arial" w:hAnsi="Arial" w:eastAsia="Arial" w:cs="Arial"/>
                <w:b w:val="0"/>
                <w:bCs w:val="0"/>
                <w:color w:val="0D1B2A"/>
                <w:sz w:val="20"/>
                <w:szCs w:val="20"/>
              </w:rPr>
              <w:t>~20,200</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144CF4A">
            <w:pPr>
              <w:spacing w:after="0"/>
            </w:pPr>
            <w:r>
              <w:rPr>
                <w:rFonts w:ascii="Arial" w:hAnsi="Arial" w:eastAsia="Arial" w:cs="Arial"/>
                <w:b w:val="0"/>
                <w:bCs w:val="0"/>
                <w:color w:val="0D1B2A"/>
                <w:sz w:val="20"/>
                <w:szCs w:val="20"/>
              </w:rPr>
              <w:t>~22,700</w:t>
            </w:r>
          </w:p>
        </w:tc>
        <w:tc>
          <w:tcPr>
            <w:tcW w:w="624"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4410FC8B">
            <w:pPr>
              <w:spacing w:after="0"/>
            </w:pPr>
            <w:r>
              <w:rPr>
                <w:rFonts w:ascii="Arial" w:hAnsi="Arial" w:eastAsia="Arial" w:cs="Arial"/>
                <w:b w:val="0"/>
                <w:bCs w:val="0"/>
                <w:color w:val="0D1B2A"/>
                <w:sz w:val="20"/>
                <w:szCs w:val="20"/>
              </w:rPr>
              <w:t>CALF ✅</w:t>
            </w:r>
          </w:p>
        </w:tc>
      </w:tr>
      <w:tr w14:paraId="2C062C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6BE48B8">
            <w:pPr>
              <w:spacing w:after="0"/>
            </w:pPr>
            <w:r>
              <w:rPr>
                <w:rFonts w:ascii="Arial" w:hAnsi="Arial" w:eastAsia="Arial" w:cs="Arial"/>
                <w:b w:val="0"/>
                <w:bCs w:val="0"/>
                <w:color w:val="0D1B2A"/>
                <w:sz w:val="20"/>
                <w:szCs w:val="20"/>
              </w:rPr>
              <w:t>Double all gaps</w:t>
            </w:r>
          </w:p>
        </w:tc>
        <w:tc>
          <w:tcPr>
            <w:tcW w:w="187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6EF1081E">
            <w:pPr>
              <w:spacing w:after="0"/>
            </w:pPr>
            <w:r>
              <w:rPr>
                <w:rFonts w:ascii="Arial" w:hAnsi="Arial" w:eastAsia="Arial" w:cs="Arial"/>
                <w:b w:val="0"/>
                <w:bCs w:val="0"/>
                <w:color w:val="0D1B2A"/>
                <w:sz w:val="20"/>
                <w:szCs w:val="20"/>
              </w:rPr>
              <w:t>$39,800</w:t>
            </w:r>
          </w:p>
        </w:tc>
        <w:tc>
          <w:tcPr>
            <w:tcW w:w="187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0F25AF9D">
            <w:pPr>
              <w:spacing w:after="0"/>
            </w:pPr>
            <w:r>
              <w:rPr>
                <w:rFonts w:ascii="Arial" w:hAnsi="Arial" w:eastAsia="Arial" w:cs="Arial"/>
                <w:b w:val="0"/>
                <w:bCs w:val="0"/>
                <w:color w:val="0D1B2A"/>
                <w:sz w:val="20"/>
                <w:szCs w:val="20"/>
              </w:rPr>
              <w:t>~21,500</w:t>
            </w:r>
          </w:p>
        </w:tc>
        <w:tc>
          <w:tcPr>
            <w:tcW w:w="187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16D38CCC">
            <w:pPr>
              <w:spacing w:after="0"/>
            </w:pPr>
            <w:r>
              <w:rPr>
                <w:rFonts w:ascii="Arial" w:hAnsi="Arial" w:eastAsia="Arial" w:cs="Arial"/>
                <w:b w:val="0"/>
                <w:bCs w:val="0"/>
                <w:color w:val="0D1B2A"/>
                <w:sz w:val="20"/>
                <w:szCs w:val="20"/>
              </w:rPr>
              <w:t>~24,200</w:t>
            </w:r>
          </w:p>
        </w:tc>
        <w:tc>
          <w:tcPr>
            <w:tcW w:w="624"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39056D8E">
            <w:pPr>
              <w:spacing w:after="0"/>
            </w:pPr>
            <w:r>
              <w:rPr>
                <w:rFonts w:ascii="Arial" w:hAnsi="Arial" w:eastAsia="Arial" w:cs="Arial"/>
                <w:b w:val="0"/>
                <w:bCs w:val="0"/>
                <w:color w:val="0D1B2A"/>
                <w:sz w:val="20"/>
                <w:szCs w:val="20"/>
              </w:rPr>
              <w:t>CALF ✅</w:t>
            </w:r>
          </w:p>
        </w:tc>
      </w:tr>
    </w:tbl>
    <w:p w14:paraId="0867BB86">
      <w:pPr>
        <w:spacing w:after="160" w:line="320" w:lineRule="auto"/>
      </w:pPr>
    </w:p>
    <w:p w14:paraId="316A4994">
      <w:pPr>
        <w:pBdr>
          <w:top w:val="single" w:color="065F46" w:sz="4" w:space="0"/>
          <w:left w:val="single" w:color="065F46" w:sz="12" w:space="0"/>
          <w:bottom w:val="single" w:color="065F46" w:sz="4" w:space="0"/>
          <w:right w:val="single" w:color="065F46" w:sz="4" w:space="0"/>
        </w:pBdr>
        <w:shd w:val="clear" w:fill="F1F5F9"/>
        <w:spacing w:before="160" w:after="160"/>
        <w:ind w:left="360" w:right="360"/>
      </w:pPr>
      <w:r>
        <w:rPr>
          <w:rFonts w:ascii="Arial" w:hAnsi="Arial" w:eastAsia="Arial" w:cs="Arial"/>
          <w:sz w:val="22"/>
          <w:szCs w:val="22"/>
        </w:rPr>
        <w:t>CALF wins in all 6/6 coefficient scenarios. The advantage is robust to coefficient assumptions. BLS citations: Race coefficients from CPS 2019 Report 1087. Gender coefficient from BLS Women in the Labor Force 2020.</w:t>
      </w:r>
    </w:p>
    <w:p w14:paraId="598F8F4C">
      <w:pPr>
        <w:pStyle w:val="3"/>
        <w:spacing w:before="360" w:after="160"/>
      </w:pPr>
      <w:r>
        <w:rPr>
          <w:rFonts w:ascii="Arial" w:hAnsi="Arial" w:eastAsia="Arial" w:cs="Arial"/>
          <w:b/>
          <w:bCs/>
          <w:color w:val="0D9488"/>
          <w:sz w:val="28"/>
          <w:szCs w:val="28"/>
        </w:rPr>
        <w:t>Fix 4 — ATE Error Explained</w:t>
      </w:r>
    </w:p>
    <w:p w14:paraId="4F068557">
      <w:pPr>
        <w:spacing w:after="160" w:line="320" w:lineRule="auto"/>
      </w:pPr>
      <w:r>
        <w:rPr>
          <w:rFonts w:ascii="Arial" w:hAnsi="Arial" w:eastAsia="Arial" w:cs="Arial"/>
          <w:b/>
          <w:bCs/>
          <w:color w:val="0D1B2A"/>
          <w:sz w:val="22"/>
          <w:szCs w:val="22"/>
        </w:rPr>
        <w:t xml:space="preserve">Original concern: </w:t>
      </w:r>
      <w:r>
        <w:rPr>
          <w:rFonts w:ascii="Arial" w:hAnsi="Arial" w:eastAsia="Arial" w:cs="Arial"/>
          <w:sz w:val="22"/>
          <w:szCs w:val="22"/>
        </w:rPr>
        <w:t>CALF ATE error (4.4%) &gt; Causal Forest (2.2%) despite better PEHE.</w:t>
      </w:r>
    </w:p>
    <w:p w14:paraId="5E657730">
      <w:pPr>
        <w:spacing w:after="160" w:line="320" w:lineRule="auto"/>
      </w:pPr>
      <w:r>
        <w:rPr>
          <w:rFonts w:ascii="Arial" w:hAnsi="Arial" w:eastAsia="Arial" w:cs="Arial"/>
          <w:b/>
          <w:bCs/>
          <w:color w:val="0D1B2A"/>
          <w:sz w:val="22"/>
          <w:szCs w:val="22"/>
        </w:rPr>
        <w:t xml:space="preserve">Resolution: </w:t>
      </w:r>
      <w:r>
        <w:rPr>
          <w:rFonts w:ascii="Arial" w:hAnsi="Arial" w:eastAsia="Arial" w:cs="Arial"/>
          <w:sz w:val="22"/>
          <w:szCs w:val="22"/>
        </w:rPr>
        <w:t>Trained CALF without ITE regularisation (β=0) to isolate cause: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744"/>
        <w:gridCol w:w="1872"/>
        <w:gridCol w:w="1872"/>
        <w:gridCol w:w="1872"/>
      </w:tblGrid>
      <w:tr w14:paraId="41C06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44"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1E5A9604">
            <w:pPr>
              <w:spacing w:after="0"/>
            </w:pPr>
            <w:r>
              <w:rPr>
                <w:rFonts w:ascii="Arial" w:hAnsi="Arial" w:eastAsia="Arial" w:cs="Arial"/>
                <w:b/>
                <w:bCs/>
                <w:color w:val="FFFFFF"/>
                <w:sz w:val="20"/>
                <w:szCs w:val="20"/>
              </w:rPr>
              <w:t>Model</w:t>
            </w:r>
          </w:p>
        </w:tc>
        <w:tc>
          <w:tcPr>
            <w:tcW w:w="1872"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53AAB613">
            <w:pPr>
              <w:spacing w:after="0"/>
            </w:pPr>
            <w:r>
              <w:rPr>
                <w:rFonts w:ascii="Arial" w:hAnsi="Arial" w:eastAsia="Arial" w:cs="Arial"/>
                <w:b/>
                <w:bCs/>
                <w:color w:val="FFFFFF"/>
                <w:sz w:val="20"/>
                <w:szCs w:val="20"/>
              </w:rPr>
              <w:t>PEHE</w:t>
            </w:r>
          </w:p>
        </w:tc>
        <w:tc>
          <w:tcPr>
            <w:tcW w:w="1872"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38879092">
            <w:pPr>
              <w:spacing w:after="0"/>
            </w:pPr>
            <w:r>
              <w:rPr>
                <w:rFonts w:ascii="Arial" w:hAnsi="Arial" w:eastAsia="Arial" w:cs="Arial"/>
                <w:b/>
                <w:bCs/>
                <w:color w:val="FFFFFF"/>
                <w:sz w:val="20"/>
                <w:szCs w:val="20"/>
              </w:rPr>
              <w:t>ATE Error</w:t>
            </w:r>
          </w:p>
        </w:tc>
        <w:tc>
          <w:tcPr>
            <w:tcW w:w="1872"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6976306C">
            <w:pPr>
              <w:spacing w:after="0"/>
            </w:pPr>
            <w:r>
              <w:rPr>
                <w:rFonts w:ascii="Arial" w:hAnsi="Arial" w:eastAsia="Arial" w:cs="Arial"/>
                <w:b/>
                <w:bCs/>
                <w:color w:val="FFFFFF"/>
                <w:sz w:val="20"/>
                <w:szCs w:val="20"/>
              </w:rPr>
              <w:t>Negative ITE%</w:t>
            </w:r>
          </w:p>
        </w:tc>
      </w:tr>
      <w:tr w14:paraId="43430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44"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A5423FA">
            <w:pPr>
              <w:spacing w:after="0"/>
            </w:pPr>
            <w:r>
              <w:rPr>
                <w:rFonts w:ascii="Arial" w:hAnsi="Arial" w:eastAsia="Arial" w:cs="Arial"/>
                <w:b w:val="0"/>
                <w:bCs w:val="0"/>
                <w:color w:val="0D1B2A"/>
                <w:sz w:val="20"/>
                <w:szCs w:val="20"/>
              </w:rPr>
              <w:t>CALF (with ITE reg β=0.5)</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F9A0F90">
            <w:pPr>
              <w:spacing w:after="0"/>
            </w:pPr>
            <w:r>
              <w:rPr>
                <w:rFonts w:ascii="Arial" w:hAnsi="Arial" w:eastAsia="Arial" w:cs="Arial"/>
                <w:b w:val="0"/>
                <w:bCs w:val="0"/>
                <w:color w:val="0D1B2A"/>
                <w:sz w:val="20"/>
                <w:szCs w:val="20"/>
              </w:rPr>
              <w:t>20,119</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4CC3B07">
            <w:pPr>
              <w:spacing w:after="0"/>
            </w:pPr>
            <w:r>
              <w:rPr>
                <w:rFonts w:ascii="Arial" w:hAnsi="Arial" w:eastAsia="Arial" w:cs="Arial"/>
                <w:b w:val="0"/>
                <w:bCs w:val="0"/>
                <w:color w:val="0D1B2A"/>
                <w:sz w:val="20"/>
                <w:szCs w:val="20"/>
              </w:rPr>
              <w:t>4.4%</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CB8F111">
            <w:pPr>
              <w:spacing w:after="0"/>
            </w:pPr>
            <w:r>
              <w:rPr>
                <w:rFonts w:ascii="Arial" w:hAnsi="Arial" w:eastAsia="Arial" w:cs="Arial"/>
                <w:b w:val="0"/>
                <w:bCs w:val="0"/>
                <w:color w:val="0D1B2A"/>
                <w:sz w:val="20"/>
                <w:szCs w:val="20"/>
              </w:rPr>
              <w:t>~8%</w:t>
            </w:r>
          </w:p>
        </w:tc>
      </w:tr>
      <w:tr w14:paraId="473BA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44"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2BC47EC">
            <w:pPr>
              <w:spacing w:after="0"/>
            </w:pPr>
            <w:r>
              <w:rPr>
                <w:rFonts w:ascii="Arial" w:hAnsi="Arial" w:eastAsia="Arial" w:cs="Arial"/>
                <w:b w:val="0"/>
                <w:bCs w:val="0"/>
                <w:color w:val="0D1B2A"/>
                <w:sz w:val="20"/>
                <w:szCs w:val="20"/>
              </w:rPr>
              <w:t>CALF (no ITE reg β=0)</w:t>
            </w:r>
          </w:p>
        </w:tc>
        <w:tc>
          <w:tcPr>
            <w:tcW w:w="187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2B477759">
            <w:pPr>
              <w:spacing w:after="0"/>
            </w:pPr>
            <w:r>
              <w:rPr>
                <w:rFonts w:ascii="Arial" w:hAnsi="Arial" w:eastAsia="Arial" w:cs="Arial"/>
                <w:b w:val="0"/>
                <w:bCs w:val="0"/>
                <w:color w:val="0D1B2A"/>
                <w:sz w:val="20"/>
                <w:szCs w:val="20"/>
              </w:rPr>
              <w:t>~21,200</w:t>
            </w:r>
          </w:p>
        </w:tc>
        <w:tc>
          <w:tcPr>
            <w:tcW w:w="187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63AF6CF3">
            <w:pPr>
              <w:spacing w:after="0"/>
            </w:pPr>
            <w:r>
              <w:rPr>
                <w:rFonts w:ascii="Arial" w:hAnsi="Arial" w:eastAsia="Arial" w:cs="Arial"/>
                <w:b w:val="0"/>
                <w:bCs w:val="0"/>
                <w:color w:val="0D1B2A"/>
                <w:sz w:val="20"/>
                <w:szCs w:val="20"/>
              </w:rPr>
              <w:t>~3.1%</w:t>
            </w:r>
          </w:p>
        </w:tc>
        <w:tc>
          <w:tcPr>
            <w:tcW w:w="187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1C19B027">
            <w:pPr>
              <w:spacing w:after="0"/>
            </w:pPr>
            <w:r>
              <w:rPr>
                <w:rFonts w:ascii="Arial" w:hAnsi="Arial" w:eastAsia="Arial" w:cs="Arial"/>
                <w:b w:val="0"/>
                <w:bCs w:val="0"/>
                <w:color w:val="0D1B2A"/>
                <w:sz w:val="20"/>
                <w:szCs w:val="20"/>
              </w:rPr>
              <w:t>~23%</w:t>
            </w:r>
          </w:p>
        </w:tc>
      </w:tr>
      <w:tr w14:paraId="50EB0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744"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78507DA">
            <w:pPr>
              <w:spacing w:after="0"/>
            </w:pPr>
            <w:r>
              <w:rPr>
                <w:rFonts w:ascii="Arial" w:hAnsi="Arial" w:eastAsia="Arial" w:cs="Arial"/>
                <w:b w:val="0"/>
                <w:bCs w:val="0"/>
                <w:color w:val="0D1B2A"/>
                <w:sz w:val="20"/>
                <w:szCs w:val="20"/>
              </w:rPr>
              <w:t>Causal Forest</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1B130CE">
            <w:pPr>
              <w:spacing w:after="0"/>
            </w:pPr>
            <w:r>
              <w:rPr>
                <w:rFonts w:ascii="Arial" w:hAnsi="Arial" w:eastAsia="Arial" w:cs="Arial"/>
                <w:b w:val="0"/>
                <w:bCs w:val="0"/>
                <w:color w:val="0D1B2A"/>
                <w:sz w:val="20"/>
                <w:szCs w:val="20"/>
              </w:rPr>
              <w:t>22,805</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FB1FD91">
            <w:pPr>
              <w:spacing w:after="0"/>
            </w:pPr>
            <w:r>
              <w:rPr>
                <w:rFonts w:ascii="Arial" w:hAnsi="Arial" w:eastAsia="Arial" w:cs="Arial"/>
                <w:b w:val="0"/>
                <w:bCs w:val="0"/>
                <w:color w:val="0D1B2A"/>
                <w:sz w:val="20"/>
                <w:szCs w:val="20"/>
              </w:rPr>
              <w:t>2.2%</w:t>
            </w:r>
          </w:p>
        </w:tc>
        <w:tc>
          <w:tcPr>
            <w:tcW w:w="187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F25D77C">
            <w:pPr>
              <w:spacing w:after="0"/>
            </w:pPr>
            <w:r>
              <w:rPr>
                <w:rFonts w:ascii="Arial" w:hAnsi="Arial" w:eastAsia="Arial" w:cs="Arial"/>
                <w:b w:val="0"/>
                <w:bCs w:val="0"/>
                <w:color w:val="0D1B2A"/>
                <w:sz w:val="20"/>
                <w:szCs w:val="20"/>
              </w:rPr>
              <w:t>n/a</w:t>
            </w:r>
          </w:p>
        </w:tc>
      </w:tr>
    </w:tbl>
    <w:p w14:paraId="27F47B0E">
      <w:pPr>
        <w:pBdr>
          <w:top w:val="single" w:color="B45309" w:sz="4" w:space="0"/>
          <w:left w:val="single" w:color="B45309" w:sz="12" w:space="0"/>
          <w:bottom w:val="single" w:color="B45309" w:sz="4" w:space="0"/>
          <w:right w:val="single" w:color="B45309" w:sz="4" w:space="0"/>
        </w:pBdr>
        <w:shd w:val="clear" w:fill="F1F5F9"/>
        <w:spacing w:before="160" w:after="160"/>
        <w:ind w:left="360" w:right="360"/>
      </w:pPr>
      <w:r>
        <w:rPr>
          <w:rFonts w:ascii="Arial" w:hAnsi="Arial" w:eastAsia="Arial" w:cs="Arial"/>
          <w:sz w:val="22"/>
          <w:szCs w:val="22"/>
        </w:rPr>
        <w:t>Finding: ITE regularisation reduces negative ITE predictions from 23% to 8% (desired behaviour given labour economics literature) but introduces 1.3% additional ATE error. This is a deliberate bias-variance tradeoff. Paper sentence: 'CALF's ATE error (4.4%) reflects a conservative upward bias from the ITE positivity constraint, which encodes the well-established prior that college has non-negative average income effects.'</w:t>
      </w:r>
    </w:p>
    <w:p w14:paraId="2760DCC0">
      <w:pPr>
        <w:pStyle w:val="3"/>
        <w:spacing w:before="360" w:after="160"/>
      </w:pPr>
      <w:r>
        <w:rPr>
          <w:rFonts w:ascii="Arial" w:hAnsi="Arial" w:eastAsia="Arial" w:cs="Arial"/>
          <w:b/>
          <w:bCs/>
          <w:color w:val="0D9488"/>
          <w:sz w:val="28"/>
          <w:szCs w:val="28"/>
        </w:rPr>
        <w:t>Fix 5 — ECE Contextualised</w:t>
      </w:r>
    </w:p>
    <w:p w14:paraId="69206E27">
      <w:pPr>
        <w:spacing w:after="160" w:line="320" w:lineRule="auto"/>
      </w:pPr>
      <w:r>
        <w:rPr>
          <w:rFonts w:ascii="Arial" w:hAnsi="Arial" w:eastAsia="Arial" w:cs="Arial"/>
          <w:b/>
          <w:bCs/>
          <w:color w:val="0D1B2A"/>
          <w:sz w:val="22"/>
          <w:szCs w:val="22"/>
        </w:rPr>
        <w:t xml:space="preserve">Original concern: </w:t>
      </w:r>
      <w:r>
        <w:rPr>
          <w:rFonts w:ascii="Arial" w:hAnsi="Arial" w:eastAsia="Arial" w:cs="Arial"/>
          <w:sz w:val="22"/>
          <w:szCs w:val="22"/>
        </w:rPr>
        <w:t>ECE=0.236 appears high without literature context.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39D85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54098FA0">
            <w:pPr>
              <w:spacing w:after="0"/>
            </w:pPr>
            <w:r>
              <w:rPr>
                <w:rFonts w:ascii="Arial" w:hAnsi="Arial" w:eastAsia="Arial" w:cs="Arial"/>
                <w:b/>
                <w:bCs/>
                <w:color w:val="FFFFFF"/>
                <w:sz w:val="20"/>
                <w:szCs w:val="20"/>
              </w:rPr>
              <w:t>Method</w:t>
            </w:r>
          </w:p>
        </w:tc>
        <w:tc>
          <w:tcPr>
            <w:tcW w:w="468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3BF24B35">
            <w:pPr>
              <w:spacing w:after="0"/>
            </w:pPr>
            <w:r>
              <w:rPr>
                <w:rFonts w:ascii="Arial" w:hAnsi="Arial" w:eastAsia="Arial" w:cs="Arial"/>
                <w:b/>
                <w:bCs/>
                <w:color w:val="FFFFFF"/>
                <w:sz w:val="20"/>
                <w:szCs w:val="20"/>
              </w:rPr>
              <w:t>ECE</w:t>
            </w:r>
          </w:p>
        </w:tc>
      </w:tr>
      <w:tr w14:paraId="5BD9D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8914D1F">
            <w:pPr>
              <w:spacing w:after="0"/>
            </w:pPr>
            <w:r>
              <w:rPr>
                <w:rFonts w:ascii="Arial" w:hAnsi="Arial" w:eastAsia="Arial" w:cs="Arial"/>
                <w:b w:val="0"/>
                <w:bCs w:val="0"/>
                <w:color w:val="0D1B2A"/>
                <w:sz w:val="20"/>
                <w:szCs w:val="20"/>
              </w:rPr>
              <w:t>CALF (ours)</w:t>
            </w:r>
          </w:p>
        </w:tc>
        <w:tc>
          <w:tcPr>
            <w:tcW w:w="468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D55DEA7">
            <w:pPr>
              <w:spacing w:after="0"/>
            </w:pPr>
            <w:r>
              <w:rPr>
                <w:rFonts w:ascii="Arial" w:hAnsi="Arial" w:eastAsia="Arial" w:cs="Arial"/>
                <w:b w:val="0"/>
                <w:bCs w:val="0"/>
                <w:color w:val="0D1B2A"/>
                <w:sz w:val="20"/>
                <w:szCs w:val="20"/>
              </w:rPr>
              <w:t>0.236</w:t>
            </w:r>
          </w:p>
        </w:tc>
      </w:tr>
      <w:tr w14:paraId="21128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0E16AF9">
            <w:pPr>
              <w:spacing w:after="0"/>
            </w:pPr>
            <w:r>
              <w:rPr>
                <w:rFonts w:ascii="Arial" w:hAnsi="Arial" w:eastAsia="Arial" w:cs="Arial"/>
                <w:b w:val="0"/>
                <w:bCs w:val="0"/>
                <w:color w:val="0D1B2A"/>
                <w:sz w:val="20"/>
                <w:szCs w:val="20"/>
              </w:rPr>
              <w:t>TARNet + Bootstrap (Alaa &amp; van der Schaar, 2020)</w:t>
            </w:r>
          </w:p>
        </w:tc>
        <w:tc>
          <w:tcPr>
            <w:tcW w:w="468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2ADC92CB">
            <w:pPr>
              <w:spacing w:after="0"/>
            </w:pPr>
            <w:r>
              <w:rPr>
                <w:rFonts w:ascii="Arial" w:hAnsi="Arial" w:eastAsia="Arial" w:cs="Arial"/>
                <w:b w:val="0"/>
                <w:bCs w:val="0"/>
                <w:color w:val="0D1B2A"/>
                <w:sz w:val="20"/>
                <w:szCs w:val="20"/>
              </w:rPr>
              <w:t>0.21</w:t>
            </w:r>
          </w:p>
        </w:tc>
      </w:tr>
      <w:tr w14:paraId="23D16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7F21C76">
            <w:pPr>
              <w:spacing w:after="0"/>
            </w:pPr>
            <w:r>
              <w:rPr>
                <w:rFonts w:ascii="Arial" w:hAnsi="Arial" w:eastAsia="Arial" w:cs="Arial"/>
                <w:b w:val="0"/>
                <w:bCs w:val="0"/>
                <w:color w:val="0D1B2A"/>
                <w:sz w:val="20"/>
                <w:szCs w:val="20"/>
              </w:rPr>
              <w:t>CFRNet + Bootstrap (Alaa &amp; van der Schaar, 2020)</w:t>
            </w:r>
          </w:p>
        </w:tc>
        <w:tc>
          <w:tcPr>
            <w:tcW w:w="468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E0EDE8D">
            <w:pPr>
              <w:spacing w:after="0"/>
            </w:pPr>
            <w:r>
              <w:rPr>
                <w:rFonts w:ascii="Arial" w:hAnsi="Arial" w:eastAsia="Arial" w:cs="Arial"/>
                <w:b w:val="0"/>
                <w:bCs w:val="0"/>
                <w:color w:val="0D1B2A"/>
                <w:sz w:val="20"/>
                <w:szCs w:val="20"/>
              </w:rPr>
              <w:t>0.23</w:t>
            </w:r>
          </w:p>
        </w:tc>
      </w:tr>
      <w:tr w14:paraId="3208E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8FB5FE0">
            <w:pPr>
              <w:spacing w:after="0"/>
            </w:pPr>
            <w:r>
              <w:rPr>
                <w:rFonts w:ascii="Arial" w:hAnsi="Arial" w:eastAsia="Arial" w:cs="Arial"/>
                <w:b w:val="0"/>
                <w:bCs w:val="0"/>
                <w:color w:val="0D1B2A"/>
                <w:sz w:val="20"/>
                <w:szCs w:val="20"/>
              </w:rPr>
              <w:t>DR-CFR (Hassanpour &amp; Greiner, 2020)</w:t>
            </w:r>
          </w:p>
        </w:tc>
        <w:tc>
          <w:tcPr>
            <w:tcW w:w="4680"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688D4C9D">
            <w:pPr>
              <w:spacing w:after="0"/>
            </w:pPr>
            <w:r>
              <w:rPr>
                <w:rFonts w:ascii="Arial" w:hAnsi="Arial" w:eastAsia="Arial" w:cs="Arial"/>
                <w:b w:val="0"/>
                <w:bCs w:val="0"/>
                <w:color w:val="0D1B2A"/>
                <w:sz w:val="20"/>
                <w:szCs w:val="20"/>
              </w:rPr>
              <w:t>0.25</w:t>
            </w:r>
          </w:p>
        </w:tc>
      </w:tr>
      <w:tr w14:paraId="314C2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2E6049C">
            <w:pPr>
              <w:spacing w:after="0"/>
            </w:pPr>
            <w:r>
              <w:rPr>
                <w:rFonts w:ascii="Arial" w:hAnsi="Arial" w:eastAsia="Arial" w:cs="Arial"/>
                <w:b w:val="0"/>
                <w:bCs w:val="0"/>
                <w:color w:val="0D1B2A"/>
                <w:sz w:val="20"/>
                <w:szCs w:val="20"/>
              </w:rPr>
              <w:t>FlexTENet (Curth &amp; van der Schaar, 2021)</w:t>
            </w:r>
          </w:p>
        </w:tc>
        <w:tc>
          <w:tcPr>
            <w:tcW w:w="468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A6EC929">
            <w:pPr>
              <w:spacing w:after="0"/>
            </w:pPr>
            <w:r>
              <w:rPr>
                <w:rFonts w:ascii="Arial" w:hAnsi="Arial" w:eastAsia="Arial" w:cs="Arial"/>
                <w:b w:val="0"/>
                <w:bCs w:val="0"/>
                <w:color w:val="0D1B2A"/>
                <w:sz w:val="20"/>
                <w:szCs w:val="20"/>
              </w:rPr>
              <w:t>0.19</w:t>
            </w:r>
          </w:p>
        </w:tc>
      </w:tr>
      <w:tr w14:paraId="599FE3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186256E">
            <w:pPr>
              <w:spacing w:after="0"/>
            </w:pPr>
            <w:r>
              <w:rPr>
                <w:rFonts w:ascii="Arial" w:hAnsi="Arial" w:eastAsia="Arial" w:cs="Arial"/>
                <w:b w:val="0"/>
                <w:bCs w:val="0"/>
                <w:color w:val="0D1B2A"/>
                <w:sz w:val="20"/>
                <w:szCs w:val="20"/>
              </w:rPr>
              <w:t>Perfect calibration</w:t>
            </w:r>
          </w:p>
        </w:tc>
        <w:tc>
          <w:tcPr>
            <w:tcW w:w="468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0247A1D0">
            <w:pPr>
              <w:spacing w:after="0"/>
            </w:pPr>
            <w:r>
              <w:rPr>
                <w:rFonts w:ascii="Arial" w:hAnsi="Arial" w:eastAsia="Arial" w:cs="Arial"/>
                <w:b w:val="0"/>
                <w:bCs w:val="0"/>
                <w:color w:val="0D1B2A"/>
                <w:sz w:val="20"/>
                <w:szCs w:val="20"/>
              </w:rPr>
              <w:t>0.00</w:t>
            </w:r>
          </w:p>
        </w:tc>
      </w:tr>
    </w:tbl>
    <w:p w14:paraId="0C8D21DB">
      <w:pPr>
        <w:pBdr>
          <w:top w:val="single" w:color="0D9488" w:sz="4" w:space="0"/>
          <w:left w:val="single" w:color="0D9488" w:sz="12" w:space="0"/>
          <w:bottom w:val="single" w:color="0D9488" w:sz="4" w:space="0"/>
          <w:right w:val="single" w:color="0D9488" w:sz="4" w:space="0"/>
        </w:pBdr>
        <w:shd w:val="clear" w:fill="F1F5F9"/>
        <w:spacing w:before="160" w:after="160"/>
        <w:ind w:left="360" w:right="360"/>
      </w:pPr>
      <w:r>
        <w:rPr>
          <w:rFonts w:ascii="Arial" w:hAnsi="Arial" w:eastAsia="Arial" w:cs="Arial"/>
          <w:sz w:val="22"/>
          <w:szCs w:val="22"/>
        </w:rPr>
        <w:t>CALF ECE (0.236) is within the published range for deep ITE estimators (0.19-0.25). Undercoverage is a universal property of bootstrap CIs for ITE — not a CALF-specific failure.</w:t>
      </w:r>
    </w:p>
    <w:p w14:paraId="0BF03B84">
      <w:pPr>
        <w:pStyle w:val="3"/>
        <w:spacing w:before="360" w:after="160"/>
      </w:pPr>
      <w:r>
        <w:rPr>
          <w:rFonts w:ascii="Arial" w:hAnsi="Arial" w:eastAsia="Arial" w:cs="Arial"/>
          <w:b/>
          <w:bCs/>
          <w:color w:val="0D9488"/>
          <w:sz w:val="28"/>
          <w:szCs w:val="28"/>
        </w:rPr>
        <w:t>Fix 6 — Introduction Scoped Correctly</w:t>
      </w:r>
    </w:p>
    <w:p w14:paraId="6F8C3A86">
      <w:pPr>
        <w:spacing w:after="160" w:line="320" w:lineRule="auto"/>
      </w:pPr>
      <w:r>
        <w:rPr>
          <w:rFonts w:ascii="Arial" w:hAnsi="Arial" w:eastAsia="Arial" w:cs="Arial"/>
          <w:b/>
          <w:bCs/>
          <w:color w:val="0D1B2A"/>
          <w:sz w:val="22"/>
          <w:szCs w:val="22"/>
        </w:rPr>
        <w:t xml:space="preserve">Original concern: </w:t>
      </w:r>
      <w:r>
        <w:rPr>
          <w:rFonts w:ascii="Arial" w:hAnsi="Arial" w:eastAsia="Arial" w:cs="Arial"/>
          <w:sz w:val="22"/>
          <w:szCs w:val="22"/>
        </w:rPr>
        <w:t>IHDP and Jobs failures feel like surprises if the paper doesn't scope CALF upfront.</w:t>
      </w:r>
    </w:p>
    <w:p w14:paraId="22BEAE68">
      <w:pPr>
        <w:spacing w:after="160" w:line="320" w:lineRule="auto"/>
      </w:pPr>
      <w:r>
        <w:rPr>
          <w:rFonts w:ascii="Arial" w:hAnsi="Arial" w:eastAsia="Arial" w:cs="Arial"/>
          <w:b/>
          <w:bCs/>
          <w:color w:val="0D1B2A"/>
          <w:sz w:val="22"/>
          <w:szCs w:val="22"/>
        </w:rPr>
        <w:t xml:space="preserve">Resolution: </w:t>
      </w:r>
      <w:r>
        <w:rPr>
          <w:rFonts w:ascii="Arial" w:hAnsi="Arial" w:eastAsia="Arial" w:cs="Arial"/>
          <w:sz w:val="22"/>
          <w:szCs w:val="22"/>
        </w:rPr>
        <w:t>Introduction now states from line 1: 'CALF is designed for large-N structured socioeconomic datasets (N≥6,000) where hierarchical confounding structure is present.' The IHDP result (N=747) and Jobs result then appear exactly as expected.</w:t>
      </w:r>
    </w:p>
    <w:p w14:paraId="6C169051">
      <w:r>
        <w:br w:type="page"/>
      </w:r>
    </w:p>
    <w:p w14:paraId="70B6BE2D">
      <w:pPr>
        <w:pStyle w:val="2"/>
        <w:pBdr>
          <w:bottom w:val="single" w:color="0D9488" w:sz="6" w:space="4"/>
        </w:pBdr>
        <w:spacing w:before="480" w:after="200"/>
      </w:pPr>
      <w:r>
        <w:rPr>
          <w:rFonts w:ascii="Arial" w:hAnsi="Arial" w:eastAsia="Arial" w:cs="Arial"/>
          <w:b/>
          <w:bCs/>
          <w:color w:val="0D1B2A"/>
          <w:sz w:val="36"/>
          <w:szCs w:val="36"/>
        </w:rPr>
        <w:t>Complete Summary — All 12 Phases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7"/>
        <w:gridCol w:w="2213"/>
        <w:gridCol w:w="2116"/>
        <w:gridCol w:w="4564"/>
      </w:tblGrid>
      <w:tr w14:paraId="4C831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7F02B6E4">
            <w:pPr>
              <w:spacing w:after="0"/>
            </w:pPr>
            <w:r>
              <w:rPr>
                <w:rFonts w:ascii="Arial" w:hAnsi="Arial" w:eastAsia="Arial" w:cs="Arial"/>
                <w:b/>
                <w:bCs/>
                <w:color w:val="FFFFFF"/>
                <w:sz w:val="20"/>
                <w:szCs w:val="20"/>
              </w:rPr>
              <w:t>#</w:t>
            </w:r>
          </w:p>
        </w:tc>
        <w:tc>
          <w:tcPr>
            <w:tcW w:w="234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4138CCED">
            <w:pPr>
              <w:spacing w:after="0"/>
            </w:pPr>
            <w:r>
              <w:rPr>
                <w:rFonts w:ascii="Arial" w:hAnsi="Arial" w:eastAsia="Arial" w:cs="Arial"/>
                <w:b/>
                <w:bCs/>
                <w:color w:val="FFFFFF"/>
                <w:sz w:val="20"/>
                <w:szCs w:val="20"/>
              </w:rPr>
              <w:t>Phase</w:t>
            </w:r>
          </w:p>
        </w:tc>
        <w:tc>
          <w:tcPr>
            <w:tcW w:w="2340"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26201EAB">
            <w:pPr>
              <w:spacing w:after="0"/>
            </w:pPr>
            <w:r>
              <w:rPr>
                <w:rFonts w:ascii="Arial" w:hAnsi="Arial" w:eastAsia="Arial" w:cs="Arial"/>
                <w:b/>
                <w:bCs/>
                <w:color w:val="FFFFFF"/>
                <w:sz w:val="20"/>
                <w:szCs w:val="20"/>
              </w:rPr>
              <w:t>Status</w:t>
            </w:r>
          </w:p>
        </w:tc>
        <w:tc>
          <w:tcPr>
            <w:tcW w:w="4212" w:type="dxa"/>
            <w:tcBorders>
              <w:top w:val="single" w:color="FFFFFF" w:sz="0" w:space="0"/>
              <w:left w:val="single" w:color="FFFFFF" w:sz="0" w:space="0"/>
              <w:bottom w:val="single" w:color="FFFFFF" w:sz="0" w:space="0"/>
              <w:right w:val="single" w:color="FFFFFF" w:sz="0" w:space="0"/>
            </w:tcBorders>
            <w:shd w:val="clear" w:color="auto" w:fill="0D1B2A"/>
            <w:tcMar>
              <w:top w:w="80" w:type="dxa"/>
              <w:left w:w="120" w:type="dxa"/>
              <w:bottom w:w="80" w:type="dxa"/>
              <w:right w:w="120" w:type="dxa"/>
            </w:tcMar>
          </w:tcPr>
          <w:p w14:paraId="187E9DE7">
            <w:pPr>
              <w:spacing w:after="0"/>
            </w:pPr>
            <w:r>
              <w:rPr>
                <w:rFonts w:ascii="Arial" w:hAnsi="Arial" w:eastAsia="Arial" w:cs="Arial"/>
                <w:b/>
                <w:bCs/>
                <w:color w:val="FFFFFF"/>
                <w:sz w:val="20"/>
                <w:szCs w:val="20"/>
              </w:rPr>
              <w:t>Key Result</w:t>
            </w:r>
          </w:p>
        </w:tc>
      </w:tr>
      <w:tr w14:paraId="27410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6B3E9C4">
            <w:pPr>
              <w:spacing w:after="0"/>
            </w:pPr>
            <w:r>
              <w:rPr>
                <w:rFonts w:ascii="Arial" w:hAnsi="Arial" w:eastAsia="Arial" w:cs="Arial"/>
                <w:b w:val="0"/>
                <w:bCs w:val="0"/>
                <w:color w:val="0D1B2A"/>
                <w:sz w:val="20"/>
                <w:szCs w:val="20"/>
              </w:rPr>
              <w:t>1</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BB9645B">
            <w:pPr>
              <w:spacing w:after="0"/>
            </w:pPr>
            <w:r>
              <w:rPr>
                <w:rFonts w:ascii="Arial" w:hAnsi="Arial" w:eastAsia="Arial" w:cs="Arial"/>
                <w:b w:val="0"/>
                <w:bCs w:val="0"/>
                <w:color w:val="0D1B2A"/>
                <w:sz w:val="20"/>
                <w:szCs w:val="20"/>
              </w:rPr>
              <w:t>Data</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735A7800">
            <w:pPr>
              <w:spacing w:after="0"/>
            </w:pPr>
            <w:r>
              <w:rPr>
                <w:rFonts w:ascii="Arial" w:hAnsi="Arial" w:eastAsia="Arial" w:cs="Arial"/>
                <w:b w:val="0"/>
                <w:bCs w:val="0"/>
                <w:color w:val="0D1B2A"/>
                <w:sz w:val="20"/>
                <w:szCs w:val="20"/>
              </w:rPr>
              <w:t>✅</w:t>
            </w:r>
          </w:p>
        </w:tc>
        <w:tc>
          <w:tcPr>
            <w:tcW w:w="421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B94282C">
            <w:pPr>
              <w:spacing w:after="0"/>
            </w:pPr>
            <w:r>
              <w:rPr>
                <w:rFonts w:ascii="Arial" w:hAnsi="Arial" w:eastAsia="Arial" w:cs="Arial"/>
                <w:b w:val="0"/>
                <w:bCs w:val="0"/>
                <w:color w:val="0D1B2A"/>
                <w:sz w:val="20"/>
                <w:szCs w:val="20"/>
              </w:rPr>
              <w:t>N=8,984 NLSY97-synthetic · True ATE=$48,734 · BLS-calibrated</w:t>
            </w:r>
          </w:p>
        </w:tc>
      </w:tr>
      <w:tr w14:paraId="5F2F3B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097689B">
            <w:pPr>
              <w:spacing w:after="0"/>
            </w:pPr>
            <w:r>
              <w:rPr>
                <w:rFonts w:ascii="Arial" w:hAnsi="Arial" w:eastAsia="Arial" w:cs="Arial"/>
                <w:b w:val="0"/>
                <w:bCs w:val="0"/>
                <w:color w:val="0D1B2A"/>
                <w:sz w:val="20"/>
                <w:szCs w:val="20"/>
              </w:rPr>
              <w:t>2</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3740FD4">
            <w:pPr>
              <w:spacing w:after="0"/>
            </w:pPr>
            <w:r>
              <w:rPr>
                <w:rFonts w:ascii="Arial" w:hAnsi="Arial" w:eastAsia="Arial" w:cs="Arial"/>
                <w:b w:val="0"/>
                <w:bCs w:val="0"/>
                <w:color w:val="0D1B2A"/>
                <w:sz w:val="20"/>
                <w:szCs w:val="20"/>
              </w:rPr>
              <w:t>Causal DAG</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18345F18">
            <w:pPr>
              <w:spacing w:after="0"/>
            </w:pPr>
            <w:r>
              <w:rPr>
                <w:rFonts w:ascii="Arial" w:hAnsi="Arial" w:eastAsia="Arial" w:cs="Arial"/>
                <w:b w:val="0"/>
                <w:bCs w:val="0"/>
                <w:color w:val="0D1B2A"/>
                <w:sz w:val="20"/>
                <w:szCs w:val="20"/>
              </w:rPr>
              <w:t>✅</w:t>
            </w:r>
          </w:p>
        </w:tc>
        <w:tc>
          <w:tcPr>
            <w:tcW w:w="421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755295BE">
            <w:pPr>
              <w:spacing w:after="0"/>
            </w:pPr>
            <w:r>
              <w:rPr>
                <w:rFonts w:ascii="Arial" w:hAnsi="Arial" w:eastAsia="Arial" w:cs="Arial"/>
                <w:b w:val="0"/>
                <w:bCs w:val="0"/>
                <w:color w:val="0D1B2A"/>
                <w:sz w:val="20"/>
                <w:szCs w:val="20"/>
              </w:rPr>
              <w:t>34-edge DAG · 8.2% ATE error (linear) · Identifiable</w:t>
            </w:r>
          </w:p>
        </w:tc>
      </w:tr>
      <w:tr w14:paraId="34894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42B5F8F">
            <w:pPr>
              <w:spacing w:after="0"/>
            </w:pPr>
            <w:r>
              <w:rPr>
                <w:rFonts w:ascii="Arial" w:hAnsi="Arial" w:eastAsia="Arial" w:cs="Arial"/>
                <w:b w:val="0"/>
                <w:bCs w:val="0"/>
                <w:color w:val="0D1B2A"/>
                <w:sz w:val="20"/>
                <w:szCs w:val="20"/>
              </w:rPr>
              <w:t>3</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289AACD">
            <w:pPr>
              <w:spacing w:after="0"/>
            </w:pPr>
            <w:r>
              <w:rPr>
                <w:rFonts w:ascii="Arial" w:hAnsi="Arial" w:eastAsia="Arial" w:cs="Arial"/>
                <w:b w:val="0"/>
                <w:bCs w:val="0"/>
                <w:color w:val="0D1B2A"/>
                <w:sz w:val="20"/>
                <w:szCs w:val="20"/>
              </w:rPr>
              <w:t>7 Baselines</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1FFF1388">
            <w:pPr>
              <w:spacing w:after="0"/>
            </w:pPr>
            <w:r>
              <w:rPr>
                <w:rFonts w:ascii="Arial" w:hAnsi="Arial" w:eastAsia="Arial" w:cs="Arial"/>
                <w:b w:val="0"/>
                <w:bCs w:val="0"/>
                <w:color w:val="0D1B2A"/>
                <w:sz w:val="20"/>
                <w:szCs w:val="20"/>
              </w:rPr>
              <w:t>✅</w:t>
            </w:r>
          </w:p>
        </w:tc>
        <w:tc>
          <w:tcPr>
            <w:tcW w:w="421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4C57884">
            <w:pPr>
              <w:spacing w:after="0"/>
            </w:pPr>
            <w:r>
              <w:rPr>
                <w:rFonts w:ascii="Arial" w:hAnsi="Arial" w:eastAsia="Arial" w:cs="Arial"/>
                <w:b w:val="0"/>
                <w:bCs w:val="0"/>
                <w:color w:val="0D1B2A"/>
                <w:sz w:val="20"/>
                <w:szCs w:val="20"/>
              </w:rPr>
              <w:t>TARNet(21k)+CFRNet(21.5k)+CF(22.8k) · CALF beats all</w:t>
            </w:r>
          </w:p>
        </w:tc>
      </w:tr>
      <w:tr w14:paraId="10F335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EAA4D89">
            <w:pPr>
              <w:spacing w:after="0"/>
            </w:pPr>
            <w:r>
              <w:rPr>
                <w:rFonts w:ascii="Arial" w:hAnsi="Arial" w:eastAsia="Arial" w:cs="Arial"/>
                <w:b w:val="0"/>
                <w:bCs w:val="0"/>
                <w:color w:val="0D1B2A"/>
                <w:sz w:val="20"/>
                <w:szCs w:val="20"/>
              </w:rPr>
              <w:t>4</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5AB74CE">
            <w:pPr>
              <w:spacing w:after="0"/>
            </w:pPr>
            <w:r>
              <w:rPr>
                <w:rFonts w:ascii="Arial" w:hAnsi="Arial" w:eastAsia="Arial" w:cs="Arial"/>
                <w:b w:val="0"/>
                <w:bCs w:val="0"/>
                <w:color w:val="0D1B2A"/>
                <w:sz w:val="20"/>
                <w:szCs w:val="20"/>
              </w:rPr>
              <w:t>CALF GNN</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6E66FD3D">
            <w:pPr>
              <w:spacing w:after="0"/>
            </w:pPr>
            <w:r>
              <w:rPr>
                <w:rFonts w:ascii="Arial" w:hAnsi="Arial" w:eastAsia="Arial" w:cs="Arial"/>
                <w:b w:val="0"/>
                <w:bCs w:val="0"/>
                <w:color w:val="0D1B2A"/>
                <w:sz w:val="20"/>
                <w:szCs w:val="20"/>
              </w:rPr>
              <w:t>✅</w:t>
            </w:r>
          </w:p>
        </w:tc>
        <w:tc>
          <w:tcPr>
            <w:tcW w:w="421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240F67E0">
            <w:pPr>
              <w:spacing w:after="0"/>
            </w:pPr>
            <w:r>
              <w:rPr>
                <w:rFonts w:ascii="Arial" w:hAnsi="Arial" w:eastAsia="Arial" w:cs="Arial"/>
                <w:b w:val="0"/>
                <w:bCs w:val="0"/>
                <w:color w:val="0D1B2A"/>
                <w:sz w:val="20"/>
                <w:szCs w:val="20"/>
              </w:rPr>
              <w:t>PEHE=20,119 · −11.8% vs CF · −4.2% vs TARNet · p&lt;0.0001</w:t>
            </w:r>
          </w:p>
        </w:tc>
      </w:tr>
      <w:tr w14:paraId="1BDD52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33F2AE63">
            <w:pPr>
              <w:spacing w:after="0"/>
            </w:pPr>
            <w:r>
              <w:rPr>
                <w:rFonts w:ascii="Arial" w:hAnsi="Arial" w:eastAsia="Arial" w:cs="Arial"/>
                <w:b w:val="0"/>
                <w:bCs w:val="0"/>
                <w:color w:val="0D1B2A"/>
                <w:sz w:val="20"/>
                <w:szCs w:val="20"/>
              </w:rPr>
              <w:t>5</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4D0E0D5">
            <w:pPr>
              <w:spacing w:after="0"/>
            </w:pPr>
            <w:r>
              <w:rPr>
                <w:rFonts w:ascii="Arial" w:hAnsi="Arial" w:eastAsia="Arial" w:cs="Arial"/>
                <w:b w:val="0"/>
                <w:bCs w:val="0"/>
                <w:color w:val="0D1B2A"/>
                <w:sz w:val="20"/>
                <w:szCs w:val="20"/>
              </w:rPr>
              <w:t>Ablation</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7DA017F0">
            <w:pPr>
              <w:spacing w:after="0"/>
            </w:pPr>
            <w:r>
              <w:rPr>
                <w:rFonts w:ascii="Arial" w:hAnsi="Arial" w:eastAsia="Arial" w:cs="Arial"/>
                <w:b w:val="0"/>
                <w:bCs w:val="0"/>
                <w:color w:val="0D1B2A"/>
                <w:sz w:val="20"/>
                <w:szCs w:val="20"/>
              </w:rPr>
              <w:t>✅</w:t>
            </w:r>
          </w:p>
        </w:tc>
        <w:tc>
          <w:tcPr>
            <w:tcW w:w="421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03D8727">
            <w:pPr>
              <w:spacing w:after="0"/>
            </w:pPr>
            <w:r>
              <w:rPr>
                <w:rFonts w:ascii="Arial" w:hAnsi="Arial" w:eastAsia="Arial" w:cs="Arial"/>
                <w:b w:val="0"/>
                <w:bCs w:val="0"/>
                <w:color w:val="0D1B2A"/>
                <w:sz w:val="20"/>
                <w:szCs w:val="20"/>
              </w:rPr>
              <w:t>Roots +38.5% · Soil +21.4% · MLP +18.6% · Attention +4.3%</w:t>
            </w:r>
          </w:p>
        </w:tc>
      </w:tr>
      <w:tr w14:paraId="7EA98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58D18AA">
            <w:pPr>
              <w:spacing w:after="0"/>
            </w:pPr>
            <w:r>
              <w:rPr>
                <w:rFonts w:ascii="Arial" w:hAnsi="Arial" w:eastAsia="Arial" w:cs="Arial"/>
                <w:b w:val="0"/>
                <w:bCs w:val="0"/>
                <w:color w:val="0D1B2A"/>
                <w:sz w:val="20"/>
                <w:szCs w:val="20"/>
              </w:rPr>
              <w:t>6</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D371A8F">
            <w:pPr>
              <w:spacing w:after="0"/>
            </w:pPr>
            <w:r>
              <w:rPr>
                <w:rFonts w:ascii="Arial" w:hAnsi="Arial" w:eastAsia="Arial" w:cs="Arial"/>
                <w:b w:val="0"/>
                <w:bCs w:val="0"/>
                <w:color w:val="0D1B2A"/>
                <w:sz w:val="20"/>
                <w:szCs w:val="20"/>
              </w:rPr>
              <w:t>Figures</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6A9221AD">
            <w:pPr>
              <w:spacing w:after="0"/>
            </w:pPr>
            <w:r>
              <w:rPr>
                <w:rFonts w:ascii="Arial" w:hAnsi="Arial" w:eastAsia="Arial" w:cs="Arial"/>
                <w:b w:val="0"/>
                <w:bCs w:val="0"/>
                <w:color w:val="0D1B2A"/>
                <w:sz w:val="20"/>
                <w:szCs w:val="20"/>
              </w:rPr>
              <w:t>✅</w:t>
            </w:r>
          </w:p>
        </w:tc>
        <w:tc>
          <w:tcPr>
            <w:tcW w:w="421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0C273475">
            <w:pPr>
              <w:spacing w:after="0"/>
            </w:pPr>
            <w:r>
              <w:rPr>
                <w:rFonts w:ascii="Arial" w:hAnsi="Arial" w:eastAsia="Arial" w:cs="Arial"/>
                <w:b w:val="0"/>
                <w:bCs w:val="0"/>
                <w:color w:val="0D1B2A"/>
                <w:sz w:val="20"/>
                <w:szCs w:val="20"/>
              </w:rPr>
              <w:t>12 publication figures @ 300 DPI</w:t>
            </w:r>
          </w:p>
        </w:tc>
      </w:tr>
      <w:tr w14:paraId="00F40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A27F6F8">
            <w:pPr>
              <w:spacing w:after="0"/>
            </w:pPr>
            <w:r>
              <w:rPr>
                <w:rFonts w:ascii="Arial" w:hAnsi="Arial" w:eastAsia="Arial" w:cs="Arial"/>
                <w:b w:val="0"/>
                <w:bCs w:val="0"/>
                <w:color w:val="0D1B2A"/>
                <w:sz w:val="20"/>
                <w:szCs w:val="20"/>
              </w:rPr>
              <w:t>7</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B6EDBFE">
            <w:pPr>
              <w:spacing w:after="0"/>
            </w:pPr>
            <w:r>
              <w:rPr>
                <w:rFonts w:ascii="Arial" w:hAnsi="Arial" w:eastAsia="Arial" w:cs="Arial"/>
                <w:b w:val="0"/>
                <w:bCs w:val="0"/>
                <w:color w:val="0D1B2A"/>
                <w:sz w:val="20"/>
                <w:szCs w:val="20"/>
              </w:rPr>
              <w:t>Theory</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72895EA7">
            <w:pPr>
              <w:spacing w:after="0"/>
            </w:pPr>
            <w:r>
              <w:rPr>
                <w:rFonts w:ascii="Arial" w:hAnsi="Arial" w:eastAsia="Arial" w:cs="Arial"/>
                <w:b w:val="0"/>
                <w:bCs w:val="0"/>
                <w:color w:val="0D1B2A"/>
                <w:sz w:val="20"/>
                <w:szCs w:val="20"/>
              </w:rPr>
              <w:t>✅</w:t>
            </w:r>
          </w:p>
        </w:tc>
        <w:tc>
          <w:tcPr>
            <w:tcW w:w="421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8CBC8CC">
            <w:pPr>
              <w:spacing w:after="0"/>
            </w:pPr>
            <w:r>
              <w:rPr>
                <w:rFonts w:ascii="Arial" w:hAnsi="Arial" w:eastAsia="Arial" w:cs="Arial"/>
                <w:b w:val="0"/>
                <w:bCs w:val="0"/>
                <w:color w:val="0D1B2A"/>
                <w:sz w:val="20"/>
                <w:szCs w:val="20"/>
              </w:rPr>
              <w:t>4-assumption theorem · Γ=5 sensitivity · p&lt;0.0001 all baselines</w:t>
            </w:r>
          </w:p>
        </w:tc>
      </w:tr>
      <w:tr w14:paraId="080CB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E9538EB">
            <w:pPr>
              <w:spacing w:after="0"/>
            </w:pPr>
            <w:r>
              <w:rPr>
                <w:rFonts w:ascii="Arial" w:hAnsi="Arial" w:eastAsia="Arial" w:cs="Arial"/>
                <w:b w:val="0"/>
                <w:bCs w:val="0"/>
                <w:color w:val="0D1B2A"/>
                <w:sz w:val="20"/>
                <w:szCs w:val="20"/>
              </w:rPr>
              <w:t>8</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00B49B9">
            <w:pPr>
              <w:spacing w:after="0"/>
            </w:pPr>
            <w:r>
              <w:rPr>
                <w:rFonts w:ascii="Arial" w:hAnsi="Arial" w:eastAsia="Arial" w:cs="Arial"/>
                <w:b w:val="0"/>
                <w:bCs w:val="0"/>
                <w:color w:val="0D1B2A"/>
                <w:sz w:val="20"/>
                <w:szCs w:val="20"/>
              </w:rPr>
              <w:t>Benchmarks</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73066BF2">
            <w:pPr>
              <w:spacing w:after="0"/>
            </w:pPr>
            <w:r>
              <w:rPr>
                <w:rFonts w:ascii="Arial" w:hAnsi="Arial" w:eastAsia="Arial" w:cs="Arial"/>
                <w:b w:val="0"/>
                <w:bCs w:val="0"/>
                <w:color w:val="0D1B2A"/>
                <w:sz w:val="20"/>
                <w:szCs w:val="20"/>
              </w:rPr>
              <w:t>✅</w:t>
            </w:r>
          </w:p>
        </w:tc>
        <w:tc>
          <w:tcPr>
            <w:tcW w:w="421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798F5B33">
            <w:pPr>
              <w:spacing w:after="0"/>
            </w:pPr>
            <w:r>
              <w:rPr>
                <w:rFonts w:ascii="Arial" w:hAnsi="Arial" w:eastAsia="Arial" w:cs="Arial"/>
                <w:b w:val="0"/>
                <w:bCs w:val="0"/>
                <w:color w:val="0D1B2A"/>
                <w:sz w:val="20"/>
                <w:szCs w:val="20"/>
              </w:rPr>
              <w:t>3 datasets · Transfer learning +24.5% on IHDP · Honest failures</w:t>
            </w:r>
          </w:p>
        </w:tc>
      </w:tr>
      <w:tr w14:paraId="5021E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678C821E">
            <w:pPr>
              <w:spacing w:after="0"/>
            </w:pPr>
            <w:r>
              <w:rPr>
                <w:rFonts w:ascii="Arial" w:hAnsi="Arial" w:eastAsia="Arial" w:cs="Arial"/>
                <w:b w:val="0"/>
                <w:bCs w:val="0"/>
                <w:color w:val="0D1B2A"/>
                <w:sz w:val="20"/>
                <w:szCs w:val="20"/>
              </w:rPr>
              <w:t>9</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7DCC188A">
            <w:pPr>
              <w:spacing w:after="0"/>
            </w:pPr>
            <w:r>
              <w:rPr>
                <w:rFonts w:ascii="Arial" w:hAnsi="Arial" w:eastAsia="Arial" w:cs="Arial"/>
                <w:b w:val="0"/>
                <w:bCs w:val="0"/>
                <w:color w:val="0D1B2A"/>
                <w:sz w:val="20"/>
                <w:szCs w:val="20"/>
              </w:rPr>
              <w:t>Uncertainty</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2AC80BBF">
            <w:pPr>
              <w:spacing w:after="0"/>
            </w:pPr>
            <w:r>
              <w:rPr>
                <w:rFonts w:ascii="Arial" w:hAnsi="Arial" w:eastAsia="Arial" w:cs="Arial"/>
                <w:b w:val="0"/>
                <w:bCs w:val="0"/>
                <w:color w:val="0D1B2A"/>
                <w:sz w:val="20"/>
                <w:szCs w:val="20"/>
              </w:rPr>
              <w:t>✅</w:t>
            </w:r>
          </w:p>
        </w:tc>
        <w:tc>
          <w:tcPr>
            <w:tcW w:w="421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07787DFD">
            <w:pPr>
              <w:spacing w:after="0"/>
            </w:pPr>
            <w:r>
              <w:rPr>
                <w:rFonts w:ascii="Arial" w:hAnsi="Arial" w:eastAsia="Arial" w:cs="Arial"/>
                <w:b w:val="0"/>
                <w:bCs w:val="0"/>
                <w:color w:val="0D1B2A"/>
                <w:sz w:val="20"/>
                <w:szCs w:val="20"/>
              </w:rPr>
              <w:t>ECE=0.236 · 95% cov=69.2% · Consistent with literature</w:t>
            </w:r>
          </w:p>
        </w:tc>
      </w:tr>
      <w:tr w14:paraId="536A0C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ABBA9D1">
            <w:pPr>
              <w:spacing w:after="0"/>
            </w:pPr>
            <w:r>
              <w:rPr>
                <w:rFonts w:ascii="Arial" w:hAnsi="Arial" w:eastAsia="Arial" w:cs="Arial"/>
                <w:b w:val="0"/>
                <w:bCs w:val="0"/>
                <w:color w:val="0D1B2A"/>
                <w:sz w:val="20"/>
                <w:szCs w:val="20"/>
              </w:rPr>
              <w:t>10</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B86A122">
            <w:pPr>
              <w:spacing w:after="0"/>
            </w:pPr>
            <w:r>
              <w:rPr>
                <w:rFonts w:ascii="Arial" w:hAnsi="Arial" w:eastAsia="Arial" w:cs="Arial"/>
                <w:b w:val="0"/>
                <w:bCs w:val="0"/>
                <w:color w:val="0D1B2A"/>
                <w:sz w:val="20"/>
                <w:szCs w:val="20"/>
              </w:rPr>
              <w:t>Policy</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5829DF10">
            <w:pPr>
              <w:spacing w:after="0"/>
            </w:pPr>
            <w:r>
              <w:rPr>
                <w:rFonts w:ascii="Arial" w:hAnsi="Arial" w:eastAsia="Arial" w:cs="Arial"/>
                <w:b w:val="0"/>
                <w:bCs w:val="0"/>
                <w:color w:val="0D1B2A"/>
                <w:sz w:val="20"/>
                <w:szCs w:val="20"/>
              </w:rPr>
              <w:t>✅</w:t>
            </w:r>
          </w:p>
        </w:tc>
        <w:tc>
          <w:tcPr>
            <w:tcW w:w="421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71710DD6">
            <w:pPr>
              <w:spacing w:after="0"/>
            </w:pPr>
            <w:r>
              <w:rPr>
                <w:rFonts w:ascii="Arial" w:hAnsi="Arial" w:eastAsia="Arial" w:cs="Arial"/>
                <w:b w:val="0"/>
                <w:bCs w:val="0"/>
                <w:color w:val="0D1B2A"/>
                <w:sz w:val="20"/>
                <w:szCs w:val="20"/>
              </w:rPr>
              <w:t>93.2% oracle efficiency · τ-risk &lt; CF · Top 20% ITE=$90,300</w:t>
            </w:r>
          </w:p>
        </w:tc>
      </w:tr>
      <w:tr w14:paraId="5ACD5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161AF9F6">
            <w:pPr>
              <w:spacing w:after="0"/>
            </w:pPr>
            <w:r>
              <w:rPr>
                <w:rFonts w:ascii="Arial" w:hAnsi="Arial" w:eastAsia="Arial" w:cs="Arial"/>
                <w:b w:val="0"/>
                <w:bCs w:val="0"/>
                <w:color w:val="0D1B2A"/>
                <w:sz w:val="20"/>
                <w:szCs w:val="20"/>
              </w:rPr>
              <w:t>11</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4640F43">
            <w:pPr>
              <w:spacing w:after="0"/>
            </w:pPr>
            <w:r>
              <w:rPr>
                <w:rFonts w:ascii="Arial" w:hAnsi="Arial" w:eastAsia="Arial" w:cs="Arial"/>
                <w:b w:val="0"/>
                <w:bCs w:val="0"/>
                <w:color w:val="0D1B2A"/>
                <w:sz w:val="20"/>
                <w:szCs w:val="20"/>
              </w:rPr>
              <w:t>Interpretability</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085F7E25">
            <w:pPr>
              <w:spacing w:after="0"/>
            </w:pPr>
            <w:r>
              <w:rPr>
                <w:rFonts w:ascii="Arial" w:hAnsi="Arial" w:eastAsia="Arial" w:cs="Arial"/>
                <w:b w:val="0"/>
                <w:bCs w:val="0"/>
                <w:color w:val="0D1B2A"/>
                <w:sz w:val="20"/>
                <w:szCs w:val="20"/>
              </w:rPr>
              <w:t>✅</w:t>
            </w:r>
          </w:p>
        </w:tc>
        <w:tc>
          <w:tcPr>
            <w:tcW w:w="4212"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4A4D672D">
            <w:pPr>
              <w:spacing w:after="0"/>
            </w:pPr>
            <w:r>
              <w:rPr>
                <w:rFonts w:ascii="Arial" w:hAnsi="Arial" w:eastAsia="Arial" w:cs="Arial"/>
                <w:b w:val="0"/>
                <w:bCs w:val="0"/>
                <w:color w:val="0D1B2A"/>
                <w:sz w:val="20"/>
                <w:szCs w:val="20"/>
              </w:rPr>
              <w:t>r=−0.403 mismatch effect · family_income top feature</w:t>
            </w:r>
          </w:p>
        </w:tc>
      </w:tr>
      <w:tr w14:paraId="230474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2F47D095">
            <w:pPr>
              <w:spacing w:after="0"/>
            </w:pPr>
            <w:r>
              <w:rPr>
                <w:rFonts w:ascii="Arial" w:hAnsi="Arial" w:eastAsia="Arial" w:cs="Arial"/>
                <w:b w:val="0"/>
                <w:bCs w:val="0"/>
                <w:color w:val="0D1B2A"/>
                <w:sz w:val="20"/>
                <w:szCs w:val="20"/>
              </w:rPr>
              <w:t>12</w:t>
            </w:r>
          </w:p>
        </w:tc>
        <w:tc>
          <w:tcPr>
            <w:tcW w:w="2340" w:type="dxa"/>
            <w:tcBorders>
              <w:top w:val="single" w:color="E2E8F0" w:sz="0" w:space="0"/>
              <w:left w:val="single" w:color="E2E8F0" w:sz="0" w:space="0"/>
              <w:bottom w:val="single" w:color="E2E8F0" w:sz="0" w:space="0"/>
              <w:right w:val="single" w:color="E2E8F0" w:sz="0" w:space="0"/>
            </w:tcBorders>
            <w:shd w:val="clear" w:color="auto" w:fill="FFFFFF"/>
            <w:tcMar>
              <w:top w:w="80" w:type="dxa"/>
              <w:left w:w="120" w:type="dxa"/>
              <w:bottom w:w="80" w:type="dxa"/>
              <w:right w:w="120" w:type="dxa"/>
            </w:tcMar>
          </w:tcPr>
          <w:p w14:paraId="5AC71463">
            <w:pPr>
              <w:spacing w:after="0"/>
            </w:pPr>
            <w:r>
              <w:rPr>
                <w:rFonts w:ascii="Arial" w:hAnsi="Arial" w:eastAsia="Arial" w:cs="Arial"/>
                <w:b w:val="0"/>
                <w:bCs w:val="0"/>
                <w:color w:val="0D1B2A"/>
                <w:sz w:val="20"/>
                <w:szCs w:val="20"/>
              </w:rPr>
              <w:t>Robustness</w:t>
            </w:r>
          </w:p>
        </w:tc>
        <w:tc>
          <w:tcPr>
            <w:tcW w:w="2340" w:type="dxa"/>
            <w:tcBorders>
              <w:top w:val="single" w:color="E2E8F0" w:sz="0" w:space="0"/>
              <w:left w:val="single" w:color="E2E8F0" w:sz="0" w:space="0"/>
              <w:bottom w:val="single" w:color="E2E8F0" w:sz="0" w:space="0"/>
              <w:right w:val="single" w:color="E2E8F0" w:sz="0" w:space="0"/>
            </w:tcBorders>
            <w:shd w:val="clear" w:color="auto" w:fill="F0FDF4"/>
            <w:tcMar>
              <w:top w:w="80" w:type="dxa"/>
              <w:left w:w="120" w:type="dxa"/>
              <w:bottom w:w="80" w:type="dxa"/>
              <w:right w:w="120" w:type="dxa"/>
            </w:tcMar>
          </w:tcPr>
          <w:p w14:paraId="2F2ADA47">
            <w:pPr>
              <w:spacing w:after="0"/>
            </w:pPr>
            <w:r>
              <w:rPr>
                <w:rFonts w:ascii="Arial" w:hAnsi="Arial" w:eastAsia="Arial" w:cs="Arial"/>
                <w:b w:val="0"/>
                <w:bCs w:val="0"/>
                <w:color w:val="0D1B2A"/>
                <w:sz w:val="20"/>
                <w:szCs w:val="20"/>
              </w:rPr>
              <w:t>✅</w:t>
            </w:r>
          </w:p>
        </w:tc>
        <w:tc>
          <w:tcPr>
            <w:tcW w:w="4212" w:type="dxa"/>
            <w:tcBorders>
              <w:top w:val="single" w:color="E2E8F0" w:sz="0" w:space="0"/>
              <w:left w:val="single" w:color="E2E8F0" w:sz="0" w:space="0"/>
              <w:bottom w:val="single" w:color="E2E8F0" w:sz="0" w:space="0"/>
              <w:right w:val="single" w:color="E2E8F0" w:sz="0" w:space="0"/>
            </w:tcBorders>
            <w:shd w:val="clear" w:color="auto" w:fill="F1F5F9"/>
            <w:tcMar>
              <w:top w:w="80" w:type="dxa"/>
              <w:left w:w="120" w:type="dxa"/>
              <w:bottom w:w="80" w:type="dxa"/>
              <w:right w:w="120" w:type="dxa"/>
            </w:tcMar>
          </w:tcPr>
          <w:p w14:paraId="7356E84F">
            <w:pPr>
              <w:spacing w:after="0"/>
            </w:pPr>
            <w:r>
              <w:rPr>
                <w:rFonts w:ascii="Arial" w:hAnsi="Arial" w:eastAsia="Arial" w:cs="Arial"/>
                <w:b w:val="0"/>
                <w:bCs w:val="0"/>
                <w:color w:val="0D1B2A"/>
                <w:sz w:val="20"/>
                <w:szCs w:val="20"/>
              </w:rPr>
              <w:t>Noise robust · 70% crossover · Missing data limitation documented</w:t>
            </w:r>
          </w:p>
        </w:tc>
      </w:tr>
    </w:tbl>
    <w:p w14:paraId="22DA9AFB">
      <w:pPr>
        <w:spacing w:after="160" w:line="320" w:lineRule="auto"/>
      </w:pPr>
    </w:p>
    <w:p w14:paraId="421A44F0">
      <w:pPr>
        <w:pStyle w:val="3"/>
        <w:spacing w:before="360" w:after="160"/>
      </w:pPr>
      <w:r>
        <w:rPr>
          <w:rFonts w:ascii="Arial" w:hAnsi="Arial" w:eastAsia="Arial" w:cs="Arial"/>
          <w:b/>
          <w:bCs/>
          <w:color w:val="0D9488"/>
          <w:sz w:val="28"/>
          <w:szCs w:val="28"/>
        </w:rPr>
        <w:t>Six Novel Contributions</w:t>
      </w:r>
    </w:p>
    <w:p w14:paraId="34DB6208">
      <w:pPr>
        <w:pStyle w:val="17"/>
        <w:numPr>
          <w:ilvl w:val="0"/>
          <w:numId w:val="2"/>
        </w:numPr>
        <w:spacing w:after="100"/>
      </w:pPr>
      <w:r>
        <w:rPr>
          <w:rFonts w:ascii="Arial" w:hAnsi="Arial" w:eastAsia="Arial" w:cs="Arial"/>
          <w:sz w:val="22"/>
          <w:szCs w:val="22"/>
        </w:rPr>
        <w:t>Tree-Structured ITE Estimation: First causal model encoding Roots→Soil→Leaves→Choice with cross-layer attention. PEHE=20,119 — 11.8% improvement over Causal Forest, 4.2% over TARNet, 6.4% over CFRNet. p&lt;0.0001.</w:t>
      </w:r>
    </w:p>
    <w:p w14:paraId="09EAD814">
      <w:pPr>
        <w:pStyle w:val="17"/>
        <w:numPr>
          <w:ilvl w:val="0"/>
          <w:numId w:val="2"/>
        </w:numPr>
        <w:spacing w:after="100"/>
      </w:pPr>
      <w:r>
        <w:rPr>
          <w:rFonts w:ascii="Arial" w:hAnsi="Arial" w:eastAsia="Arial" w:cs="Arial"/>
          <w:sz w:val="22"/>
          <w:szCs w:val="22"/>
        </w:rPr>
        <w:t>Formal Identification Theory: 4-assumption theorem, Rosenbaum Γ=5 sensitivity bounds, verified 0% overlap violations, bootstrap significance p&lt;0.0001 vs all baselines.</w:t>
      </w:r>
    </w:p>
    <w:p w14:paraId="7770367B">
      <w:pPr>
        <w:pStyle w:val="17"/>
        <w:numPr>
          <w:ilvl w:val="0"/>
          <w:numId w:val="2"/>
        </w:numPr>
        <w:spacing w:after="100"/>
      </w:pPr>
      <w:r>
        <w:rPr>
          <w:rFonts w:ascii="Arial" w:hAnsi="Arial" w:eastAsia="Arial" w:cs="Arial"/>
          <w:sz w:val="22"/>
          <w:szCs w:val="22"/>
        </w:rPr>
        <w:t>Cross-Domain Transfer Learning: Attention+fusion weights from NLSY97 transfer to IHDP, closing 24.5% of performance gap. First demonstration of structural causal knowledge transfer for ITE.</w:t>
      </w:r>
    </w:p>
    <w:p w14:paraId="4CEFA0C8">
      <w:pPr>
        <w:pStyle w:val="17"/>
        <w:numPr>
          <w:ilvl w:val="0"/>
          <w:numId w:val="2"/>
        </w:numPr>
        <w:spacing w:after="100"/>
      </w:pPr>
      <w:r>
        <w:rPr>
          <w:rFonts w:ascii="Arial" w:hAnsi="Arial" w:eastAsia="Arial" w:cs="Arial"/>
          <w:sz w:val="22"/>
          <w:szCs w:val="22"/>
        </w:rPr>
        <w:t>Calibrated Uncertainty Quantification: MC Dropout + 49-resample bootstrap CIs. ECE=0.236 consistent with published literature. First tree-structured ITE estimator with formal uncertainty.</w:t>
      </w:r>
    </w:p>
    <w:p w14:paraId="6E9E30CB">
      <w:pPr>
        <w:pStyle w:val="17"/>
        <w:numPr>
          <w:ilvl w:val="0"/>
          <w:numId w:val="2"/>
        </w:numPr>
        <w:spacing w:after="100"/>
      </w:pPr>
      <w:r>
        <w:rPr>
          <w:rFonts w:ascii="Arial" w:hAnsi="Arial" w:eastAsia="Arial" w:cs="Arial"/>
          <w:sz w:val="22"/>
          <w:szCs w:val="22"/>
        </w:rPr>
        <w:t>Policy Learning: 93.2% oracle efficiency, interpretable policy tree, top 20% ITE=$90,300. $1.67B additional lifetime income gain per 100,000 students vs random assignment.</w:t>
      </w:r>
    </w:p>
    <w:p w14:paraId="6346C0DA">
      <w:pPr>
        <w:pStyle w:val="17"/>
        <w:numPr>
          <w:ilvl w:val="0"/>
          <w:numId w:val="2"/>
        </w:numPr>
        <w:spacing w:after="100"/>
      </w:pPr>
      <w:r>
        <w:rPr>
          <w:rFonts w:ascii="Arial" w:hAnsi="Arial" w:eastAsia="Arial" w:cs="Arial"/>
          <w:sz w:val="22"/>
          <w:szCs w:val="22"/>
        </w:rPr>
        <w:t>Interpretability &amp; Robustness: r=−0.403 socioeconomic mismatch effect, N≈6,300 sample efficiency boundary, noise robustness confirmed at σ=2, domain transfer to minority groups in 3/4 cases.</w:t>
      </w:r>
    </w:p>
    <w:p w14:paraId="47CE221B">
      <w:pPr>
        <w:spacing w:after="160" w:line="320" w:lineRule="auto"/>
      </w:pPr>
    </w:p>
    <w:sectPr>
      <w:headerReference r:id="rId3" w:type="default"/>
      <w:footerReference r:id="rId4"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Emoji">
    <w:panose1 w:val="020B0502040204020203"/>
    <w:charset w:val="00"/>
    <w:family w:val="auto"/>
    <w:pitch w:val="default"/>
    <w:sig w:usb0="00000001" w:usb1="02000000" w:usb2="08000000" w:usb3="00000000" w:csb0="00000001" w:csb1="00000000"/>
  </w:font>
  <w:font w:name="MS PGothic">
    <w:panose1 w:val="020B0600070205080204"/>
    <w:charset w:val="80"/>
    <w:family w:val="auto"/>
    <w:pitch w:val="default"/>
    <w:sig w:usb0="E00002FF" w:usb1="6AC7FDFB" w:usb2="08000012" w:usb3="00000000" w:csb0="4002009F" w:csb1="DFD7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76536">
    <w:pPr>
      <w:spacing w:after="0"/>
      <w:jc w:val="center"/>
    </w:pPr>
    <w:r>
      <w:rPr>
        <w:rFonts w:ascii="Arial" w:hAnsi="Arial" w:eastAsia="Arial" w:cs="Arial"/>
        <w:sz w:val="22"/>
        <w:szCs w:val="22"/>
      </w:rPr>
      <w:t xml:space="preserve">CALF — Constrained Agency Life Framework  |  Page </w:t>
    </w:r>
    <w:r>
      <w:rPr>
        <w:rFonts w:ascii="Arial" w:hAnsi="Arial" w:eastAsia="Arial" w:cs="Arial"/>
        <w:sz w:val="20"/>
        <w:szCs w:val="20"/>
      </w:rPr>
      <w:fldChar w:fldCharType="begin"/>
    </w:r>
    <w:r>
      <w:rPr>
        <w:rFonts w:ascii="Arial" w:hAnsi="Arial" w:eastAsia="Arial" w:cs="Arial"/>
        <w:sz w:val="20"/>
        <w:szCs w:val="20"/>
      </w:rPr>
      <w:instrText xml:space="preserve">PAGE</w:instrText>
    </w:r>
    <w:r>
      <w:rPr>
        <w:rFonts w:ascii="Arial" w:hAnsi="Arial" w:eastAsia="Arial" w:cs="Arial"/>
        <w:sz w:val="20"/>
        <w:szCs w:val="20"/>
      </w:rPr>
      <w:fldChar w:fldCharType="separate"/>
    </w:r>
    <w:r>
      <w:rPr>
        <w:rFonts w:ascii="Arial" w:hAnsi="Arial" w:eastAsia="Arial" w:cs="Arial"/>
        <w:sz w:val="20"/>
        <w:szCs w:val="20"/>
      </w:rPr>
      <w:fldChar w:fldCharType="end"/>
    </w:r>
    <w:r>
      <w:rPr>
        <w:rFonts w:ascii="Arial" w:hAnsi="Arial" w:eastAsia="Arial" w:cs="Arial"/>
        <w:sz w:val="22"/>
        <w:szCs w:val="22"/>
      </w:rPr>
      <w:t xml:space="preserve">  |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E526BA">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537FD9"/>
    <w:multiLevelType w:val="singleLevel"/>
    <w:tmpl w:val="E6537FD9"/>
    <w:lvl w:ilvl="0" w:tentative="0">
      <w:start w:val="1"/>
      <w:numFmt w:val="bullet"/>
      <w:lvlText w:val="•"/>
      <w:lvlJc w:val="left"/>
      <w:pPr>
        <w:ind w:left="720" w:hanging="360"/>
      </w:pPr>
    </w:lvl>
  </w:abstractNum>
  <w:abstractNum w:abstractNumId="1">
    <w:nsid w:val="56415417"/>
    <w:multiLevelType w:val="singleLevel"/>
    <w:tmpl w:val="56415417"/>
    <w:lvl w:ilvl="0" w:tentative="0">
      <w:start w:val="1"/>
      <w:numFmt w:val="decimal"/>
      <w:lvlText w:val="%1."/>
      <w:lvlJc w:val="left"/>
      <w:pPr>
        <w:ind w:left="720" w:hanging="360"/>
      </w:pPr>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displayBackgroundShape w:val="1"/>
  <w:documentProtection w:enforcement="0"/>
  <w:compat>
    <w:compatSetting w:name="compatibilityMode" w:uri="http://schemas.microsoft.com/office/word" w:val="15"/>
  </w:compat>
  <w:rsids>
    <w:rsidRoot w:val="00000000"/>
    <w:rsid w:val="2B414012"/>
    <w:rsid w:val="4E52355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80" w:after="200"/>
      <w:outlineLvl w:val="0"/>
    </w:pPr>
    <w:rPr>
      <w:rFonts w:ascii="Arial" w:hAnsi="Arial" w:eastAsia="Arial" w:cs="Arial"/>
      <w:b/>
      <w:bCs/>
      <w:color w:val="0D1B2A"/>
      <w:sz w:val="36"/>
      <w:szCs w:val="36"/>
    </w:rPr>
  </w:style>
  <w:style w:type="paragraph" w:styleId="3">
    <w:name w:val="heading 2"/>
    <w:next w:val="1"/>
    <w:qFormat/>
    <w:uiPriority w:val="0"/>
    <w:pPr>
      <w:spacing w:before="360" w:after="160"/>
      <w:outlineLvl w:val="1"/>
    </w:pPr>
    <w:rPr>
      <w:rFonts w:ascii="Arial" w:hAnsi="Arial" w:eastAsia="Arial" w:cs="Arial"/>
      <w:b/>
      <w:bCs/>
      <w:color w:val="0D9488"/>
      <w:sz w:val="28"/>
      <w:szCs w:val="28"/>
    </w:rPr>
  </w:style>
  <w:style w:type="paragraph" w:styleId="4">
    <w:name w:val="heading 3"/>
    <w:next w:val="1"/>
    <w:qFormat/>
    <w:uiPriority w:val="0"/>
    <w:pPr>
      <w:spacing w:before="240" w:after="120"/>
      <w:outlineLvl w:val="2"/>
    </w:pPr>
    <w:rPr>
      <w:rFonts w:ascii="Arial" w:hAnsi="Arial" w:eastAsia="Arial" w:cs="Arial"/>
      <w:b/>
      <w:bCs/>
      <w:color w:val="334155"/>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9"/>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8"/>
    <w:semiHidden/>
    <w:unhideWhenUsed/>
    <w:qFormat/>
    <w:uiPriority w:val="99"/>
    <w:pPr>
      <w:spacing w:after="0" w:line="240" w:lineRule="auto"/>
    </w:pPr>
    <w:rPr>
      <w:rFonts w:ascii="Arial" w:hAnsi="Arial" w:eastAsia="Arial" w:cs="Arial"/>
      <w:sz w:val="20"/>
      <w:szCs w:val="20"/>
    </w:rPr>
  </w:style>
  <w:style w:type="paragraph" w:styleId="14">
    <w:name w:val="header"/>
    <w:basedOn w:val="1"/>
    <w:uiPriority w:val="0"/>
    <w:pPr>
      <w:tabs>
        <w:tab w:val="center" w:pos="4153"/>
        <w:tab w:val="right" w:pos="8306"/>
      </w:tabs>
      <w:snapToGrid w:val="0"/>
    </w:pPr>
    <w:rPr>
      <w:sz w:val="18"/>
      <w:szCs w:val="18"/>
    </w:rPr>
  </w:style>
  <w:style w:type="character" w:styleId="15">
    <w:name w:val="Hyperlink"/>
    <w:unhideWhenUsed/>
    <w:uiPriority w:val="99"/>
    <w:rPr>
      <w:color w:val="0563C1"/>
      <w:u w:val="single"/>
    </w:rPr>
  </w:style>
  <w:style w:type="paragraph" w:styleId="16">
    <w:name w:val="Title"/>
    <w:qFormat/>
    <w:uiPriority w:val="0"/>
    <w:rPr>
      <w:rFonts w:ascii="Arial" w:hAnsi="Arial" w:eastAsia="Arial" w:cs="Arial"/>
      <w:sz w:val="56"/>
      <w:szCs w:val="56"/>
    </w:rPr>
  </w:style>
  <w:style w:type="paragraph" w:styleId="17">
    <w:name w:val="List Paragraph"/>
    <w:qFormat/>
    <w:uiPriority w:val="0"/>
    <w:rPr>
      <w:rFonts w:ascii="Arial" w:hAnsi="Arial" w:eastAsia="Arial" w:cs="Arial"/>
      <w:sz w:val="22"/>
      <w:szCs w:val="22"/>
    </w:rPr>
  </w:style>
  <w:style w:type="character" w:customStyle="1" w:styleId="18">
    <w:name w:val="Footnote Text Char"/>
    <w:link w:val="13"/>
    <w:semiHidden/>
    <w:unhideWhenUsed/>
    <w:qFormat/>
    <w:uiPriority w:val="99"/>
    <w:rPr>
      <w:sz w:val="20"/>
      <w:szCs w:val="20"/>
    </w:rPr>
  </w:style>
  <w:style w:type="character" w:customStyle="1" w:styleId="19">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Words>1003</Words>
  <Characters>5959</Characters>
  <TotalTime>2</TotalTime>
  <ScaleCrop>false</ScaleCrop>
  <LinksUpToDate>false</LinksUpToDate>
  <CharactersWithSpaces>6929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2026-06-03T02:26:00Z</dcterms:created>
  <dc:creator>Un-named</dc:creator>
  <cp:lastModifiedBy>AGNES TERESA DAVURI</cp:lastModifiedBy>
  <dcterms:modified xsi:type="dcterms:W3CDTF">2026-06-05T05:46:22Z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eyJoZGlkIjoiMTBjYWFlY2Y4OGM5MzMxNmNmOGRiYzE4ODZiMzM4YzYiLCJ1c2VySWQiOiI1Njc0MjUyMTU5MjYifQ==</vt:lpwstr>
  </property>
  <property fmtid="{D5CDD505-2E9C-101B-9397-08002B2CF9AE}" pid="3" name="KSOProductBuildVer">
    <vt:lpwstr>1033-12.1.0.26880</vt:lpwstr>
  </property>
  <property fmtid="{D5CDD505-2E9C-101B-9397-08002B2CF9AE}" pid="4" name="ICV">
    <vt:lpwstr>95D40C8C80A64B609F791EDAEAAA12D5_12</vt:lpwstr>
  </property>
</Properties>
</file>