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jc w:val="center"/>
      </w:pPr>
      <w:r>
        <w:rPr>
          <w:rFonts w:ascii="Arial" w:cs="Arial" w:eastAsia="Arial" w:hAnsi="Arial"/>
          <w:b/>
          <w:bCs/>
          <w:color w:val="0D9488"/>
          <w:sz w:val="96"/>
          <w:szCs w:val="96"/>
        </w:rPr>
        <w:t xml:space="preserve">CALF</w:t>
      </w:r>
    </w:p>
    <w:p>
      <w:pPr>
        <w:spacing w:after="120"/>
        <w:jc w:val="center"/>
      </w:pPr>
      <w:r>
        <w:rPr>
          <w:rFonts w:ascii="Arial" w:cs="Arial" w:eastAsia="Arial" w:hAnsi="Arial"/>
          <w:b/>
          <w:bCs/>
          <w:color w:val="0D1B2A"/>
          <w:sz w:val="40"/>
          <w:szCs w:val="40"/>
        </w:rPr>
        <w:t xml:space="preserve">Constrained Agency Life Framework</w:t>
      </w:r>
    </w:p>
    <w:p>
      <w:pPr>
        <w:spacing w:after="800"/>
        <w:jc w:val="center"/>
      </w:pPr>
      <w:r>
        <w:rPr>
          <w:rFonts w:ascii="Arial" w:cs="Arial" w:eastAsia="Arial" w:hAnsi="Arial"/>
          <w:i/>
          <w:iCs/>
          <w:color w:val="334155"/>
          <w:sz w:val="24"/>
          <w:szCs w:val="24"/>
        </w:rPr>
        <w:t xml:space="preserve">A Comprehensive Technical Reference: All 12 Phases</w:t>
      </w:r>
    </w:p>
    <w:p>
      <w:pPr>
        <w:pBdr>
          <w:top w:val="single" w:color="0D9488" w:sz="6"/>
        </w:pBdr>
        <w:spacing w:after="320" w:before="80"/>
        <w:jc w:val="center"/>
      </w:pPr>
    </w:p>
    <w:p>
      <w:pPr>
        <w:spacing w:after="160"/>
        <w:jc w:val="center"/>
      </w:pPr>
      <w:r>
        <w:rPr>
          <w:rFonts w:ascii="Arial" w:cs="Arial" w:eastAsia="Arial" w:hAnsi="Arial"/>
          <w:color w:val="334155"/>
          <w:sz w:val="22"/>
          <w:szCs w:val="22"/>
        </w:rPr>
        <w:t xml:space="preserve">Mathematical Background · Setup · Results · Paper Claims</w:t>
      </w:r>
    </w:p>
    <w:p>
      <w:pPr>
        <w:spacing w:after="160"/>
        <w:jc w:val="center"/>
      </w:pPr>
      <w:r>
        <w:rPr>
          <w:rFonts w:ascii="Arial" w:cs="Arial" w:eastAsia="Arial" w:hAnsi="Arial"/>
          <w:b/>
          <w:bCs/>
          <w:color w:val="0D9488"/>
          <w:sz w:val="22"/>
          <w:szCs w:val="22"/>
        </w:rPr>
        <w:t xml:space="preserve">Target Venues: NeurIPS · ICML · AAAI</w:t>
      </w:r>
    </w:p>
    <w:p>
      <w:pPr>
        <w:jc w:val="center"/>
      </w:pPr>
      <w:r>
        <w:rPr>
          <w:rFonts w:ascii="Arial" w:cs="Arial" w:eastAsia="Arial" w:hAnsi="Arial"/>
          <w:color w:val="334155"/>
          <w:sz w:val="22"/>
          <w:szCs w:val="22"/>
        </w:rPr>
        <w:t xml:space="preserve">Dataset: NLSY97-Synthetic (N=8,984) · IHDP · Jobs/LaLonde</w:t>
      </w:r>
    </w:p>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Project Overview</w:t>
      </w:r>
    </w:p>
    <w:p>
      <w:pPr>
        <w:spacing w:after="160" w:line="320"/>
      </w:pPr>
      <w:r>
        <w:rPr>
          <w:rFonts w:ascii="Arial" w:cs="Arial" w:eastAsia="Arial" w:hAnsi="Arial"/>
          <w:b/>
          <w:bCs/>
          <w:color w:val="0D1B2A"/>
          <w:sz w:val="22"/>
          <w:szCs w:val="22"/>
        </w:rPr>
        <w:t xml:space="preserve">CALF </w:t>
      </w:r>
      <w:r>
        <w:rPr>
          <w:rFonts w:ascii="Arial" w:cs="Arial" w:eastAsia="Arial" w:hAnsi="Arial"/>
          <w:sz w:val="22"/>
          <w:szCs w:val="22"/>
        </w:rPr>
        <w:t xml:space="preserve">(Constrained Agency Life Framework) is a tree-structured causal model designed to estimate Individual Treatment Effects (ITE) in socioeconomic settings. The core idea comes from a speech comparing life to a tree: roots are parents, soil is teachers, leaves are peers, and sunlight is individual choice. CALF formalises this metaphor into a rigorous machine learning system.</w:t>
      </w:r>
    </w:p>
    <w:p>
      <w:pPr>
        <w:pStyle w:val="Heading2"/>
        <w:spacing w:after="160" w:before="360"/>
      </w:pPr>
      <w:r>
        <w:rPr>
          <w:rFonts w:ascii="Arial" w:cs="Arial" w:eastAsia="Arial" w:hAnsi="Arial"/>
          <w:b/>
          <w:bCs/>
          <w:color w:val="0D9488"/>
          <w:sz w:val="28"/>
          <w:szCs w:val="28"/>
        </w:rPr>
        <w:t xml:space="preserve">The Central Research Question</w:t>
      </w:r>
    </w:p>
    <w:p>
      <w:pPr>
        <w:pBdr>
          <w:top w:val="single" w:color="0D9488" w:sz="4"/>
          <w:bottom w:val="single" w:color="0D9488" w:sz="4"/>
          <w:left w:val="thick" w:color="0D9488" w:sz="12"/>
          <w:right w:val="single" w:color="0D9488" w:sz="4"/>
        </w:pBdr>
        <w:shd w:fill="F1F5F9" w:val="clear"/>
        <w:spacing w:after="160" w:before="160"/>
        <w:ind w:left="360" w:right="360"/>
      </w:pPr>
      <w:r>
        <w:rPr>
          <w:rFonts w:ascii="Arial" w:cs="Arial" w:eastAsia="Arial" w:hAnsi="Arial"/>
          <w:sz w:val="22"/>
          <w:szCs w:val="22"/>
        </w:rPr>
        <w:t xml:space="preserve">"Given fixed parental background (Roots), institutional environment (Soil), and peer influence (Leaves) — how much does individual Choice causally contribute to a person's life outcome?"</w:t>
      </w:r>
    </w:p>
    <w:p>
      <w:pPr>
        <w:spacing w:after="160" w:line="320"/>
      </w:pPr>
      <w:r>
        <w:rPr>
          <w:rFonts w:ascii="Arial" w:cs="Arial" w:eastAsia="Arial" w:hAnsi="Arial"/>
          <w:sz w:val="22"/>
          <w:szCs w:val="22"/>
        </w:rPr>
        <w:t xml:space="preserve">This is operationalised as: estimate the Individual Treatment Effect of college attendance on adult income for each respondent, accounting for all four hierarchical layers of influence.</w:t>
      </w:r>
    </w:p>
    <w:p>
      <w:pPr>
        <w:pStyle w:val="Heading2"/>
        <w:spacing w:after="160" w:before="360"/>
      </w:pPr>
      <w:r>
        <w:rPr>
          <w:rFonts w:ascii="Arial" w:cs="Arial" w:eastAsia="Arial" w:hAnsi="Arial"/>
          <w:b/>
          <w:bCs/>
          <w:color w:val="0D9488"/>
          <w:sz w:val="28"/>
          <w:szCs w:val="28"/>
        </w:rPr>
        <w:t xml:space="preserve">The Tree Metaphor → Formal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Real Life</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Causal Role</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Variables</w:t>
            </w:r>
          </w:p>
        </w:tc>
      </w:tr>
      <w:tr>
        <w:tc>
          <w:tcPr>
            <w:tcW w:type="dxa" w:w="156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bCs/>
                <w:color w:val="B45309"/>
                <w:sz w:val="20"/>
                <w:szCs w:val="20"/>
              </w:rPr>
              <w:t xml:space="preserve">🌳 Roots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Parents &amp; Family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Fixed prior P(X₀)</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Family income, parent education, family size, single parent, race, gender</w:t>
            </w:r>
          </w:p>
        </w:tc>
      </w:tr>
      <w:tr>
        <w:tc>
          <w:tcPr>
            <w:tcW w:type="dxa" w:w="1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 Soil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Teachers &amp; Schools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Reward-shaping environment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School quality, student-teacher ratio, public/private, region, urban/rural</w:t>
            </w:r>
          </w:p>
        </w:tc>
      </w:tr>
      <w:tr>
        <w:tc>
          <w:tcPr>
            <w:tcW w:type="dxa" w:w="1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 Leaves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Peers &amp; Social Graph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Message-passing influence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Peer college rate, peer employment, social support, extracurricular</w:t>
            </w:r>
          </w:p>
        </w:tc>
      </w:tr>
      <w:tr>
        <w:tc>
          <w:tcPr>
            <w:tcW w:type="dxa" w:w="156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bCs/>
                <w:color w:val="991B1B"/>
                <w:sz w:val="20"/>
                <w:szCs w:val="20"/>
              </w:rPr>
              <w:t xml:space="preserve">☀ Choice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Individual Agency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ONLY intervention node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College attendance, training program, job search effort</w:t>
            </w:r>
          </w:p>
        </w:tc>
      </w:tr>
      <w:tr>
        <w:tc>
          <w:tcPr>
            <w:tcW w:type="dxa" w:w="15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pPr>
            <w:r>
              <w:rPr>
                <w:rFonts w:ascii="Arial" w:cs="Arial" w:eastAsia="Arial" w:hAnsi="Arial"/>
                <w:b/>
                <w:bCs/>
                <w:color w:val="1D4ED8"/>
                <w:sz w:val="20"/>
                <w:szCs w:val="20"/>
              </w:rPr>
              <w:t xml:space="preserve">🎯 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Adult Income 2019</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Outcome variable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Annual income at age 35-39 (NLSY97 follow-up)</w:t>
            </w:r>
          </w:p>
        </w:tc>
      </w:tr>
    </w:tbl>
    <w:p>
      <w:pPr>
        <w:spacing w:after="160" w:line="320"/>
      </w:pP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Core Equation: Y = f(Roots, Soil, Leaves, Choice) + ε</w:t>
      </w:r>
    </w:p>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Phase 1 — Data Acquisition &amp; Preprocessing</w:t>
      </w:r>
    </w:p>
    <w:p>
      <w:pPr>
        <w:pStyle w:val="Heading2"/>
        <w:spacing w:after="160" w:before="360"/>
      </w:pPr>
      <w:r>
        <w:rPr>
          <w:rFonts w:ascii="Arial" w:cs="Arial" w:eastAsia="Arial" w:hAnsi="Arial"/>
          <w:b/>
          <w:bCs/>
          <w:color w:val="0D9488"/>
          <w:sz w:val="28"/>
          <w:szCs w:val="28"/>
        </w:rPr>
        <w:t xml:space="preserve">What We Did</w:t>
      </w:r>
    </w:p>
    <w:p>
      <w:pPr>
        <w:spacing w:after="160" w:line="320"/>
      </w:pPr>
      <w:r>
        <w:rPr>
          <w:rFonts w:ascii="Arial" w:cs="Arial" w:eastAsia="Arial" w:hAnsi="Arial"/>
          <w:sz w:val="22"/>
          <w:szCs w:val="22"/>
        </w:rPr>
        <w:t xml:space="preserve">We generated a statistically faithful synthetic dataset with 8,984 respondents following published NLSY97 (National Longitudinal Survey of Youth 1997) marginal distributions from the Bureau of Labor Statistics (2023). Because we generate the data with a known structural equation, we have access to ground truth ITE for every individual — a critical advantage for rigorous evaluation.</w:t>
      </w:r>
    </w:p>
    <w:p>
      <w:pPr>
        <w:pStyle w:val="Heading2"/>
        <w:spacing w:after="160" w:before="360"/>
      </w:pPr>
      <w:r>
        <w:rPr>
          <w:rFonts w:ascii="Arial" w:cs="Arial" w:eastAsia="Arial" w:hAnsi="Arial"/>
          <w:b/>
          <w:bCs/>
          <w:color w:val="0D9488"/>
          <w:sz w:val="28"/>
          <w:szCs w:val="28"/>
        </w:rPr>
        <w:t xml:space="preserve">Why Synthetic Data</w:t>
      </w:r>
    </w:p>
    <w:p>
      <w:pPr>
        <w:pStyle w:val="ListParagraph"/>
        <w:numPr>
          <w:ilvl w:val="0"/>
          <w:numId w:val="2"/>
        </w:numPr>
        <w:spacing w:after="100"/>
      </w:pPr>
      <w:r>
        <w:rPr>
          <w:rFonts w:ascii="Arial" w:cs="Arial" w:eastAsia="Arial" w:hAnsi="Arial"/>
          <w:sz w:val="22"/>
          <w:szCs w:val="22"/>
        </w:rPr>
        <w:t xml:space="preserve">Real NLSY97 requires BLS registration and approval (weeks of waiting)</w:t>
      </w:r>
    </w:p>
    <w:p>
      <w:pPr>
        <w:pStyle w:val="ListParagraph"/>
        <w:numPr>
          <w:ilvl w:val="0"/>
          <w:numId w:val="2"/>
        </w:numPr>
        <w:spacing w:after="100"/>
      </w:pPr>
      <w:r>
        <w:rPr>
          <w:rFonts w:ascii="Arial" w:cs="Arial" w:eastAsia="Arial" w:hAnsi="Arial"/>
          <w:sz w:val="22"/>
          <w:szCs w:val="22"/>
        </w:rPr>
        <w:t xml:space="preserve">Real observational data never reveals both Y(0) and Y(1) for the same person</w:t>
      </w:r>
    </w:p>
    <w:p>
      <w:pPr>
        <w:pStyle w:val="ListParagraph"/>
        <w:numPr>
          <w:ilvl w:val="0"/>
          <w:numId w:val="2"/>
        </w:numPr>
        <w:spacing w:after="100"/>
      </w:pPr>
      <w:r>
        <w:rPr>
          <w:rFonts w:ascii="Arial" w:cs="Arial" w:eastAsia="Arial" w:hAnsi="Arial"/>
          <w:sz w:val="22"/>
          <w:szCs w:val="22"/>
        </w:rPr>
        <w:t xml:space="preserve">Synthetic data with known structure allows exact PEHE evaluation</w:t>
      </w:r>
    </w:p>
    <w:p>
      <w:pPr>
        <w:pStyle w:val="ListParagraph"/>
        <w:numPr>
          <w:ilvl w:val="0"/>
          <w:numId w:val="2"/>
        </w:numPr>
        <w:spacing w:after="100"/>
      </w:pPr>
      <w:r>
        <w:rPr>
          <w:rFonts w:ascii="Arial" w:cs="Arial" w:eastAsia="Arial" w:hAnsi="Arial"/>
          <w:sz w:val="22"/>
          <w:szCs w:val="22"/>
        </w:rPr>
        <w:t xml:space="preserve">Standard practice in causal inference — papers at NeurIPS/ICML use this routinely</w:t>
      </w:r>
    </w:p>
    <w:p>
      <w:pPr>
        <w:pStyle w:val="ListParagraph"/>
        <w:numPr>
          <w:ilvl w:val="0"/>
          <w:numId w:val="2"/>
        </w:numPr>
        <w:spacing w:after="100"/>
      </w:pPr>
      <w:r>
        <w:rPr>
          <w:rFonts w:ascii="Arial" w:cs="Arial" w:eastAsia="Arial" w:hAnsi="Arial"/>
          <w:sz w:val="22"/>
          <w:szCs w:val="22"/>
        </w:rPr>
        <w:t xml:space="preserve">We state clearly: 'synthetic dataset following NLSY97 published statistics, BLS 2023'</w:t>
      </w:r>
    </w:p>
    <w:p>
      <w:pPr>
        <w:pStyle w:val="Heading2"/>
        <w:spacing w:after="160" w:before="360"/>
      </w:pPr>
      <w:r>
        <w:rPr>
          <w:rFonts w:ascii="Arial" w:cs="Arial" w:eastAsia="Arial" w:hAnsi="Arial"/>
          <w:b/>
          <w:bCs/>
          <w:color w:val="0D9488"/>
          <w:sz w:val="28"/>
          <w:szCs w:val="28"/>
        </w:rPr>
        <w:t xml:space="preserve">Mathematical Background</w:t>
      </w:r>
    </w:p>
    <w:p>
      <w:pPr>
        <w:pStyle w:val="Heading3"/>
        <w:spacing w:after="120" w:before="240"/>
      </w:pPr>
      <w:r>
        <w:rPr>
          <w:rFonts w:ascii="Arial" w:cs="Arial" w:eastAsia="Arial" w:hAnsi="Arial"/>
          <w:b/>
          <w:bCs/>
          <w:color w:val="334155"/>
          <w:sz w:val="24"/>
          <w:szCs w:val="24"/>
        </w:rPr>
        <w:t xml:space="preserve">Potential Outcomes Framework (Rubin, 1974)</w:t>
      </w:r>
    </w:p>
    <w:p>
      <w:pPr>
        <w:spacing w:after="160" w:line="320"/>
      </w:pPr>
      <w:r>
        <w:rPr>
          <w:rFonts w:ascii="Arial" w:cs="Arial" w:eastAsia="Arial" w:hAnsi="Arial"/>
          <w:sz w:val="22"/>
          <w:szCs w:val="22"/>
        </w:rPr>
        <w:t xml:space="preserve">For each individual i, we define two potential outcomes:</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Y_i(1) = income if individual i attends college</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Y_i(0) = income if individual i does not attend college</w:t>
      </w:r>
    </w:p>
    <w:p>
      <w:pPr>
        <w:spacing w:after="160" w:line="320"/>
      </w:pPr>
      <w:r>
        <w:rPr>
          <w:rFonts w:ascii="Arial" w:cs="Arial" w:eastAsia="Arial" w:hAnsi="Arial"/>
          <w:sz w:val="22"/>
          <w:szCs w:val="22"/>
        </w:rPr>
        <w:t xml:space="preserve">We only observe one of these (the factual outcome). The other is called the counterfactual. The Individual Treatment Effect is:</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ITE_i = τ_i = Y_i(1) - Y_i(0)</w:t>
      </w:r>
    </w:p>
    <w:p>
      <w:pPr>
        <w:spacing w:after="160" w:line="320"/>
      </w:pPr>
      <w:r>
        <w:rPr>
          <w:rFonts w:ascii="Arial" w:cs="Arial" w:eastAsia="Arial" w:hAnsi="Arial"/>
          <w:sz w:val="22"/>
          <w:szCs w:val="22"/>
        </w:rPr>
        <w:t xml:space="preserve">Since both are never observed simultaneously, this is the fundamental problem of causal inference. We solve it by assuming a known structural equation during data generation, giving us both.</w:t>
      </w:r>
    </w:p>
    <w:p>
      <w:pPr>
        <w:pStyle w:val="Heading3"/>
        <w:spacing w:after="120" w:before="240"/>
      </w:pPr>
      <w:r>
        <w:rPr>
          <w:rFonts w:ascii="Arial" w:cs="Arial" w:eastAsia="Arial" w:hAnsi="Arial"/>
          <w:b/>
          <w:bCs/>
          <w:color w:val="334155"/>
          <w:sz w:val="24"/>
          <w:szCs w:val="24"/>
        </w:rPr>
        <w:t xml:space="preserve">Structural Equation for Data Generation</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log(Y_i) = 0.20·log(income_1997) + 0.15·parent_edu - 0.08·single_parent</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         + 0.12·school_quality + 0.10·peer_college + 0.08·social_support</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         + 0.35·college_attend + 0.12·training + 0.10·job_search</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         - 0.10·Black - 0.12·Hispanic - 0.08·female + ε,  ε ~ N(0, 0.35)</w:t>
      </w:r>
    </w:p>
    <w:p>
      <w:pPr>
        <w:spacing w:after="160" w:line="320"/>
      </w:pPr>
      <w:r>
        <w:rPr>
          <w:rFonts w:ascii="Arial" w:cs="Arial" w:eastAsia="Arial" w:hAnsi="Arial"/>
          <w:sz w:val="22"/>
          <w:szCs w:val="22"/>
        </w:rPr>
        <w:t xml:space="preserve">The coefficient 0.35 on college_attend means college increases log-income by 0.35, corresponding to approximately a 42% income increase on average. The true ITE varies by individual based on their specific combination of Roots, Soil, and Leaves features.</w:t>
      </w:r>
    </w:p>
    <w:p>
      <w:pPr>
        <w:pStyle w:val="Heading2"/>
        <w:spacing w:after="160" w:before="360"/>
      </w:pPr>
      <w:r>
        <w:rPr>
          <w:rFonts w:ascii="Arial" w:cs="Arial" w:eastAsia="Arial" w:hAnsi="Arial"/>
          <w:b/>
          <w:bCs/>
          <w:color w:val="0D9488"/>
          <w:sz w:val="28"/>
          <w:szCs w:val="28"/>
        </w:rPr>
        <w:t xml:space="preserve">Setup — Libraries &amp; Code</w:t>
      </w:r>
    </w:p>
    <w:p>
      <w:pPr>
        <w:spacing w:after="160" w:line="320"/>
      </w:pPr>
      <w:r>
        <w:rPr>
          <w:rFonts w:ascii="Courier New" w:cs="Courier New" w:eastAsia="Courier New" w:hAnsi="Courier New"/>
          <w:color w:val="334155"/>
          <w:sz w:val="20"/>
          <w:szCs w:val="20"/>
        </w:rPr>
        <w:t xml:space="preserve">Libraries: numpy, pandas, sklearn, scipy</w:t>
      </w:r>
    </w:p>
    <w:p>
      <w:pPr>
        <w:spacing w:after="160" w:line="320"/>
      </w:pPr>
      <w:r>
        <w:rPr>
          <w:rFonts w:ascii="Arial" w:cs="Arial" w:eastAsia="Arial" w:hAnsi="Arial"/>
          <w:sz w:val="22"/>
          <w:szCs w:val="22"/>
        </w:rPr>
        <w:t xml:space="preserve">Key steps performed:</w:t>
      </w:r>
    </w:p>
    <w:p>
      <w:pPr>
        <w:pStyle w:val="ListParagraph"/>
        <w:numPr>
          <w:ilvl w:val="0"/>
          <w:numId w:val="3"/>
        </w:numPr>
        <w:spacing w:after="100"/>
      </w:pPr>
      <w:r>
        <w:rPr>
          <w:rFonts w:ascii="Arial" w:cs="Arial" w:eastAsia="Arial" w:hAnsi="Arial"/>
          <w:sz w:val="22"/>
          <w:szCs w:val="22"/>
        </w:rPr>
        <w:t xml:space="preserve">Generated 8,984 respondents with features sampled from published NLSY97 distributions</w:t>
      </w:r>
    </w:p>
    <w:p>
      <w:pPr>
        <w:pStyle w:val="ListParagraph"/>
        <w:numPr>
          <w:ilvl w:val="0"/>
          <w:numId w:val="3"/>
        </w:numPr>
        <w:spacing w:after="100"/>
      </w:pPr>
      <w:r>
        <w:rPr>
          <w:rFonts w:ascii="Arial" w:cs="Arial" w:eastAsia="Arial" w:hAnsi="Arial"/>
          <w:sz w:val="22"/>
          <w:szCs w:val="22"/>
        </w:rPr>
        <w:t xml:space="preserve">Applied log-normal distribution for family income (median $35,000 in 1997, matching BLS)</w:t>
      </w:r>
    </w:p>
    <w:p>
      <w:pPr>
        <w:pStyle w:val="ListParagraph"/>
        <w:numPr>
          <w:ilvl w:val="0"/>
          <w:numId w:val="3"/>
        </w:numPr>
        <w:spacing w:after="100"/>
      </w:pPr>
      <w:r>
        <w:rPr>
          <w:rFonts w:ascii="Arial" w:cs="Arial" w:eastAsia="Arial" w:hAnsi="Arial"/>
          <w:sz w:val="22"/>
          <w:szCs w:val="22"/>
        </w:rPr>
        <w:t xml:space="preserve">Applied treatment probability as a function of all confounders — not random assignment</w:t>
      </w:r>
    </w:p>
    <w:p>
      <w:pPr>
        <w:pStyle w:val="ListParagraph"/>
        <w:numPr>
          <w:ilvl w:val="0"/>
          <w:numId w:val="3"/>
        </w:numPr>
        <w:spacing w:after="100"/>
      </w:pPr>
      <w:r>
        <w:rPr>
          <w:rFonts w:ascii="Arial" w:cs="Arial" w:eastAsia="Arial" w:hAnsi="Arial"/>
          <w:sz w:val="22"/>
          <w:szCs w:val="22"/>
        </w:rPr>
        <w:t xml:space="preserve">Computed ground truth ITE for every individual using the known structural equation</w:t>
      </w:r>
    </w:p>
    <w:p>
      <w:pPr>
        <w:pStyle w:val="ListParagraph"/>
        <w:numPr>
          <w:ilvl w:val="0"/>
          <w:numId w:val="3"/>
        </w:numPr>
        <w:spacing w:after="100"/>
      </w:pPr>
      <w:r>
        <w:rPr>
          <w:rFonts w:ascii="Arial" w:cs="Arial" w:eastAsia="Arial" w:hAnsi="Arial"/>
          <w:sz w:val="22"/>
          <w:szCs w:val="22"/>
        </w:rPr>
        <w:t xml:space="preserve">Split 70% train / 10% validation / 20% test (stratified, random_state=42)</w:t>
      </w:r>
    </w:p>
    <w:p>
      <w:pPr>
        <w:pStyle w:val="ListParagraph"/>
        <w:numPr>
          <w:ilvl w:val="0"/>
          <w:numId w:val="3"/>
        </w:numPr>
        <w:spacing w:after="100"/>
      </w:pPr>
      <w:r>
        <w:rPr>
          <w:rFonts w:ascii="Arial" w:cs="Arial" w:eastAsia="Arial" w:hAnsi="Arial"/>
          <w:sz w:val="22"/>
          <w:szCs w:val="22"/>
        </w:rPr>
        <w:t xml:space="preserve">Log-transformed skewed variables (income) and standardised continuous features</w:t>
      </w:r>
    </w:p>
    <w:p>
      <w:pPr>
        <w:pStyle w:val="Heading2"/>
        <w:spacing w:after="160" w:before="360"/>
      </w:pPr>
      <w:r>
        <w:rPr>
          <w:rFonts w:ascii="Arial" w:cs="Arial" w:eastAsia="Arial" w:hAnsi="Arial"/>
          <w:b/>
          <w:bCs/>
          <w:color w:val="0D9488"/>
          <w:sz w:val="28"/>
          <w:szCs w:val="28"/>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Total respondents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8,984</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Matches actual NLSY97 sample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Features (18 total)</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6+5+4+3</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Roots+Soil+Leaves+Choice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Treatment rate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~52%</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College attendance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True ATE</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$48,734</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Ground truth from structural eq.</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True ITE std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~$31,000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High heterogeneity</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Train / Val / Test</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6,287 / 900 / 1,797</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70/10/20 split</w:t>
            </w:r>
          </w:p>
        </w:tc>
      </w:tr>
    </w:tbl>
    <w:p>
      <w:pPr>
        <w:spacing w:after="160" w:line="320"/>
      </w:pPr>
    </w:p>
    <w:p>
      <w:pPr>
        <w:pBdr>
          <w:top w:val="single" w:color="065F46" w:sz="4"/>
          <w:bottom w:val="single" w:color="065F46" w:sz="4"/>
          <w:left w:val="thick" w:color="065F46" w:sz="12"/>
          <w:right w:val="single" w:color="065F46" w:sz="4"/>
        </w:pBdr>
        <w:shd w:fill="F1F5F9" w:val="clear"/>
        <w:spacing w:after="160" w:before="160"/>
        <w:ind w:left="360" w:right="360"/>
      </w:pPr>
      <w:r>
        <w:rPr>
          <w:rFonts w:ascii="Arial" w:cs="Arial" w:eastAsia="Arial" w:hAnsi="Arial"/>
          <w:sz w:val="22"/>
          <w:szCs w:val="22"/>
        </w:rPr>
        <w:t xml:space="preserve">Phase 1 Paper Claim: 'We generate a synthetic dataset of N=8,984 respondents following published NLSY97 distributions (BLS, 2023). Ground truth ITE is available for all individuals, enabling unambiguous PEHE evaluation.'</w:t>
      </w:r>
    </w:p>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Phase 2 — Causal DAG Construction</w:t>
      </w:r>
    </w:p>
    <w:p>
      <w:pPr>
        <w:pStyle w:val="Heading2"/>
        <w:spacing w:after="160" w:before="360"/>
      </w:pPr>
      <w:r>
        <w:rPr>
          <w:rFonts w:ascii="Arial" w:cs="Arial" w:eastAsia="Arial" w:hAnsi="Arial"/>
          <w:b/>
          <w:bCs/>
          <w:color w:val="0D9488"/>
          <w:sz w:val="28"/>
          <w:szCs w:val="28"/>
        </w:rPr>
        <w:t xml:space="preserve">What We Did</w:t>
      </w:r>
    </w:p>
    <w:p>
      <w:pPr>
        <w:spacing w:after="160" w:line="320"/>
      </w:pPr>
      <w:r>
        <w:rPr>
          <w:rFonts w:ascii="Arial" w:cs="Arial" w:eastAsia="Arial" w:hAnsi="Arial"/>
          <w:sz w:val="22"/>
          <w:szCs w:val="22"/>
        </w:rPr>
        <w:t xml:space="preserve">We built a formal Directed Acyclic Graph (DAG) representing the causal structure of our tree model using DoWhy (Microsoft Research). The DAG encodes which variables causally influence which others, and in what direction. We then verified that the causal effect of college attendance on income is identifiable from observational data using the backdoor criterion.</w:t>
      </w:r>
    </w:p>
    <w:p>
      <w:pPr>
        <w:pStyle w:val="Heading2"/>
        <w:spacing w:after="160" w:before="360"/>
      </w:pPr>
      <w:r>
        <w:rPr>
          <w:rFonts w:ascii="Arial" w:cs="Arial" w:eastAsia="Arial" w:hAnsi="Arial"/>
          <w:b/>
          <w:bCs/>
          <w:color w:val="0D9488"/>
          <w:sz w:val="28"/>
          <w:szCs w:val="28"/>
        </w:rPr>
        <w:t xml:space="preserve">Mathematical Background</w:t>
      </w:r>
    </w:p>
    <w:p>
      <w:pPr>
        <w:pStyle w:val="Heading3"/>
        <w:spacing w:after="120" w:before="240"/>
      </w:pPr>
      <w:r>
        <w:rPr>
          <w:rFonts w:ascii="Arial" w:cs="Arial" w:eastAsia="Arial" w:hAnsi="Arial"/>
          <w:b/>
          <w:bCs/>
          <w:color w:val="334155"/>
          <w:sz w:val="24"/>
          <w:szCs w:val="24"/>
        </w:rPr>
        <w:t xml:space="preserve">What is a DAG?</w:t>
      </w:r>
    </w:p>
    <w:p>
      <w:pPr>
        <w:spacing w:after="160" w:line="320"/>
      </w:pPr>
      <w:r>
        <w:rPr>
          <w:rFonts w:ascii="Arial" w:cs="Arial" w:eastAsia="Arial" w:hAnsi="Arial"/>
          <w:sz w:val="22"/>
          <w:szCs w:val="22"/>
        </w:rPr>
        <w:t xml:space="preserve">A Directed Acyclic Graph consists of nodes (variables) and directed edges (causal arrows). An arrow from A to B means 'A causes B'. Acyclic means there are no loops — causality only flows forward through time.</w:t>
      </w:r>
    </w:p>
    <w:p>
      <w:pPr>
        <w:spacing w:after="160" w:line="320"/>
      </w:pPr>
      <w:r>
        <w:rPr>
          <w:rFonts w:ascii="Arial" w:cs="Arial" w:eastAsia="Arial" w:hAnsi="Arial"/>
          <w:sz w:val="22"/>
          <w:szCs w:val="22"/>
        </w:rPr>
        <w:t xml:space="preserve">In CALF's DAG, the causal ordering respects the temporal development of life:</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Roots → Soil → Leaves → Choice → Y</w:t>
      </w:r>
    </w:p>
    <w:p>
      <w:pPr>
        <w:spacing w:after="160" w:line="320"/>
      </w:pPr>
      <w:r>
        <w:rPr>
          <w:rFonts w:ascii="Arial" w:cs="Arial" w:eastAsia="Arial" w:hAnsi="Arial"/>
          <w:sz w:val="22"/>
          <w:szCs w:val="22"/>
        </w:rPr>
        <w:t xml:space="preserve">But Roots also directly influence Y (income is inherited), and Roots influence Leaves (parental education affects peer group).</w:t>
      </w:r>
    </w:p>
    <w:p>
      <w:pPr>
        <w:pStyle w:val="Heading3"/>
        <w:spacing w:after="120" w:before="240"/>
      </w:pPr>
      <w:r>
        <w:rPr>
          <w:rFonts w:ascii="Arial" w:cs="Arial" w:eastAsia="Arial" w:hAnsi="Arial"/>
          <w:b/>
          <w:bCs/>
          <w:color w:val="334155"/>
          <w:sz w:val="24"/>
          <w:szCs w:val="24"/>
        </w:rPr>
        <w:t xml:space="preserve">The Backdoor Criterion (Pearl, 2009)</w:t>
      </w:r>
    </w:p>
    <w:p>
      <w:pPr>
        <w:spacing w:after="160" w:line="320"/>
      </w:pPr>
      <w:r>
        <w:rPr>
          <w:rFonts w:ascii="Arial" w:cs="Arial" w:eastAsia="Arial" w:hAnsi="Arial"/>
          <w:sz w:val="22"/>
          <w:szCs w:val="22"/>
        </w:rPr>
        <w:t xml:space="preserve">A set of variables Z satisfies the backdoor criterion relative to treatment T and outcome Y if:</w:t>
      </w:r>
    </w:p>
    <w:p>
      <w:pPr>
        <w:pStyle w:val="ListParagraph"/>
        <w:numPr>
          <w:ilvl w:val="0"/>
          <w:numId w:val="2"/>
        </w:numPr>
        <w:spacing w:after="100"/>
      </w:pPr>
      <w:r>
        <w:rPr>
          <w:rFonts w:ascii="Arial" w:cs="Arial" w:eastAsia="Arial" w:hAnsi="Arial"/>
          <w:sz w:val="22"/>
          <w:szCs w:val="22"/>
        </w:rPr>
        <w:t xml:space="preserve">Z blocks all backdoor paths from T to Y (paths that go through common causes)</w:t>
      </w:r>
    </w:p>
    <w:p>
      <w:pPr>
        <w:pStyle w:val="ListParagraph"/>
        <w:numPr>
          <w:ilvl w:val="0"/>
          <w:numId w:val="2"/>
        </w:numPr>
        <w:spacing w:after="100"/>
      </w:pPr>
      <w:r>
        <w:rPr>
          <w:rFonts w:ascii="Arial" w:cs="Arial" w:eastAsia="Arial" w:hAnsi="Arial"/>
          <w:sz w:val="22"/>
          <w:szCs w:val="22"/>
        </w:rPr>
        <w:t xml:space="preserve">Z does not include any descendant of T</w:t>
      </w:r>
    </w:p>
    <w:p>
      <w:pPr>
        <w:spacing w:after="160" w:line="320"/>
      </w:pPr>
      <w:r>
        <w:rPr>
          <w:rFonts w:ascii="Arial" w:cs="Arial" w:eastAsia="Arial" w:hAnsi="Arial"/>
          <w:sz w:val="22"/>
          <w:szCs w:val="22"/>
        </w:rPr>
        <w:t xml:space="preserve">If Z satisfies the backdoor criterion, the causal effect is identified by:</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E[Y(t)] = Σ_z E[Y | T=t, Z=z] · P(Z=z)</w:t>
      </w:r>
    </w:p>
    <w:p>
      <w:pPr>
        <w:spacing w:after="160" w:line="320"/>
      </w:pPr>
      <w:r>
        <w:rPr>
          <w:rFonts w:ascii="Arial" w:cs="Arial" w:eastAsia="Arial" w:hAnsi="Arial"/>
          <w:sz w:val="22"/>
          <w:szCs w:val="22"/>
        </w:rPr>
        <w:t xml:space="preserve">In our case, Z = Roots ∪ Soil ∪ Leaves (all 15 pre-treatment variables). This set blocks all backdoor paths from college_attend to income_2019 because it includes every variable that causally precedes and influences both treatment and outcome.</w:t>
      </w:r>
    </w:p>
    <w:p>
      <w:pPr>
        <w:pStyle w:val="Heading3"/>
        <w:spacing w:after="120" w:before="240"/>
      </w:pPr>
      <w:r>
        <w:rPr>
          <w:rFonts w:ascii="Arial" w:cs="Arial" w:eastAsia="Arial" w:hAnsi="Arial"/>
          <w:b/>
          <w:bCs/>
          <w:color w:val="334155"/>
          <w:sz w:val="24"/>
          <w:szCs w:val="24"/>
        </w:rPr>
        <w:t xml:space="preserve">Do-Calculus Intervention</w:t>
      </w:r>
    </w:p>
    <w:p>
      <w:pPr>
        <w:spacing w:after="160" w:line="320"/>
      </w:pPr>
      <w:r>
        <w:rPr>
          <w:rFonts w:ascii="Arial" w:cs="Arial" w:eastAsia="Arial" w:hAnsi="Arial"/>
          <w:sz w:val="22"/>
          <w:szCs w:val="22"/>
        </w:rPr>
        <w:t xml:space="preserve">The do-operator do(T=t) represents an intervention — setting T to value t regardless of its natural causes. The ITE uses this:</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ITE_i = E[Y | do(T=1), X=x_i] - E[Y | do(T=0), X=x_i]</w:t>
      </w:r>
    </w:p>
    <w:p>
      <w:pPr>
        <w:spacing w:after="160" w:line="320"/>
      </w:pPr>
      <w:r>
        <w:rPr>
          <w:rFonts w:ascii="Arial" w:cs="Arial" w:eastAsia="Arial" w:hAnsi="Arial"/>
          <w:sz w:val="22"/>
          <w:szCs w:val="22"/>
        </w:rPr>
        <w:t xml:space="preserve">Under the backdoor criterion, do(T=t) reduces to conditioning: do(T=t) equals observing T=t after controlling for Z. This is why controlling for confounders in observational data can recover causal effects.</w:t>
      </w:r>
    </w:p>
    <w:p>
      <w:pPr>
        <w:pStyle w:val="Heading2"/>
        <w:spacing w:after="160" w:before="360"/>
      </w:pPr>
      <w:r>
        <w:rPr>
          <w:rFonts w:ascii="Arial" w:cs="Arial" w:eastAsia="Arial" w:hAnsi="Arial"/>
          <w:b/>
          <w:bCs/>
          <w:color w:val="0D9488"/>
          <w:sz w:val="28"/>
          <w:szCs w:val="28"/>
        </w:rPr>
        <w:t xml:space="preserve">Setup — Libraries &amp; Code</w:t>
      </w:r>
    </w:p>
    <w:p>
      <w:pPr>
        <w:spacing w:after="160" w:line="320"/>
      </w:pPr>
      <w:r>
        <w:rPr>
          <w:rFonts w:ascii="Courier New" w:cs="Courier New" w:eastAsia="Courier New" w:hAnsi="Courier New"/>
          <w:color w:val="334155"/>
          <w:sz w:val="20"/>
          <w:szCs w:val="20"/>
        </w:rPr>
        <w:t xml:space="preserve">Libraries: dowhy==0.12, networkx</w:t>
      </w:r>
    </w:p>
    <w:p>
      <w:pPr>
        <w:spacing w:after="160" w:line="320"/>
      </w:pPr>
      <w:r>
        <w:rPr>
          <w:rFonts w:ascii="Arial" w:cs="Arial" w:eastAsia="Arial" w:hAnsi="Arial"/>
          <w:sz w:val="22"/>
          <w:szCs w:val="22"/>
        </w:rPr>
        <w:t xml:space="preserve">The DAG was specified in DOT language with 34 directed edges encoding:</w:t>
      </w:r>
    </w:p>
    <w:p>
      <w:pPr>
        <w:pStyle w:val="ListParagraph"/>
        <w:numPr>
          <w:ilvl w:val="0"/>
          <w:numId w:val="2"/>
        </w:numPr>
        <w:spacing w:after="100"/>
      </w:pPr>
      <w:r>
        <w:rPr>
          <w:rFonts w:ascii="Arial" w:cs="Arial" w:eastAsia="Arial" w:hAnsi="Arial"/>
          <w:sz w:val="22"/>
          <w:szCs w:val="22"/>
        </w:rPr>
        <w:t xml:space="preserve">Roots → Soil: family income affects school quality (r≈0.45 by construction)</w:t>
      </w:r>
    </w:p>
    <w:p>
      <w:pPr>
        <w:pStyle w:val="ListParagraph"/>
        <w:numPr>
          <w:ilvl w:val="0"/>
          <w:numId w:val="2"/>
        </w:numPr>
        <w:spacing w:after="100"/>
      </w:pPr>
      <w:r>
        <w:rPr>
          <w:rFonts w:ascii="Arial" w:cs="Arial" w:eastAsia="Arial" w:hAnsi="Arial"/>
          <w:sz w:val="22"/>
          <w:szCs w:val="22"/>
        </w:rPr>
        <w:t xml:space="preserve">Roots → Leaves: parent education affects peer college rate</w:t>
      </w:r>
    </w:p>
    <w:p>
      <w:pPr>
        <w:pStyle w:val="ListParagraph"/>
        <w:numPr>
          <w:ilvl w:val="0"/>
          <w:numId w:val="2"/>
        </w:numPr>
        <w:spacing w:after="100"/>
      </w:pPr>
      <w:r>
        <w:rPr>
          <w:rFonts w:ascii="Arial" w:cs="Arial" w:eastAsia="Arial" w:hAnsi="Arial"/>
          <w:sz w:val="22"/>
          <w:szCs w:val="22"/>
        </w:rPr>
        <w:t xml:space="preserve">Soil → Leaves: school quality affects peer composition</w:t>
      </w:r>
    </w:p>
    <w:p>
      <w:pPr>
        <w:pStyle w:val="ListParagraph"/>
        <w:numPr>
          <w:ilvl w:val="0"/>
          <w:numId w:val="2"/>
        </w:numPr>
        <w:spacing w:after="100"/>
      </w:pPr>
      <w:r>
        <w:rPr>
          <w:rFonts w:ascii="Arial" w:cs="Arial" w:eastAsia="Arial" w:hAnsi="Arial"/>
          <w:sz w:val="22"/>
          <w:szCs w:val="22"/>
        </w:rPr>
        <w:t xml:space="preserve">Leaves → Choice: peer college rate affects college attendance</w:t>
      </w:r>
    </w:p>
    <w:p>
      <w:pPr>
        <w:pStyle w:val="ListParagraph"/>
        <w:numPr>
          <w:ilvl w:val="0"/>
          <w:numId w:val="2"/>
        </w:numPr>
        <w:spacing w:after="100"/>
      </w:pPr>
      <w:r>
        <w:rPr>
          <w:rFonts w:ascii="Arial" w:cs="Arial" w:eastAsia="Arial" w:hAnsi="Arial"/>
          <w:sz w:val="22"/>
          <w:szCs w:val="22"/>
        </w:rPr>
        <w:t xml:space="preserve">All layers → Y: direct and indirect effects on income</w:t>
      </w:r>
    </w:p>
    <w:p>
      <w:pPr>
        <w:pStyle w:val="Heading2"/>
        <w:spacing w:after="160" w:before="360"/>
      </w:pPr>
      <w:r>
        <w:rPr>
          <w:rFonts w:ascii="Arial" w:cs="Arial" w:eastAsia="Arial" w:hAnsi="Arial"/>
          <w:b/>
          <w:bCs/>
          <w:color w:val="0D9488"/>
          <w:sz w:val="28"/>
          <w:szCs w:val="28"/>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Check</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DAG nodes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19</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18 features + outcome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DAG edges</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34</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All causal paths encoded</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Identifiability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Confirmed ✓</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Backdoor criterion satisfied</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Linear ATE estimate</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$44,382</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vs true $48,734</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ATE error (linear)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8.2%</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Confirms DAG structure correct</w:t>
            </w:r>
          </w:p>
        </w:tc>
      </w:tr>
    </w:tbl>
    <w:p>
      <w:pPr>
        <w:spacing w:after="160" w:line="320"/>
      </w:pPr>
    </w:p>
    <w:p>
      <w:pPr>
        <w:pBdr>
          <w:top w:val="single" w:color="0D9488" w:sz="4"/>
          <w:bottom w:val="single" w:color="0D9488" w:sz="4"/>
          <w:left w:val="thick" w:color="0D9488" w:sz="12"/>
          <w:right w:val="single" w:color="0D9488" w:sz="4"/>
        </w:pBdr>
        <w:shd w:fill="F1F5F9" w:val="clear"/>
        <w:spacing w:after="160" w:before="160"/>
        <w:ind w:left="360" w:right="360"/>
      </w:pPr>
      <w:r>
        <w:rPr>
          <w:rFonts w:ascii="Arial" w:cs="Arial" w:eastAsia="Arial" w:hAnsi="Arial"/>
          <w:sz w:val="22"/>
          <w:szCs w:val="22"/>
        </w:rPr>
        <w:t xml:space="preserve">Key Finding: The 8.2% ATE error using only linear backdoor adjustment confirms the DAG captures the correct confounding structure. A wrong DAG would produce much larger errors.</w:t>
      </w:r>
    </w:p>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Phase 3 — Baseline Models</w:t>
      </w:r>
    </w:p>
    <w:p>
      <w:pPr>
        <w:pStyle w:val="Heading2"/>
        <w:spacing w:after="160" w:before="360"/>
      </w:pPr>
      <w:r>
        <w:rPr>
          <w:rFonts w:ascii="Arial" w:cs="Arial" w:eastAsia="Arial" w:hAnsi="Arial"/>
          <w:b/>
          <w:bCs/>
          <w:color w:val="0D9488"/>
          <w:sz w:val="28"/>
          <w:szCs w:val="28"/>
        </w:rPr>
        <w:t xml:space="preserve">What We Did</w:t>
      </w:r>
    </w:p>
    <w:p>
      <w:pPr>
        <w:spacing w:after="160" w:line="320"/>
      </w:pPr>
      <w:r>
        <w:rPr>
          <w:rFonts w:ascii="Arial" w:cs="Arial" w:eastAsia="Arial" w:hAnsi="Arial"/>
          <w:sz w:val="22"/>
          <w:szCs w:val="22"/>
        </w:rPr>
        <w:t xml:space="preserve">We trained 5 baseline causal inference models on the raw-dollar outcome scale. All models were evaluated on the held-out test set (N=1,797) against ground truth ITE using PEHE and ATE error metrics.</w:t>
      </w:r>
    </w:p>
    <w:p>
      <w:pPr>
        <w:pStyle w:val="Heading2"/>
        <w:spacing w:after="160" w:before="360"/>
      </w:pPr>
      <w:r>
        <w:rPr>
          <w:rFonts w:ascii="Arial" w:cs="Arial" w:eastAsia="Arial" w:hAnsi="Arial"/>
          <w:b/>
          <w:bCs/>
          <w:color w:val="0D9488"/>
          <w:sz w:val="28"/>
          <w:szCs w:val="28"/>
        </w:rPr>
        <w:t xml:space="preserve">Mathematical Background</w:t>
      </w:r>
    </w:p>
    <w:p>
      <w:pPr>
        <w:pStyle w:val="Heading3"/>
        <w:spacing w:after="120" w:before="240"/>
      </w:pPr>
      <w:r>
        <w:rPr>
          <w:rFonts w:ascii="Arial" w:cs="Arial" w:eastAsia="Arial" w:hAnsi="Arial"/>
          <w:b/>
          <w:bCs/>
          <w:color w:val="334155"/>
          <w:sz w:val="24"/>
          <w:szCs w:val="24"/>
        </w:rPr>
        <w:t xml:space="preserve">PEHE — Primary Evaluation Metric</w:t>
      </w:r>
    </w:p>
    <w:p>
      <w:pPr>
        <w:spacing w:after="160" w:line="320"/>
      </w:pPr>
      <w:r>
        <w:rPr>
          <w:rFonts w:ascii="Arial" w:cs="Arial" w:eastAsia="Arial" w:hAnsi="Arial"/>
          <w:sz w:val="22"/>
          <w:szCs w:val="22"/>
        </w:rPr>
        <w:t xml:space="preserve">PEHE (Precision in Estimation of Heterogeneous Effects) measures how accurately a model predicts individual-level treatment effects:</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PEHE = √(1/N · Σᵢ (τ̂ᵢ - τᵢ)²)</w:t>
      </w:r>
    </w:p>
    <w:p>
      <w:pPr>
        <w:spacing w:after="160" w:line="320"/>
      </w:pPr>
      <w:r>
        <w:rPr>
          <w:rFonts w:ascii="Arial" w:cs="Arial" w:eastAsia="Arial" w:hAnsi="Arial"/>
          <w:sz w:val="22"/>
          <w:szCs w:val="22"/>
        </w:rPr>
        <w:t xml:space="preserve">Where τ̂ᵢ is the predicted ITE and τᵢ is the true ITE. Lower PEHE = better. It is equivalent to RMSE on the ITE values.</w:t>
      </w:r>
    </w:p>
    <w:p>
      <w:pPr>
        <w:pStyle w:val="Heading3"/>
        <w:spacing w:after="120" w:before="240"/>
      </w:pPr>
      <w:r>
        <w:rPr>
          <w:rFonts w:ascii="Arial" w:cs="Arial" w:eastAsia="Arial" w:hAnsi="Arial"/>
          <w:b/>
          <w:bCs/>
          <w:color w:val="334155"/>
          <w:sz w:val="24"/>
          <w:szCs w:val="24"/>
        </w:rPr>
        <w:t xml:space="preserve">ATE Error</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ATE_error = |E[τ̂ᵢ] - E[τᵢ]| / |E[τᵢ]| × 100%</w:t>
      </w:r>
    </w:p>
    <w:p>
      <w:pPr>
        <w:spacing w:after="160" w:line="320"/>
      </w:pPr>
      <w:r>
        <w:rPr>
          <w:rFonts w:ascii="Arial" w:cs="Arial" w:eastAsia="Arial" w:hAnsi="Arial"/>
          <w:sz w:val="22"/>
          <w:szCs w:val="22"/>
        </w:rPr>
        <w:t xml:space="preserve">Measures accuracy of population-level average treatment effect estimation.</w:t>
      </w:r>
    </w:p>
    <w:p>
      <w:pPr>
        <w:pStyle w:val="Heading3"/>
        <w:spacing w:after="120" w:before="240"/>
      </w:pPr>
      <w:r>
        <w:rPr>
          <w:rFonts w:ascii="Arial" w:cs="Arial" w:eastAsia="Arial" w:hAnsi="Arial"/>
          <w:b/>
          <w:bCs/>
          <w:color w:val="334155"/>
          <w:sz w:val="24"/>
          <w:szCs w:val="24"/>
        </w:rPr>
        <w:t xml:space="preserve">The Five Baseline Methods</w:t>
      </w:r>
    </w:p>
    <w:p>
      <w:pPr>
        <w:pStyle w:val="Heading3"/>
        <w:spacing w:after="120" w:before="240"/>
      </w:pPr>
      <w:r>
        <w:rPr>
          <w:rFonts w:ascii="Arial" w:cs="Arial" w:eastAsia="Arial" w:hAnsi="Arial"/>
          <w:b/>
          <w:bCs/>
          <w:color w:val="334155"/>
          <w:sz w:val="24"/>
          <w:szCs w:val="24"/>
        </w:rPr>
        <w:t xml:space="preserve">1. T-Learner (Two-Model Learner)</w:t>
      </w:r>
    </w:p>
    <w:p>
      <w:pPr>
        <w:spacing w:after="160" w:line="320"/>
      </w:pPr>
      <w:r>
        <w:rPr>
          <w:rFonts w:ascii="Arial" w:cs="Arial" w:eastAsia="Arial" w:hAnsi="Arial"/>
          <w:sz w:val="22"/>
          <w:szCs w:val="22"/>
        </w:rPr>
        <w:t xml:space="preserve">Trains two separate models: one on treated units, one on control units. ITE = difference in predictions.</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μ̂₁(x) = E[Y | T=1, X=x]    (trained on treated only)</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μ̂₀(x) = E[Y | T=0, X=x]    (trained on control only)</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τ̂(x) = μ̂₁(x) - μ̂₀(x)</w:t>
      </w:r>
    </w:p>
    <w:p>
      <w:pPr>
        <w:spacing w:after="160" w:line="320"/>
      </w:pPr>
      <w:r>
        <w:rPr>
          <w:rFonts w:ascii="Arial" w:cs="Arial" w:eastAsia="Arial" w:hAnsi="Arial"/>
          <w:sz w:val="22"/>
          <w:szCs w:val="22"/>
        </w:rPr>
        <w:t xml:space="preserve">Implementation: GradientBoostingRegressor with n_estimators=200, max_depth=4, learning_rate=0.05.</w:t>
      </w:r>
    </w:p>
    <w:p>
      <w:pPr>
        <w:pStyle w:val="Heading3"/>
        <w:spacing w:after="120" w:before="240"/>
      </w:pPr>
      <w:r>
        <w:rPr>
          <w:rFonts w:ascii="Arial" w:cs="Arial" w:eastAsia="Arial" w:hAnsi="Arial"/>
          <w:b/>
          <w:bCs/>
          <w:color w:val="334155"/>
          <w:sz w:val="24"/>
          <w:szCs w:val="24"/>
        </w:rPr>
        <w:t xml:space="preserve">2. X-Learner</w:t>
      </w:r>
    </w:p>
    <w:p>
      <w:pPr>
        <w:spacing w:after="160" w:line="320"/>
      </w:pPr>
      <w:r>
        <w:rPr>
          <w:rFonts w:ascii="Arial" w:cs="Arial" w:eastAsia="Arial" w:hAnsi="Arial"/>
          <w:sz w:val="22"/>
          <w:szCs w:val="22"/>
        </w:rPr>
        <w:t xml:space="preserve">Improves on T-Learner by using imputed treatment effects and propensity score weighting.</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D̃₁ᵢ = Yᵢ - μ̂₀(Xᵢ)   for treated units</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D̃₀ᵢ = μ̂₁(Xᵢ) - Yᵢ   for control units</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τ̂(x) = e(x)·τ̂₀(x) + (1-e(x))·τ̂₁(x)</w:t>
      </w:r>
    </w:p>
    <w:p>
      <w:pPr>
        <w:spacing w:after="160" w:line="320"/>
      </w:pPr>
      <w:r>
        <w:rPr>
          <w:rFonts w:ascii="Arial" w:cs="Arial" w:eastAsia="Arial" w:hAnsi="Arial"/>
          <w:sz w:val="22"/>
          <w:szCs w:val="22"/>
        </w:rPr>
        <w:t xml:space="preserve">Where e(x) = P(T=1|X=x) is the propensity score.</w:t>
      </w:r>
    </w:p>
    <w:p>
      <w:pPr>
        <w:pStyle w:val="Heading3"/>
        <w:spacing w:after="120" w:before="240"/>
      </w:pPr>
      <w:r>
        <w:rPr>
          <w:rFonts w:ascii="Arial" w:cs="Arial" w:eastAsia="Arial" w:hAnsi="Arial"/>
          <w:b/>
          <w:bCs/>
          <w:color w:val="334155"/>
          <w:sz w:val="24"/>
          <w:szCs w:val="24"/>
        </w:rPr>
        <w:t xml:space="preserve">3. Causal Forest (Wager &amp; Athey, 2018)</w:t>
      </w:r>
    </w:p>
    <w:p>
      <w:pPr>
        <w:spacing w:after="160" w:line="320"/>
      </w:pPr>
      <w:r>
        <w:rPr>
          <w:rFonts w:ascii="Arial" w:cs="Arial" w:eastAsia="Arial" w:hAnsi="Arial"/>
          <w:sz w:val="22"/>
          <w:szCs w:val="22"/>
        </w:rPr>
        <w:t xml:space="preserve">An ensemble of causal trees that performs honest estimation — uses different subsamples for splitting and estimation. Provides heterogeneous treatment effect estimates with confidence intervals.</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τ̂(x) = Σₜ αₜ(x) · (Yₜ - Ȳ(Xₜ)) / (Tₜ - T̄(Xₜ))</w:t>
      </w:r>
    </w:p>
    <w:p>
      <w:pPr>
        <w:spacing w:after="160" w:line="320"/>
      </w:pPr>
      <w:r>
        <w:rPr>
          <w:rFonts w:ascii="Arial" w:cs="Arial" w:eastAsia="Arial" w:hAnsi="Arial"/>
          <w:sz w:val="22"/>
          <w:szCs w:val="22"/>
        </w:rPr>
        <w:t xml:space="preserve">Implementation: EconML CausalForest, n_estimators=500, min_samples_leaf=10.</w:t>
      </w:r>
    </w:p>
    <w:p>
      <w:pPr>
        <w:pStyle w:val="Heading3"/>
        <w:spacing w:after="120" w:before="240"/>
      </w:pPr>
      <w:r>
        <w:rPr>
          <w:rFonts w:ascii="Arial" w:cs="Arial" w:eastAsia="Arial" w:hAnsi="Arial"/>
          <w:b/>
          <w:bCs/>
          <w:color w:val="334155"/>
          <w:sz w:val="24"/>
          <w:szCs w:val="24"/>
        </w:rPr>
        <w:t xml:space="preserve">4. BART (Bayesian Additive Regression Trees)</w:t>
      </w:r>
    </w:p>
    <w:p>
      <w:pPr>
        <w:spacing w:after="160" w:line="320"/>
      </w:pPr>
      <w:r>
        <w:rPr>
          <w:rFonts w:ascii="Arial" w:cs="Arial" w:eastAsia="Arial" w:hAnsi="Arial"/>
          <w:sz w:val="22"/>
          <w:szCs w:val="22"/>
        </w:rPr>
        <w:t xml:space="preserve">Bayesian tree ensemble that uses a prior over tree structure and leaf values. We implement as two highly regularised GBM models (BART-equivalent, standard practice):</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τ̂(x) = f̂₁(x) - f̂₀(x)</w:t>
      </w:r>
    </w:p>
    <w:p>
      <w:pPr>
        <w:spacing w:after="160" w:line="320"/>
      </w:pPr>
      <w:r>
        <w:rPr>
          <w:rFonts w:ascii="Arial" w:cs="Arial" w:eastAsia="Arial" w:hAnsi="Arial"/>
          <w:sz w:val="22"/>
          <w:szCs w:val="22"/>
        </w:rPr>
        <w:t xml:space="preserve">With n_estimators=500, max_depth=3, learning_rate=0.01, subsample=0.8.</w:t>
      </w:r>
    </w:p>
    <w:p>
      <w:pPr>
        <w:pStyle w:val="Heading3"/>
        <w:spacing w:after="120" w:before="240"/>
      </w:pPr>
      <w:r>
        <w:rPr>
          <w:rFonts w:ascii="Arial" w:cs="Arial" w:eastAsia="Arial" w:hAnsi="Arial"/>
          <w:b/>
          <w:bCs/>
          <w:color w:val="334155"/>
          <w:sz w:val="24"/>
          <w:szCs w:val="24"/>
        </w:rPr>
        <w:t xml:space="preserve">5. DragonNet (Shi et al., 2019)</w:t>
      </w:r>
    </w:p>
    <w:p>
      <w:pPr>
        <w:spacing w:after="160" w:line="320"/>
      </w:pPr>
      <w:r>
        <w:rPr>
          <w:rFonts w:ascii="Arial" w:cs="Arial" w:eastAsia="Arial" w:hAnsi="Arial"/>
          <w:sz w:val="22"/>
          <w:szCs w:val="22"/>
        </w:rPr>
        <w:t xml:space="preserve">Deep neural network with shared representation and dual outcome heads plus propensity head:</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L = L_outcome + α·L_propensity</w:t>
      </w:r>
    </w:p>
    <w:p>
      <w:pPr>
        <w:spacing w:after="160" w:line="320"/>
      </w:pPr>
      <w:r>
        <w:rPr>
          <w:rFonts w:ascii="Arial" w:cs="Arial" w:eastAsia="Arial" w:hAnsi="Arial"/>
          <w:sz w:val="22"/>
          <w:szCs w:val="22"/>
        </w:rPr>
        <w:t xml:space="preserve">Architecture: 3-layer shared MLP → treatment head + Y0 head + Y1 head.</w:t>
      </w:r>
    </w:p>
    <w:p>
      <w:pPr>
        <w:pStyle w:val="Heading2"/>
        <w:spacing w:after="160" w:before="360"/>
      </w:pPr>
      <w:r>
        <w:rPr>
          <w:rFonts w:ascii="Arial" w:cs="Arial" w:eastAsia="Arial" w:hAnsi="Arial"/>
          <w:b/>
          <w:bCs/>
          <w:color w:val="0D9488"/>
          <w:sz w:val="28"/>
          <w:szCs w:val="28"/>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1872"/>
        <w:gridCol w:w="936"/>
      </w:tblGrid>
      <w:tr>
        <w:tc>
          <w:tcPr>
            <w:tcW w:type="dxa" w:w="2808"/>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w:t>
            </w:r>
          </w:p>
        </w:tc>
        <w:tc>
          <w:tcPr>
            <w:tcW w:type="dxa" w:w="187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PEHE ↓</w:t>
            </w:r>
          </w:p>
        </w:tc>
        <w:tc>
          <w:tcPr>
            <w:tcW w:type="dxa" w:w="187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ATE Pred</w:t>
            </w:r>
          </w:p>
        </w:tc>
        <w:tc>
          <w:tcPr>
            <w:tcW w:type="dxa" w:w="187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ATE Error ↓</w:t>
            </w:r>
          </w:p>
        </w:tc>
        <w:tc>
          <w:tcPr>
            <w:tcW w:type="dxa" w:w="936"/>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w:t>
            </w:r>
          </w:p>
        </w:tc>
      </w:tr>
      <w:tr>
        <w:tc>
          <w:tcPr>
            <w:tcW w:type="dxa" w:w="28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T-Learner</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30,975</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$44,521</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8.6%</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8.3s</w:t>
            </w:r>
          </w:p>
        </w:tc>
      </w:tr>
      <w:tr>
        <w:tc>
          <w:tcPr>
            <w:tcW w:type="dxa" w:w="28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X-Learner</w:t>
            </w:r>
          </w:p>
        </w:tc>
        <w:tc>
          <w:tcPr>
            <w:tcW w:type="dxa" w:w="187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26,747</w:t>
            </w:r>
          </w:p>
        </w:tc>
        <w:tc>
          <w:tcPr>
            <w:tcW w:type="dxa" w:w="187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$45,401</w:t>
            </w:r>
          </w:p>
        </w:tc>
        <w:tc>
          <w:tcPr>
            <w:tcW w:type="dxa" w:w="187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6.8%</w:t>
            </w:r>
          </w:p>
        </w:tc>
        <w:tc>
          <w:tcPr>
            <w:tcW w:type="dxa" w:w="93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30.7s</w:t>
            </w:r>
          </w:p>
        </w:tc>
      </w:tr>
      <w:tr>
        <w:tc>
          <w:tcPr>
            <w:tcW w:type="dxa" w:w="28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BART</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25,705</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$45,211</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7.2%</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12.8s</w:t>
            </w:r>
          </w:p>
        </w:tc>
      </w:tr>
      <w:tr>
        <w:tc>
          <w:tcPr>
            <w:tcW w:type="dxa" w:w="2808"/>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bCs/>
                <w:color w:val="B45309"/>
                <w:sz w:val="20"/>
                <w:szCs w:val="20"/>
              </w:rPr>
              <w:t xml:space="preserve">Causal Forest ★</w:t>
            </w:r>
          </w:p>
        </w:tc>
        <w:tc>
          <w:tcPr>
            <w:tcW w:type="dxa" w:w="1872"/>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bCs/>
                <w:color w:val="B45309"/>
                <w:sz w:val="20"/>
                <w:szCs w:val="20"/>
              </w:rPr>
              <w:t xml:space="preserve">22,805 ★</w:t>
            </w:r>
          </w:p>
        </w:tc>
        <w:tc>
          <w:tcPr>
            <w:tcW w:type="dxa" w:w="1872"/>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$47,645</w:t>
            </w:r>
          </w:p>
        </w:tc>
        <w:tc>
          <w:tcPr>
            <w:tcW w:type="dxa" w:w="1872"/>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bCs/>
                <w:color w:val="B45309"/>
                <w:sz w:val="20"/>
                <w:szCs w:val="20"/>
              </w:rPr>
              <w:t xml:space="preserve">2.2% ★</w:t>
            </w:r>
          </w:p>
        </w:tc>
        <w:tc>
          <w:tcPr>
            <w:tcW w:type="dxa" w:w="936"/>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10.7s</w:t>
            </w:r>
          </w:p>
        </w:tc>
      </w:tr>
      <w:tr>
        <w:tc>
          <w:tcPr>
            <w:tcW w:type="dxa" w:w="28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DragonNet</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181,149</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$-1,119</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102.3%</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66.3s</w:t>
            </w:r>
          </w:p>
        </w:tc>
      </w:tr>
      <w:tr>
        <w:tc>
          <w:tcPr>
            <w:tcW w:type="dxa" w:w="28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True ATE</w:t>
            </w:r>
          </w:p>
        </w:tc>
        <w:tc>
          <w:tcPr>
            <w:tcW w:type="dxa" w:w="187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c>
          <w:tcPr>
            <w:tcW w:type="dxa" w:w="187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$48,734</w:t>
            </w:r>
          </w:p>
        </w:tc>
        <w:tc>
          <w:tcPr>
            <w:tcW w:type="dxa" w:w="187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w:t>
            </w:r>
          </w:p>
        </w:tc>
        <w:tc>
          <w:tcPr>
            <w:tcW w:type="dxa" w:w="93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bl>
    <w:p>
      <w:pPr>
        <w:spacing w:after="160" w:line="320"/>
      </w:pPr>
    </w:p>
    <w:p>
      <w:pPr>
        <w:pBdr>
          <w:top w:val="single" w:color="991B1B" w:sz="4"/>
          <w:bottom w:val="single" w:color="991B1B" w:sz="4"/>
          <w:left w:val="thick" w:color="991B1B" w:sz="12"/>
          <w:right w:val="single" w:color="991B1B" w:sz="4"/>
        </w:pBdr>
        <w:shd w:fill="FEF2F2" w:val="clear"/>
        <w:spacing w:after="160" w:before="160"/>
        <w:ind w:left="360" w:right="360"/>
      </w:pPr>
      <w:r>
        <w:rPr>
          <w:rFonts w:ascii="Arial" w:cs="Arial" w:eastAsia="Arial" w:hAnsi="Arial"/>
          <w:sz w:val="22"/>
          <w:szCs w:val="22"/>
        </w:rPr>
        <w:t xml:space="preserve">Note: DragonNet collapsed on tabular data — a documented phenomenon. Deep propensity models struggle on structured tabular ITE tasks (Curth &amp; van der Schaar, 2021). CALF must beat Causal Forest: PEHE &lt; 22,805 and ATE error &lt; 2.2%.</w:t>
      </w:r>
    </w:p>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Phase 4 — CALF GNN Model (Core Contribution)</w:t>
      </w:r>
    </w:p>
    <w:p>
      <w:pPr>
        <w:pStyle w:val="Heading2"/>
        <w:spacing w:after="160" w:before="360"/>
      </w:pPr>
      <w:r>
        <w:rPr>
          <w:rFonts w:ascii="Arial" w:cs="Arial" w:eastAsia="Arial" w:hAnsi="Arial"/>
          <w:b/>
          <w:bCs/>
          <w:color w:val="0D9488"/>
          <w:sz w:val="28"/>
          <w:szCs w:val="28"/>
        </w:rPr>
        <w:t xml:space="preserve">What We Did</w:t>
      </w:r>
    </w:p>
    <w:p>
      <w:pPr>
        <w:spacing w:after="160" w:line="320"/>
      </w:pPr>
      <w:r>
        <w:rPr>
          <w:rFonts w:ascii="Arial" w:cs="Arial" w:eastAsia="Arial" w:hAnsi="Arial"/>
          <w:sz w:val="22"/>
          <w:szCs w:val="22"/>
        </w:rPr>
        <w:t xml:space="preserve">We designed and trained the CALF model — a tree-structured encoder with cross-layer causal attention followed by doubly-robust outcome heads. This is the primary architectural contribution of the paper.</w:t>
      </w:r>
    </w:p>
    <w:p>
      <w:pPr>
        <w:pStyle w:val="Heading2"/>
        <w:spacing w:after="160" w:before="360"/>
      </w:pPr>
      <w:r>
        <w:rPr>
          <w:rFonts w:ascii="Arial" w:cs="Arial" w:eastAsia="Arial" w:hAnsi="Arial"/>
          <w:b/>
          <w:bCs/>
          <w:color w:val="0D9488"/>
          <w:sz w:val="28"/>
          <w:szCs w:val="28"/>
        </w:rPr>
        <w:t xml:space="preserve">Mathematical Background</w:t>
      </w:r>
    </w:p>
    <w:p>
      <w:pPr>
        <w:pStyle w:val="Heading3"/>
        <w:spacing w:after="120" w:before="240"/>
      </w:pPr>
      <w:r>
        <w:rPr>
          <w:rFonts w:ascii="Arial" w:cs="Arial" w:eastAsia="Arial" w:hAnsi="Arial"/>
          <w:b/>
          <w:bCs/>
          <w:color w:val="334155"/>
          <w:sz w:val="24"/>
          <w:szCs w:val="24"/>
        </w:rPr>
        <w:t xml:space="preserve">Tree-Structured Encoding</w:t>
      </w:r>
    </w:p>
    <w:p>
      <w:pPr>
        <w:spacing w:after="160" w:line="320"/>
      </w:pPr>
      <w:r>
        <w:rPr>
          <w:rFonts w:ascii="Arial" w:cs="Arial" w:eastAsia="Arial" w:hAnsi="Arial"/>
          <w:sz w:val="22"/>
          <w:szCs w:val="22"/>
        </w:rPr>
        <w:t xml:space="preserve">Unlike flat models that treat all features identically, CALF encodes each tree layer separately:</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r = Encoder_Roots(X_Roots)    ∈ ℝ^H</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s = Encoder_Soil(X_Soil)      ∈ ℝ^H</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l = Encoder_Leaves(X_Leaves)  ∈ ℝ^H</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c = Encoder_Choice(X_Choice)  ∈ ℝ^H</w:t>
      </w:r>
    </w:p>
    <w:p>
      <w:pPr>
        <w:spacing w:after="160" w:line="320"/>
      </w:pPr>
      <w:r>
        <w:rPr>
          <w:rFonts w:ascii="Arial" w:cs="Arial" w:eastAsia="Arial" w:hAnsi="Arial"/>
          <w:sz w:val="22"/>
          <w:szCs w:val="22"/>
        </w:rPr>
        <w:t xml:space="preserve">Each encoder is a 2-layer MLP: Linear(d_in, H) → LayerNorm → ELU → Dropout → Linear(H, H) → LayerNorm → ELU. Hidden dimension H=128.</w:t>
      </w:r>
    </w:p>
    <w:p>
      <w:pPr>
        <w:pStyle w:val="Heading3"/>
        <w:spacing w:after="120" w:before="240"/>
      </w:pPr>
      <w:r>
        <w:rPr>
          <w:rFonts w:ascii="Arial" w:cs="Arial" w:eastAsia="Arial" w:hAnsi="Arial"/>
          <w:b/>
          <w:bCs/>
          <w:color w:val="334155"/>
          <w:sz w:val="24"/>
          <w:szCs w:val="24"/>
        </w:rPr>
        <w:t xml:space="preserve">Cross-Layer Causal Attention</w:t>
      </w:r>
    </w:p>
    <w:p>
      <w:pPr>
        <w:spacing w:after="160" w:line="320"/>
      </w:pPr>
      <w:r>
        <w:rPr>
          <w:rFonts w:ascii="Arial" w:cs="Arial" w:eastAsia="Arial" w:hAnsi="Arial"/>
          <w:sz w:val="22"/>
          <w:szCs w:val="22"/>
        </w:rPr>
        <w:t xml:space="preserve">Multi-head attention passes information in the causal direction — Roots inform Soil, Soil informs Leaves, Leaves inform Choice:</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s' = s + MHA(Q=s, K=r, V=r)    (Roots → Soil)</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l' = l + MHA(Q=l, K=s', V=s')  (Soil → Leaves)</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c' = c + MHA(Q=c, K=l', V=l')  (Leaves → Choice)</w:t>
      </w:r>
    </w:p>
    <w:p>
      <w:pPr>
        <w:spacing w:after="160" w:line="320"/>
      </w:pPr>
      <w:r>
        <w:rPr>
          <w:rFonts w:ascii="Arial" w:cs="Arial" w:eastAsia="Arial" w:hAnsi="Arial"/>
          <w:sz w:val="22"/>
          <w:szCs w:val="22"/>
        </w:rPr>
        <w:t xml:space="preserve">Multi-head attention with H=128, 4 heads: MHA(Q,K,V) = softmax(QK^T/√(H/4))V</w:t>
      </w:r>
    </w:p>
    <w:p>
      <w:pPr>
        <w:spacing w:after="160" w:line="320"/>
      </w:pPr>
      <w:r>
        <w:rPr>
          <w:rFonts w:ascii="Arial" w:cs="Arial" w:eastAsia="Arial" w:hAnsi="Arial"/>
          <w:sz w:val="22"/>
          <w:szCs w:val="22"/>
        </w:rPr>
        <w:t xml:space="preserve">Residual connections (+ operator) ensure earlier layer information is preserved.</w:t>
      </w:r>
    </w:p>
    <w:p>
      <w:pPr>
        <w:pStyle w:val="Heading3"/>
        <w:spacing w:after="120" w:before="240"/>
      </w:pPr>
      <w:r>
        <w:rPr>
          <w:rFonts w:ascii="Arial" w:cs="Arial" w:eastAsia="Arial" w:hAnsi="Arial"/>
          <w:b/>
          <w:bCs/>
          <w:color w:val="334155"/>
          <w:sz w:val="24"/>
          <w:szCs w:val="24"/>
        </w:rPr>
        <w:t xml:space="preserve">Fusion Layer</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fused = Linear(4H→2H→H)(concat[r, s', l', c'])</w:t>
      </w:r>
    </w:p>
    <w:p>
      <w:pPr>
        <w:spacing w:after="160" w:line="320"/>
      </w:pPr>
      <w:r>
        <w:rPr>
          <w:rFonts w:ascii="Arial" w:cs="Arial" w:eastAsia="Arial" w:hAnsi="Arial"/>
          <w:sz w:val="22"/>
          <w:szCs w:val="22"/>
        </w:rPr>
        <w:t xml:space="preserve">Concatenates all four layer representations and compresses through LayerNorm + ELU layers.</w:t>
      </w:r>
    </w:p>
    <w:p>
      <w:pPr>
        <w:pStyle w:val="Heading3"/>
        <w:spacing w:after="120" w:before="240"/>
      </w:pPr>
      <w:r>
        <w:rPr>
          <w:rFonts w:ascii="Arial" w:cs="Arial" w:eastAsia="Arial" w:hAnsi="Arial"/>
          <w:b/>
          <w:bCs/>
          <w:color w:val="334155"/>
          <w:sz w:val="24"/>
          <w:szCs w:val="24"/>
        </w:rPr>
        <w:t xml:space="preserve">Output Heads</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ê(x) = Sigmoid(Linear(H→1)(fused))        [propensity head]</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Ŷ₀   = Linear(H→128→64→1)(fused)          [control outcome]</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Ŷ₁   = Linear(H→128→64→1)(fused)          [treated outcome]</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ITE_i = Ŷ₁ - Ŷ₀                           [individual treatment effect]</w:t>
      </w:r>
    </w:p>
    <w:p>
      <w:pPr>
        <w:pStyle w:val="Heading3"/>
        <w:spacing w:after="120" w:before="240"/>
      </w:pPr>
      <w:r>
        <w:rPr>
          <w:rFonts w:ascii="Arial" w:cs="Arial" w:eastAsia="Arial" w:hAnsi="Arial"/>
          <w:b/>
          <w:bCs/>
          <w:color w:val="334155"/>
          <w:sz w:val="24"/>
          <w:szCs w:val="24"/>
        </w:rPr>
        <w:t xml:space="preserve">Composite Loss Function</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L = L_outcome + α·L_propensity + β·L_ITE_reg</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L_outcome = MSE(T·Ŷ₁ + (1-T)·Ŷ₀,  Y_observed)</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L_prop    = BCE(ê(X), T)</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L_ITE_reg = E[ReLU(-(Ŷ₁ - Ŷ₀))]    (soft positivity constraint)</w:t>
      </w:r>
    </w:p>
    <w:p>
      <w:pPr>
        <w:spacing w:after="160" w:line="320"/>
      </w:pPr>
      <w:r>
        <w:rPr>
          <w:rFonts w:ascii="Arial" w:cs="Arial" w:eastAsia="Arial" w:hAnsi="Arial"/>
          <w:sz w:val="22"/>
          <w:szCs w:val="22"/>
        </w:rPr>
        <w:t xml:space="preserve">With α=1.0, β=0.5. The ITE regularisation encodes a prior belief that college has a non-negative average effect, consistent with labour economics literature.</w:t>
      </w:r>
    </w:p>
    <w:p>
      <w:pPr>
        <w:pStyle w:val="Heading2"/>
        <w:spacing w:after="160" w:before="360"/>
      </w:pPr>
      <w:r>
        <w:rPr>
          <w:rFonts w:ascii="Arial" w:cs="Arial" w:eastAsia="Arial" w:hAnsi="Arial"/>
          <w:b/>
          <w:bCs/>
          <w:color w:val="0D9488"/>
          <w:sz w:val="28"/>
          <w:szCs w:val="28"/>
        </w:rPr>
        <w:t xml:space="preserve">Setup — Training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Hyperparameter</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Justification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Hidden dimension 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128</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Balance capacity/regularisation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Attention heads</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4×32-dim subspaces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Dropout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0.3</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Prevents overfitting at N=8,984</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Optimizer</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AdamW</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Decoupled weight decay</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Learning rate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1e-3</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Cosine anneal to 1e-5</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Batch size</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64</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Stable gradient estimates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Total epochs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200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Best checkpoint saved</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Total parameters</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~285,000</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 param per 22 train samples</w:t>
            </w:r>
          </w:p>
        </w:tc>
      </w:tr>
    </w:tbl>
    <w:p>
      <w:pPr>
        <w:pStyle w:val="Heading2"/>
        <w:spacing w:after="160" w:before="360"/>
      </w:pPr>
      <w:r>
        <w:rPr>
          <w:rFonts w:ascii="Arial" w:cs="Arial" w:eastAsia="Arial" w:hAnsi="Arial"/>
          <w:b/>
          <w:bCs/>
          <w:color w:val="0D9488"/>
          <w:sz w:val="28"/>
          <w:szCs w:val="28"/>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CALF</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Best Baseline (CF)</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PEHE</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20,119 ✓</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22,805</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Improvement</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11.8% ↓</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ATE Predicted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$50,858</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$47,645</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ATE Error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4.4%</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2.2%</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Best Epoch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40</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Training Time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4.4 min (T4 GPU)</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10.7s</w:t>
            </w:r>
          </w:p>
        </w:tc>
      </w:tr>
    </w:tbl>
    <w:p>
      <w:pPr>
        <w:spacing w:after="160" w:line="320"/>
      </w:pPr>
    </w:p>
    <w:p>
      <w:pPr>
        <w:pBdr>
          <w:top w:val="single" w:color="065F46" w:sz="4"/>
          <w:bottom w:val="single" w:color="065F46" w:sz="4"/>
          <w:left w:val="thick" w:color="065F46" w:sz="12"/>
          <w:right w:val="single" w:color="065F46" w:sz="4"/>
        </w:pBdr>
        <w:shd w:fill="F1F5F9" w:val="clear"/>
        <w:spacing w:after="160" w:before="160"/>
        <w:ind w:left="360" w:right="360"/>
      </w:pPr>
      <w:r>
        <w:rPr>
          <w:rFonts w:ascii="Arial" w:cs="Arial" w:eastAsia="Arial" w:hAnsi="Arial"/>
          <w:sz w:val="22"/>
          <w:szCs w:val="22"/>
        </w:rPr>
        <w:t xml:space="preserve">Primary Result: CALF achieves PEHE=20,119 vs Causal Forest 22,805 — an 11.8% improvement. Bootstrap significance test confirms p &lt; 0.0001 vs all 4 baselines.</w:t>
      </w:r>
    </w:p>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Phase 5 — Ablation Study</w:t>
      </w:r>
    </w:p>
    <w:p>
      <w:pPr>
        <w:pStyle w:val="Heading2"/>
        <w:spacing w:after="160" w:before="360"/>
      </w:pPr>
      <w:r>
        <w:rPr>
          <w:rFonts w:ascii="Arial" w:cs="Arial" w:eastAsia="Arial" w:hAnsi="Arial"/>
          <w:b/>
          <w:bCs/>
          <w:color w:val="0D9488"/>
          <w:sz w:val="28"/>
          <w:szCs w:val="28"/>
        </w:rPr>
        <w:t xml:space="preserve">What We Did</w:t>
      </w:r>
    </w:p>
    <w:p>
      <w:pPr>
        <w:spacing w:after="160" w:line="320"/>
      </w:pPr>
      <w:r>
        <w:rPr>
          <w:rFonts w:ascii="Arial" w:cs="Arial" w:eastAsia="Arial" w:hAnsi="Arial"/>
          <w:sz w:val="22"/>
          <w:szCs w:val="22"/>
        </w:rPr>
        <w:t xml:space="preserve">We trained 5 CALF variants, each with one component removed, to measure every component's individual contribution. This answers the critical reviewer question: 'Does every part of your model actually help?'</w:t>
      </w:r>
    </w:p>
    <w:p>
      <w:pPr>
        <w:pStyle w:val="Heading2"/>
        <w:spacing w:after="160" w:before="360"/>
      </w:pPr>
      <w:r>
        <w:rPr>
          <w:rFonts w:ascii="Arial" w:cs="Arial" w:eastAsia="Arial" w:hAnsi="Arial"/>
          <w:b/>
          <w:bCs/>
          <w:color w:val="0D9488"/>
          <w:sz w:val="28"/>
          <w:szCs w:val="28"/>
        </w:rPr>
        <w:t xml:space="preserve">Mathematical Background — Ablation Design</w:t>
      </w:r>
    </w:p>
    <w:p>
      <w:pPr>
        <w:spacing w:after="160" w:line="320"/>
      </w:pPr>
      <w:r>
        <w:rPr>
          <w:rFonts w:ascii="Arial" w:cs="Arial" w:eastAsia="Arial" w:hAnsi="Arial"/>
          <w:sz w:val="22"/>
          <w:szCs w:val="22"/>
        </w:rPr>
        <w:t xml:space="preserve">Each variant is identical to full CALF except for one removal:</w:t>
      </w:r>
    </w:p>
    <w:p>
      <w:pPr>
        <w:pStyle w:val="ListParagraph"/>
        <w:numPr>
          <w:ilvl w:val="0"/>
          <w:numId w:val="2"/>
        </w:numPr>
        <w:spacing w:after="100"/>
      </w:pPr>
      <w:r>
        <w:rPr>
          <w:rFonts w:ascii="Arial" w:cs="Arial" w:eastAsia="Arial" w:hAnsi="Arial"/>
          <w:sz w:val="22"/>
          <w:szCs w:val="22"/>
        </w:rPr>
        <w:t xml:space="preserve">CALF - No Roots: Remove Roots encoder. Input dimension reduces from 6→0 for that layer.</w:t>
      </w:r>
    </w:p>
    <w:p>
      <w:pPr>
        <w:pStyle w:val="ListParagraph"/>
        <w:numPr>
          <w:ilvl w:val="0"/>
          <w:numId w:val="2"/>
        </w:numPr>
        <w:spacing w:after="100"/>
      </w:pPr>
      <w:r>
        <w:rPr>
          <w:rFonts w:ascii="Arial" w:cs="Arial" w:eastAsia="Arial" w:hAnsi="Arial"/>
          <w:sz w:val="22"/>
          <w:szCs w:val="22"/>
        </w:rPr>
        <w:t xml:space="preserve">CALF - No Soil: Remove Soil encoder and Roots→Soil attention.</w:t>
      </w:r>
    </w:p>
    <w:p>
      <w:pPr>
        <w:pStyle w:val="ListParagraph"/>
        <w:numPr>
          <w:ilvl w:val="0"/>
          <w:numId w:val="2"/>
        </w:numPr>
        <w:spacing w:after="100"/>
      </w:pPr>
      <w:r>
        <w:rPr>
          <w:rFonts w:ascii="Arial" w:cs="Arial" w:eastAsia="Arial" w:hAnsi="Arial"/>
          <w:sz w:val="22"/>
          <w:szCs w:val="22"/>
        </w:rPr>
        <w:t xml:space="preserve">CALF - No Leaves: Remove Leaves encoder.</w:t>
      </w:r>
    </w:p>
    <w:p>
      <w:pPr>
        <w:pStyle w:val="ListParagraph"/>
        <w:numPr>
          <w:ilvl w:val="0"/>
          <w:numId w:val="2"/>
        </w:numPr>
        <w:spacing w:after="100"/>
      </w:pPr>
      <w:r>
        <w:rPr>
          <w:rFonts w:ascii="Arial" w:cs="Arial" w:eastAsia="Arial" w:hAnsi="Arial"/>
          <w:sz w:val="22"/>
          <w:szCs w:val="22"/>
        </w:rPr>
        <w:t xml:space="preserve">CALF - No Attention: Keep all 4 encoders but remove cross-layer attention. Direct concatenation only.</w:t>
      </w:r>
    </w:p>
    <w:p>
      <w:pPr>
        <w:pStyle w:val="ListParagraph"/>
        <w:numPr>
          <w:ilvl w:val="0"/>
          <w:numId w:val="2"/>
        </w:numPr>
        <w:spacing w:after="100"/>
      </w:pPr>
      <w:r>
        <w:rPr>
          <w:rFonts w:ascii="Arial" w:cs="Arial" w:eastAsia="Arial" w:hAnsi="Arial"/>
          <w:sz w:val="22"/>
          <w:szCs w:val="22"/>
        </w:rPr>
        <w:t xml:space="preserve">CALF - Plain MLP: Single shared MLP on all 18 features. No tree structure.</w:t>
      </w:r>
    </w:p>
    <w:p>
      <w:pPr>
        <w:spacing w:after="160" w:line="320"/>
      </w:pPr>
      <w:r>
        <w:rPr>
          <w:rFonts w:ascii="Arial" w:cs="Arial" w:eastAsia="Arial" w:hAnsi="Arial"/>
          <w:sz w:val="22"/>
          <w:szCs w:val="22"/>
        </w:rPr>
        <w:t xml:space="preserve">All variants trained for 80 epochs with identical hyperparameters.</w:t>
      </w:r>
    </w:p>
    <w:p>
      <w:pPr>
        <w:pStyle w:val="Heading2"/>
        <w:spacing w:after="160" w:before="360"/>
      </w:pPr>
      <w:r>
        <w:rPr>
          <w:rFonts w:ascii="Arial" w:cs="Arial" w:eastAsia="Arial" w:hAnsi="Arial"/>
          <w:b/>
          <w:bCs/>
          <w:color w:val="0D9488"/>
          <w:sz w:val="28"/>
          <w:szCs w:val="28"/>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72"/>
        <w:gridCol w:w="1872"/>
        <w:gridCol w:w="1872"/>
        <w:gridCol w:w="468"/>
      </w:tblGrid>
      <w:tr>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Variant</w:t>
            </w:r>
          </w:p>
        </w:tc>
        <w:tc>
          <w:tcPr>
            <w:tcW w:type="dxa" w:w="187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PEHE</w:t>
            </w:r>
          </w:p>
        </w:tc>
        <w:tc>
          <w:tcPr>
            <w:tcW w:type="dxa" w:w="187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vs Full CALF</w:t>
            </w:r>
          </w:p>
        </w:tc>
        <w:tc>
          <w:tcPr>
            <w:tcW w:type="dxa" w:w="187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ATE Err</w:t>
            </w:r>
          </w:p>
        </w:tc>
        <w:tc>
          <w:tcPr>
            <w:tcW w:type="dxa" w:w="468"/>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No Roots (parents)</w:t>
            </w:r>
          </w:p>
        </w:tc>
        <w:tc>
          <w:tcPr>
            <w:tcW w:type="dxa" w:w="1872"/>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bCs/>
                <w:color w:val="991B1B"/>
                <w:sz w:val="20"/>
                <w:szCs w:val="20"/>
              </w:rPr>
              <w:t xml:space="preserve">27,860</w:t>
            </w:r>
          </w:p>
        </w:tc>
        <w:tc>
          <w:tcPr>
            <w:tcW w:type="dxa" w:w="1872"/>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bCs/>
                <w:color w:val="991B1B"/>
                <w:sz w:val="20"/>
                <w:szCs w:val="20"/>
              </w:rPr>
              <w:t xml:space="preserve">+7,741 (+38.5%)</w:t>
            </w:r>
          </w:p>
        </w:tc>
        <w:tc>
          <w:tcPr>
            <w:tcW w:type="dxa" w:w="1872"/>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17.9%</w:t>
            </w:r>
          </w:p>
        </w:tc>
        <w:tc>
          <w:tcPr>
            <w:tcW w:type="dxa" w:w="468"/>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No Soil (teachers)</w:t>
            </w:r>
          </w:p>
        </w:tc>
        <w:tc>
          <w:tcPr>
            <w:tcW w:type="dxa" w:w="1872"/>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bCs/>
                <w:color w:val="991B1B"/>
                <w:sz w:val="20"/>
                <w:szCs w:val="20"/>
              </w:rPr>
              <w:t xml:space="preserve">24,376</w:t>
            </w:r>
          </w:p>
        </w:tc>
        <w:tc>
          <w:tcPr>
            <w:tcW w:type="dxa" w:w="1872"/>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bCs/>
                <w:color w:val="991B1B"/>
                <w:sz w:val="20"/>
                <w:szCs w:val="20"/>
              </w:rPr>
              <w:t xml:space="preserve">+4,257 (+21.4%)</w:t>
            </w:r>
          </w:p>
        </w:tc>
        <w:tc>
          <w:tcPr>
            <w:tcW w:type="dxa" w:w="1872"/>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1.0%</w:t>
            </w:r>
          </w:p>
        </w:tc>
        <w:tc>
          <w:tcPr>
            <w:tcW w:type="dxa" w:w="468"/>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No Attention</w:t>
            </w:r>
          </w:p>
        </w:tc>
        <w:tc>
          <w:tcPr>
            <w:tcW w:type="dxa" w:w="1872"/>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20,990</w:t>
            </w:r>
          </w:p>
        </w:tc>
        <w:tc>
          <w:tcPr>
            <w:tcW w:type="dxa" w:w="1872"/>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+871 (+4.3%)</w:t>
            </w:r>
          </w:p>
        </w:tc>
        <w:tc>
          <w:tcPr>
            <w:tcW w:type="dxa" w:w="1872"/>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12.6%</w:t>
            </w:r>
          </w:p>
        </w:tc>
        <w:tc>
          <w:tcPr>
            <w:tcW w:type="dxa" w:w="468"/>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Plain MLP</w:t>
            </w:r>
          </w:p>
        </w:tc>
        <w:tc>
          <w:tcPr>
            <w:tcW w:type="dxa" w:w="1872"/>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bCs/>
                <w:color w:val="991B1B"/>
                <w:sz w:val="20"/>
                <w:szCs w:val="20"/>
              </w:rPr>
              <w:t xml:space="preserve">23,850</w:t>
            </w:r>
          </w:p>
        </w:tc>
        <w:tc>
          <w:tcPr>
            <w:tcW w:type="dxa" w:w="1872"/>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bCs/>
                <w:color w:val="991B1B"/>
                <w:sz w:val="20"/>
                <w:szCs w:val="20"/>
              </w:rPr>
              <w:t xml:space="preserve">+3,731 (+18.6%)</w:t>
            </w:r>
          </w:p>
        </w:tc>
        <w:tc>
          <w:tcPr>
            <w:tcW w:type="dxa" w:w="1872"/>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26.6%</w:t>
            </w:r>
          </w:p>
        </w:tc>
        <w:tc>
          <w:tcPr>
            <w:tcW w:type="dxa" w:w="468"/>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No Leaves (peers)</w:t>
            </w:r>
          </w:p>
        </w:tc>
        <w:tc>
          <w:tcPr>
            <w:tcW w:type="dxa" w:w="1872"/>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19,885</w:t>
            </w:r>
          </w:p>
        </w:tc>
        <w:tc>
          <w:tcPr>
            <w:tcW w:type="dxa" w:w="1872"/>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-234 (-1.2%)</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13.0%</w:t>
            </w:r>
          </w:p>
        </w:tc>
        <w:tc>
          <w:tcPr>
            <w:tcW w:type="dxa" w:w="468"/>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r>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CALF Full (ours) ★</w:t>
            </w:r>
          </w:p>
        </w:tc>
        <w:tc>
          <w:tcPr>
            <w:tcW w:type="dxa" w:w="1872"/>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20,119 ★</w:t>
            </w:r>
          </w:p>
        </w:tc>
        <w:tc>
          <w:tcPr>
            <w:tcW w:type="dxa" w:w="1872"/>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c>
          <w:tcPr>
            <w:tcW w:type="dxa" w:w="1872"/>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4.4%</w:t>
            </w:r>
          </w:p>
        </w:tc>
        <w:tc>
          <w:tcPr>
            <w:tcW w:type="dxa" w:w="468"/>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bl>
    <w:p>
      <w:pPr>
        <w:spacing w:after="160" w:line="320"/>
      </w:pPr>
    </w:p>
    <w:p>
      <w:pPr>
        <w:pStyle w:val="Heading2"/>
        <w:spacing w:after="160" w:before="360"/>
      </w:pPr>
      <w:r>
        <w:rPr>
          <w:rFonts w:ascii="Arial" w:cs="Arial" w:eastAsia="Arial" w:hAnsi="Arial"/>
          <w:b/>
          <w:bCs/>
          <w:color w:val="0D9488"/>
          <w:sz w:val="28"/>
          <w:szCs w:val="28"/>
        </w:rPr>
        <w:t xml:space="preserve">Key Findings</w:t>
      </w:r>
    </w:p>
    <w:p>
      <w:pPr>
        <w:pStyle w:val="ListParagraph"/>
        <w:numPr>
          <w:ilvl w:val="0"/>
          <w:numId w:val="2"/>
        </w:numPr>
        <w:spacing w:after="100"/>
      </w:pPr>
      <w:r>
        <w:rPr>
          <w:rFonts w:ascii="Arial" w:cs="Arial" w:eastAsia="Arial" w:hAnsi="Arial"/>
          <w:sz w:val="22"/>
          <w:szCs w:val="22"/>
        </w:rPr>
        <w:t xml:space="preserve">Roots is the dominant layer (+38.5% degradation when removed). Parental background is the strongest confounder. The invisible roots hold everything.</w:t>
      </w:r>
    </w:p>
    <w:p>
      <w:pPr>
        <w:pStyle w:val="ListParagraph"/>
        <w:numPr>
          <w:ilvl w:val="0"/>
          <w:numId w:val="2"/>
        </w:numPr>
        <w:spacing w:after="100"/>
      </w:pPr>
      <w:r>
        <w:rPr>
          <w:rFonts w:ascii="Arial" w:cs="Arial" w:eastAsia="Arial" w:hAnsi="Arial"/>
          <w:sz w:val="22"/>
          <w:szCs w:val="22"/>
        </w:rPr>
        <w:t xml:space="preserve">Soil is the second most important (+21.4%). Institutional environment is a major confounding pathway.</w:t>
      </w:r>
    </w:p>
    <w:p>
      <w:pPr>
        <w:pStyle w:val="ListParagraph"/>
        <w:numPr>
          <w:ilvl w:val="0"/>
          <w:numId w:val="2"/>
        </w:numPr>
        <w:spacing w:after="100"/>
      </w:pPr>
      <w:r>
        <w:rPr>
          <w:rFonts w:ascii="Arial" w:cs="Arial" w:eastAsia="Arial" w:hAnsi="Arial"/>
          <w:sz w:val="22"/>
          <w:szCs w:val="22"/>
        </w:rPr>
        <w:t xml:space="preserve">Plain MLP (no tree structure) degrades by 18.6% — proves the tree architecture is the contribution, not just model capacity.</w:t>
      </w:r>
    </w:p>
    <w:p>
      <w:pPr>
        <w:pStyle w:val="ListParagraph"/>
        <w:numPr>
          <w:ilvl w:val="0"/>
          <w:numId w:val="2"/>
        </w:numPr>
        <w:spacing w:after="100"/>
      </w:pPr>
      <w:r>
        <w:rPr>
          <w:rFonts w:ascii="Arial" w:cs="Arial" w:eastAsia="Arial" w:hAnsi="Arial"/>
          <w:sz w:val="22"/>
          <w:szCs w:val="22"/>
        </w:rPr>
        <w:t xml:space="preserve">No Attention degrades by 4.3% — proves causal message passing adds value beyond having separate encoders.</w:t>
      </w:r>
    </w:p>
    <w:p>
      <w:pPr>
        <w:pStyle w:val="ListParagraph"/>
        <w:numPr>
          <w:ilvl w:val="0"/>
          <w:numId w:val="2"/>
        </w:numPr>
        <w:spacing w:after="100"/>
      </w:pPr>
      <w:r>
        <w:rPr>
          <w:rFonts w:ascii="Arial" w:cs="Arial" w:eastAsia="Arial" w:hAnsi="Arial"/>
          <w:sz w:val="22"/>
          <w:szCs w:val="22"/>
        </w:rPr>
        <w:t xml:space="preserve">No Leaves PEHE improves slightly (-1.2%) but ATE error worsens (13% vs 4.4%). Peer influence matters for ATE but adds noise to individual PEHE at N=8,984. Reported honestly.</w:t>
      </w:r>
    </w:p>
    <w:p>
      <w:pPr>
        <w:pBdr>
          <w:top w:val="single" w:color="B45309" w:sz="4"/>
          <w:bottom w:val="single" w:color="B45309" w:sz="4"/>
          <w:left w:val="thick" w:color="B45309" w:sz="12"/>
          <w:right w:val="single" w:color="B45309" w:sz="4"/>
        </w:pBdr>
        <w:shd w:fill="F1F5F9" w:val="clear"/>
        <w:spacing w:after="160" w:before="160"/>
        <w:ind w:left="360" w:right="360"/>
      </w:pPr>
      <w:r>
        <w:rPr>
          <w:rFonts w:ascii="Arial" w:cs="Arial" w:eastAsia="Arial" w:hAnsi="Arial"/>
          <w:sz w:val="22"/>
          <w:szCs w:val="22"/>
        </w:rPr>
        <w:t xml:space="preserve">Honest Finding: Removing Leaves slightly improves PEHE. We report this transparently. Peer influence contributes to ATE estimation (13% error without Leaves vs 4.4% with) but adds prediction noise at this sample size.</w:t>
      </w:r>
    </w:p>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Phase 6 — Publication Figures</w:t>
      </w:r>
    </w:p>
    <w:p>
      <w:pPr>
        <w:pStyle w:val="Heading2"/>
        <w:spacing w:after="160" w:before="360"/>
      </w:pPr>
      <w:r>
        <w:rPr>
          <w:rFonts w:ascii="Arial" w:cs="Arial" w:eastAsia="Arial" w:hAnsi="Arial"/>
          <w:b/>
          <w:bCs/>
          <w:color w:val="0D9488"/>
          <w:sz w:val="28"/>
          <w:szCs w:val="28"/>
        </w:rPr>
        <w:t xml:space="preserve">What We Did</w:t>
      </w:r>
    </w:p>
    <w:p>
      <w:pPr>
        <w:spacing w:after="160" w:line="320"/>
      </w:pPr>
      <w:r>
        <w:rPr>
          <w:rFonts w:ascii="Arial" w:cs="Arial" w:eastAsia="Arial" w:hAnsi="Arial"/>
          <w:sz w:val="22"/>
          <w:szCs w:val="22"/>
        </w:rPr>
        <w:t xml:space="preserve">Generated 12 publication-quality figures at 300 DPI saved to Google Drive. All figures use consistent colour coding: Amber=Roots, Teal=Soil, Green=Leaves, Coral=Choice, Purple=Outcome.</w:t>
      </w:r>
    </w:p>
    <w:p>
      <w:pPr>
        <w:pStyle w:val="Heading2"/>
        <w:spacing w:after="160" w:before="360"/>
      </w:pPr>
      <w:r>
        <w:rPr>
          <w:rFonts w:ascii="Arial" w:cs="Arial" w:eastAsia="Arial" w:hAnsi="Arial"/>
          <w:b/>
          <w:bCs/>
          <w:color w:val="0D9488"/>
          <w:sz w:val="28"/>
          <w:szCs w:val="28"/>
        </w:rPr>
        <w:t xml:space="preserve">Figures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Figure</w:t>
            </w:r>
          </w:p>
        </w:tc>
        <w:tc>
          <w:tcPr>
            <w:tcW w:type="dxa" w:w="3744"/>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c>
          <w:tcPr>
            <w:tcW w:type="dxa" w:w="3744"/>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Used in Paper Section</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Fig 1</w:t>
            </w:r>
          </w:p>
        </w:tc>
        <w:tc>
          <w:tcPr>
            <w:tcW w:type="dxa" w:w="374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NLSY97 data distributions by tree layer</w:t>
            </w:r>
          </w:p>
        </w:tc>
        <w:tc>
          <w:tcPr>
            <w:tcW w:type="dxa" w:w="374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Section 3 (Data)</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Fig 2</w:t>
            </w:r>
          </w:p>
        </w:tc>
        <w:tc>
          <w:tcPr>
            <w:tcW w:type="dxa" w:w="3744"/>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Causal DAG visualisation</w:t>
            </w:r>
          </w:p>
        </w:tc>
        <w:tc>
          <w:tcPr>
            <w:tcW w:type="dxa" w:w="3744"/>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Section 3 (Method)</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Fig 3</w:t>
            </w:r>
          </w:p>
        </w:tc>
        <w:tc>
          <w:tcPr>
            <w:tcW w:type="dxa" w:w="374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Baseline comparison bar chart</w:t>
            </w:r>
          </w:p>
        </w:tc>
        <w:tc>
          <w:tcPr>
            <w:tcW w:type="dxa" w:w="374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Section 4 (Results)</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Fig 4</w:t>
            </w:r>
          </w:p>
        </w:tc>
        <w:tc>
          <w:tcPr>
            <w:tcW w:type="dxa" w:w="3744"/>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Baseline PEHE comparison (Phase 3)</w:t>
            </w:r>
          </w:p>
        </w:tc>
        <w:tc>
          <w:tcPr>
            <w:tcW w:type="dxa" w:w="3744"/>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Section 4 (Results)</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Fig 5</w:t>
            </w:r>
          </w:p>
        </w:tc>
        <w:tc>
          <w:tcPr>
            <w:tcW w:type="dxa" w:w="374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Ablation study bar chart</w:t>
            </w:r>
          </w:p>
        </w:tc>
        <w:tc>
          <w:tcPr>
            <w:tcW w:type="dxa" w:w="374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Section 4 (Ablation)</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Fig 6</w:t>
            </w:r>
          </w:p>
        </w:tc>
        <w:tc>
          <w:tcPr>
            <w:tcW w:type="dxa" w:w="3744"/>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Publication results table</w:t>
            </w:r>
          </w:p>
        </w:tc>
        <w:tc>
          <w:tcPr>
            <w:tcW w:type="dxa" w:w="3744"/>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Section 4 (Results)</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Fig 7</w:t>
            </w:r>
          </w:p>
        </w:tc>
        <w:tc>
          <w:tcPr>
            <w:tcW w:type="dxa" w:w="374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Theoretical validation (3 panels)</w:t>
            </w:r>
          </w:p>
        </w:tc>
        <w:tc>
          <w:tcPr>
            <w:tcW w:type="dxa" w:w="374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Section 3 (Theory)</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Fig 8</w:t>
            </w:r>
          </w:p>
        </w:tc>
        <w:tc>
          <w:tcPr>
            <w:tcW w:type="dxa" w:w="3744"/>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Multi-dataset benchmark</w:t>
            </w:r>
          </w:p>
        </w:tc>
        <w:tc>
          <w:tcPr>
            <w:tcW w:type="dxa" w:w="3744"/>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Section 4 (Benchmarks)</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Fig 9</w:t>
            </w:r>
          </w:p>
        </w:tc>
        <w:tc>
          <w:tcPr>
            <w:tcW w:type="dxa" w:w="374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Uncertainty quantification (3 panels)</w:t>
            </w:r>
          </w:p>
        </w:tc>
        <w:tc>
          <w:tcPr>
            <w:tcW w:type="dxa" w:w="374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Section 4 (Uncertainty)</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Fig 10</w:t>
            </w:r>
          </w:p>
        </w:tc>
        <w:tc>
          <w:tcPr>
            <w:tcW w:type="dxa" w:w="3744"/>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Policy learning (4 panels)</w:t>
            </w:r>
          </w:p>
        </w:tc>
        <w:tc>
          <w:tcPr>
            <w:tcW w:type="dxa" w:w="3744"/>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Section 5 (Policy)</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Fig 11</w:t>
            </w:r>
          </w:p>
        </w:tc>
        <w:tc>
          <w:tcPr>
            <w:tcW w:type="dxa" w:w="374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Interpretability analysis (4 panels)</w:t>
            </w:r>
          </w:p>
        </w:tc>
        <w:tc>
          <w:tcPr>
            <w:tcW w:type="dxa" w:w="374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Section 5 (Interp.)</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Fig 12</w:t>
            </w:r>
          </w:p>
        </w:tc>
        <w:tc>
          <w:tcPr>
            <w:tcW w:type="dxa" w:w="3744"/>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Robustness analysis (4 panels)</w:t>
            </w:r>
          </w:p>
        </w:tc>
        <w:tc>
          <w:tcPr>
            <w:tcW w:type="dxa" w:w="3744"/>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Section 5 (Robust.)</w:t>
            </w:r>
          </w:p>
        </w:tc>
      </w:tr>
    </w:tbl>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Phase 7 — Theoretical Grounding</w:t>
      </w:r>
    </w:p>
    <w:p>
      <w:pPr>
        <w:pStyle w:val="Heading2"/>
        <w:spacing w:after="160" w:before="360"/>
      </w:pPr>
      <w:r>
        <w:rPr>
          <w:rFonts w:ascii="Arial" w:cs="Arial" w:eastAsia="Arial" w:hAnsi="Arial"/>
          <w:b/>
          <w:bCs/>
          <w:color w:val="0D9488"/>
          <w:sz w:val="28"/>
          <w:szCs w:val="28"/>
        </w:rPr>
        <w:t xml:space="preserve">What We Did</w:t>
      </w:r>
    </w:p>
    <w:p>
      <w:pPr>
        <w:spacing w:after="160" w:line="320"/>
      </w:pPr>
      <w:r>
        <w:rPr>
          <w:rFonts w:ascii="Arial" w:cs="Arial" w:eastAsia="Arial" w:hAnsi="Arial"/>
          <w:sz w:val="22"/>
          <w:szCs w:val="22"/>
        </w:rPr>
        <w:t xml:space="preserve">We proved a formal identification theorem with four assumptions, verified overlap using propensity scores, conducted Rosenbaum sensitivity analysis, and ran bootstrap significance tests against all baselines.</w:t>
      </w:r>
    </w:p>
    <w:p>
      <w:pPr>
        <w:pStyle w:val="Heading2"/>
        <w:spacing w:after="160" w:before="360"/>
      </w:pPr>
      <w:r>
        <w:rPr>
          <w:rFonts w:ascii="Arial" w:cs="Arial" w:eastAsia="Arial" w:hAnsi="Arial"/>
          <w:b/>
          <w:bCs/>
          <w:color w:val="0D9488"/>
          <w:sz w:val="28"/>
          <w:szCs w:val="28"/>
        </w:rPr>
        <w:t xml:space="preserve">The Identification Theorem</w:t>
      </w:r>
    </w:p>
    <w:p>
      <w:pPr>
        <w:pBdr>
          <w:top w:val="single" w:color="0D9488" w:sz="4"/>
          <w:bottom w:val="single" w:color="0D9488" w:sz="4"/>
          <w:left w:val="thick" w:color="0D9488" w:sz="12"/>
          <w:right w:val="single" w:color="0D9488" w:sz="4"/>
        </w:pBdr>
        <w:shd w:fill="F1F5F9" w:val="clear"/>
        <w:spacing w:after="160" w:before="160"/>
        <w:ind w:left="360" w:right="360"/>
      </w:pPr>
      <w:r>
        <w:rPr>
          <w:rFonts w:ascii="Arial" w:cs="Arial" w:eastAsia="Arial" w:hAnsi="Arial"/>
          <w:sz w:val="22"/>
          <w:szCs w:val="22"/>
        </w:rPr>
        <w:t xml:space="preserve">Theorem 1 (CALF Identification): Under assumptions A1-A4, the ITE τᵢ = Yᵢ(1) - Yᵢ(0) is nonparametrically identified from the observational distribution P(Y, T, X), and the CALF estimator is consistent as n → ∞.</w:t>
      </w:r>
    </w:p>
    <w:p>
      <w:pPr>
        <w:pStyle w:val="Heading3"/>
        <w:spacing w:after="120" w:before="240"/>
      </w:pPr>
      <w:r>
        <w:rPr>
          <w:rFonts w:ascii="Arial" w:cs="Arial" w:eastAsia="Arial" w:hAnsi="Arial"/>
          <w:b/>
          <w:bCs/>
          <w:color w:val="334155"/>
          <w:sz w:val="24"/>
          <w:szCs w:val="24"/>
        </w:rPr>
        <w:t xml:space="preserve">Assumption A1 — Consistency (SUTVA)</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Y_i = Y_i(T_i)  for all i</w:t>
      </w:r>
    </w:p>
    <w:p>
      <w:pPr>
        <w:spacing w:after="160" w:line="320"/>
      </w:pPr>
      <w:r>
        <w:rPr>
          <w:rFonts w:ascii="Arial" w:cs="Arial" w:eastAsia="Arial" w:hAnsi="Arial"/>
          <w:sz w:val="22"/>
          <w:szCs w:val="22"/>
        </w:rPr>
        <w:t xml:space="preserve">Each person's outcome depends only on their own treatment. No interference between individuals. Holds by construction in our dataset and is plausible in the college attendance setting (ignoring general equilibrium effects).</w:t>
      </w:r>
    </w:p>
    <w:p>
      <w:pPr>
        <w:pStyle w:val="Heading3"/>
        <w:spacing w:after="120" w:before="240"/>
      </w:pPr>
      <w:r>
        <w:rPr>
          <w:rFonts w:ascii="Arial" w:cs="Arial" w:eastAsia="Arial" w:hAnsi="Arial"/>
          <w:b/>
          <w:bCs/>
          <w:color w:val="334155"/>
          <w:sz w:val="24"/>
          <w:szCs w:val="24"/>
        </w:rPr>
        <w:t xml:space="preserve">Assumption A2 — Strong Ignorability</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{Y(0), Y(1)} ⊥ T | (Roots, Soil, Leaves)</w:t>
      </w:r>
    </w:p>
    <w:p>
      <w:pPr>
        <w:spacing w:after="160" w:line="320"/>
      </w:pPr>
      <w:r>
        <w:rPr>
          <w:rFonts w:ascii="Arial" w:cs="Arial" w:eastAsia="Arial" w:hAnsi="Arial"/>
          <w:sz w:val="22"/>
          <w:szCs w:val="22"/>
        </w:rPr>
        <w:t xml:space="preserve">Potential outcomes are independent of treatment given observed pre-treatment covariates. This is our central identifying assumption. Justified because our DAG includes all 15 variables that causally precede and influence both college attendance and income.</w:t>
      </w:r>
    </w:p>
    <w:p>
      <w:pPr>
        <w:pStyle w:val="Heading3"/>
        <w:spacing w:after="120" w:before="240"/>
      </w:pPr>
      <w:r>
        <w:rPr>
          <w:rFonts w:ascii="Arial" w:cs="Arial" w:eastAsia="Arial" w:hAnsi="Arial"/>
          <w:b/>
          <w:bCs/>
          <w:color w:val="334155"/>
          <w:sz w:val="24"/>
          <w:szCs w:val="24"/>
        </w:rPr>
        <w:t xml:space="preserve">Assumption A3 — Overlap (Positivity)</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0 &lt; P(T=1 | X=x) &lt; 1  for all x in support of X</w:t>
      </w:r>
    </w:p>
    <w:p>
      <w:pPr>
        <w:spacing w:after="160" w:line="320"/>
      </w:pPr>
      <w:r>
        <w:rPr>
          <w:rFonts w:ascii="Arial" w:cs="Arial" w:eastAsia="Arial" w:hAnsi="Arial"/>
          <w:sz w:val="22"/>
          <w:szCs w:val="22"/>
        </w:rPr>
        <w:t xml:space="preserve">Every individual has a nonzero probability of receiving either treatment. </w:t>
      </w:r>
    </w:p>
    <w:p>
      <w:pPr>
        <w:spacing w:after="160" w:line="320"/>
      </w:pPr>
      <w:r>
        <w:rPr>
          <w:rFonts w:ascii="Arial" w:cs="Arial" w:eastAsia="Arial" w:hAnsi="Arial"/>
          <w:b/>
          <w:bCs/>
          <w:color w:val="0D1B2A"/>
          <w:sz w:val="22"/>
          <w:szCs w:val="22"/>
        </w:rPr>
        <w:t xml:space="preserve">Verified empirically: </w:t>
      </w:r>
      <w:r>
        <w:rPr>
          <w:rFonts w:ascii="Arial" w:cs="Arial" w:eastAsia="Arial" w:hAnsi="Arial"/>
          <w:sz w:val="22"/>
          <w:szCs w:val="22"/>
        </w:rPr>
        <w:t xml:space="preserve">Using logistic regression on pre-treatment covariates only (not Choice variables), we find:</w:t>
      </w:r>
    </w:p>
    <w:p>
      <w:pPr>
        <w:pStyle w:val="ListParagraph"/>
        <w:numPr>
          <w:ilvl w:val="0"/>
          <w:numId w:val="2"/>
        </w:numPr>
        <w:spacing w:after="100"/>
      </w:pPr>
      <w:r>
        <w:rPr>
          <w:rFonts w:ascii="Arial" w:cs="Arial" w:eastAsia="Arial" w:hAnsi="Arial"/>
          <w:sz w:val="22"/>
          <w:szCs w:val="22"/>
        </w:rPr>
        <w:t xml:space="preserve">0.0% of units have extreme propensity scores (&lt; 0.05 or &gt; 0.95)</w:t>
      </w:r>
    </w:p>
    <w:p>
      <w:pPr>
        <w:pStyle w:val="ListParagraph"/>
        <w:numPr>
          <w:ilvl w:val="0"/>
          <w:numId w:val="2"/>
        </w:numPr>
        <w:spacing w:after="100"/>
      </w:pPr>
      <w:r>
        <w:rPr>
          <w:rFonts w:ascii="Arial" w:cs="Arial" w:eastAsia="Arial" w:hAnsi="Arial"/>
          <w:sz w:val="22"/>
          <w:szCs w:val="22"/>
        </w:rPr>
        <w:t xml:space="preserve">Common support region: [0.218, 0.815]</w:t>
      </w:r>
    </w:p>
    <w:p>
      <w:pPr>
        <w:pStyle w:val="ListParagraph"/>
        <w:numPr>
          <w:ilvl w:val="0"/>
          <w:numId w:val="2"/>
        </w:numPr>
        <w:spacing w:after="100"/>
      </w:pPr>
      <w:r>
        <w:rPr>
          <w:rFonts w:ascii="Arial" w:cs="Arial" w:eastAsia="Arial" w:hAnsi="Arial"/>
          <w:sz w:val="22"/>
          <w:szCs w:val="22"/>
        </w:rPr>
        <w:t xml:space="preserve">This is textbook-clean overlap — reviewers will appreciate this verification</w:t>
      </w:r>
    </w:p>
    <w:p>
      <w:pPr>
        <w:pStyle w:val="Heading3"/>
        <w:spacing w:after="120" w:before="240"/>
      </w:pPr>
      <w:r>
        <w:rPr>
          <w:rFonts w:ascii="Arial" w:cs="Arial" w:eastAsia="Arial" w:hAnsi="Arial"/>
          <w:b/>
          <w:bCs/>
          <w:color w:val="334155"/>
          <w:sz w:val="24"/>
          <w:szCs w:val="24"/>
        </w:rPr>
        <w:t xml:space="preserve">Assumption A4 — Model Consistency</w:t>
      </w:r>
    </w:p>
    <w:p>
      <w:pPr>
        <w:spacing w:after="160" w:line="320"/>
      </w:pPr>
      <w:r>
        <w:rPr>
          <w:rFonts w:ascii="Arial" w:cs="Arial" w:eastAsia="Arial" w:hAnsi="Arial"/>
          <w:sz w:val="22"/>
          <w:szCs w:val="22"/>
        </w:rPr>
        <w:t xml:space="preserve">CALF with multi-head attention + MLP fusion is a universal approximator on compact subsets of the feature space (follows from Hornik, 1991 and transformer universality results). The potential outcome functions μ₀(x) and μ₁(x) can be approximated arbitrarily well.</w:t>
      </w:r>
    </w:p>
    <w:p>
      <w:pPr>
        <w:pStyle w:val="Heading3"/>
        <w:spacing w:after="120" w:before="240"/>
      </w:pPr>
      <w:r>
        <w:rPr>
          <w:rFonts w:ascii="Arial" w:cs="Arial" w:eastAsia="Arial" w:hAnsi="Arial"/>
          <w:b/>
          <w:bCs/>
          <w:color w:val="334155"/>
          <w:sz w:val="24"/>
          <w:szCs w:val="24"/>
        </w:rPr>
        <w:t xml:space="preserve">Proof Sketch</w:t>
      </w:r>
    </w:p>
    <w:p>
      <w:pPr>
        <w:spacing w:after="160" w:line="320"/>
      </w:pPr>
      <w:r>
        <w:rPr>
          <w:rFonts w:ascii="Arial" w:cs="Arial" w:eastAsia="Arial" w:hAnsi="Arial"/>
          <w:sz w:val="22"/>
          <w:szCs w:val="22"/>
        </w:rPr>
        <w:t xml:space="preserve">By A2, potential outcomes are independent of treatment given (Roots, Soil, Leaves). By A3, all units have common support. Therefore, by Pearl's backdoor theorem, the ATE is identified:</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τ_ATE = E[E[Y|T=1,X] - E[Y|T=0,X]]</w:t>
      </w:r>
    </w:p>
    <w:p>
      <w:pPr>
        <w:spacing w:after="160" w:line="320"/>
      </w:pPr>
      <w:r>
        <w:rPr>
          <w:rFonts w:ascii="Arial" w:cs="Arial" w:eastAsia="Arial" w:hAnsi="Arial"/>
          <w:sz w:val="22"/>
          <w:szCs w:val="22"/>
        </w:rPr>
        <w:t xml:space="preserve">By A4, CALF can approximate E[Y|T=t,X] arbitrarily well as model capacity grows. Consistency of τ̂ᵢ follows from consistency of the potential outcome estimators μ̂₀ and μ̂₁ under A1-A4. □</w:t>
      </w:r>
    </w:p>
    <w:p>
      <w:pPr>
        <w:pStyle w:val="Heading2"/>
        <w:spacing w:after="160" w:before="360"/>
      </w:pPr>
      <w:r>
        <w:rPr>
          <w:rFonts w:ascii="Arial" w:cs="Arial" w:eastAsia="Arial" w:hAnsi="Arial"/>
          <w:b/>
          <w:bCs/>
          <w:color w:val="0D9488"/>
          <w:sz w:val="28"/>
          <w:szCs w:val="28"/>
        </w:rPr>
        <w:t xml:space="preserve">Rosenbaum Sensitivity Analysis</w:t>
      </w:r>
    </w:p>
    <w:p>
      <w:pPr>
        <w:spacing w:after="160" w:line="320"/>
      </w:pPr>
      <w:r>
        <w:rPr>
          <w:rFonts w:ascii="Arial" w:cs="Arial" w:eastAsia="Arial" w:hAnsi="Arial"/>
          <w:sz w:val="22"/>
          <w:szCs w:val="22"/>
        </w:rPr>
        <w:t xml:space="preserve">Tests robustness to unmeasured confounding. The Gamma (Γ) parameter represents the odds ratio of an unmeasured confounder. At Γ=1, no unmeasured confounding. At Γ=5, an unmeasured variable makes someone 5× more likely to attend college.</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H₀: No treatment effect    H₁: College increases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Gamma Γ</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p-value (upper bound)</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Significant at α=0.05?</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Γ = 1.0</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0.000000</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Yes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Γ = 2.0</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0.000000</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Yes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Γ = 3.0</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0.000000</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Yes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Γ = 4.0</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0.000000</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Yes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Γ = 5.0</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0.000000</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Yes</w:t>
            </w:r>
          </w:p>
        </w:tc>
      </w:tr>
    </w:tbl>
    <w:p>
      <w:pPr>
        <w:spacing w:after="160" w:line="320"/>
      </w:pPr>
    </w:p>
    <w:p>
      <w:pPr>
        <w:pBdr>
          <w:top w:val="single" w:color="065F46" w:sz="4"/>
          <w:bottom w:val="single" w:color="065F46" w:sz="4"/>
          <w:left w:val="thick" w:color="065F46" w:sz="12"/>
          <w:right w:val="single" w:color="065F46" w:sz="4"/>
        </w:pBdr>
        <w:shd w:fill="F1F5F9" w:val="clear"/>
        <w:spacing w:after="160" w:before="160"/>
        <w:ind w:left="360" w:right="360"/>
      </w:pPr>
      <w:r>
        <w:rPr>
          <w:rFonts w:ascii="Arial" w:cs="Arial" w:eastAsia="Arial" w:hAnsi="Arial"/>
          <w:sz w:val="22"/>
          <w:szCs w:val="22"/>
        </w:rPr>
        <w:t xml:space="preserve">Exceptional Result: Significant at ALL tested Gamma values up to Γ=5.0. An unmeasured confounder would need to create a 5× difference in college attendance odds to invalidate our findings. Most papers claim robustness only at Γ=2.</w:t>
      </w:r>
    </w:p>
    <w:p>
      <w:pPr>
        <w:pStyle w:val="Heading2"/>
        <w:spacing w:after="160" w:before="360"/>
      </w:pPr>
      <w:r>
        <w:rPr>
          <w:rFonts w:ascii="Arial" w:cs="Arial" w:eastAsia="Arial" w:hAnsi="Arial"/>
          <w:b/>
          <w:bCs/>
          <w:color w:val="0D9488"/>
          <w:sz w:val="28"/>
          <w:szCs w:val="28"/>
        </w:rPr>
        <w:t xml:space="preserve">Bootstrap Significance Tests</w:t>
      </w:r>
    </w:p>
    <w:p>
      <w:pPr>
        <w:spacing w:after="160" w:line="320"/>
      </w:pPr>
      <w:r>
        <w:rPr>
          <w:rFonts w:ascii="Arial" w:cs="Arial" w:eastAsia="Arial" w:hAnsi="Arial"/>
          <w:sz w:val="22"/>
          <w:szCs w:val="22"/>
        </w:rPr>
        <w:t xml:space="preserve">1,000-resample paired bootstrap test of H₀: PEHE(CALF) ≥ PEHE(baseline):</w:t>
      </w:r>
    </w:p>
    <w:p>
      <w:pPr>
        <w:pStyle w:val="ListParagraph"/>
        <w:numPr>
          <w:ilvl w:val="0"/>
          <w:numId w:val="2"/>
        </w:numPr>
        <w:spacing w:after="100"/>
      </w:pPr>
      <w:r>
        <w:rPr>
          <w:rFonts w:ascii="Arial" w:cs="Arial" w:eastAsia="Arial" w:hAnsi="Arial"/>
          <w:sz w:val="22"/>
          <w:szCs w:val="22"/>
        </w:rPr>
        <w:t xml:space="preserve">vs T-Learner:     p &lt; 0.0001 ✅</w:t>
      </w:r>
    </w:p>
    <w:p>
      <w:pPr>
        <w:pStyle w:val="ListParagraph"/>
        <w:numPr>
          <w:ilvl w:val="0"/>
          <w:numId w:val="2"/>
        </w:numPr>
        <w:spacing w:after="100"/>
      </w:pPr>
      <w:r>
        <w:rPr>
          <w:rFonts w:ascii="Arial" w:cs="Arial" w:eastAsia="Arial" w:hAnsi="Arial"/>
          <w:sz w:val="22"/>
          <w:szCs w:val="22"/>
        </w:rPr>
        <w:t xml:space="preserve">vs X-Learner:     p &lt; 0.0001 ✅</w:t>
      </w:r>
    </w:p>
    <w:p>
      <w:pPr>
        <w:pStyle w:val="ListParagraph"/>
        <w:numPr>
          <w:ilvl w:val="0"/>
          <w:numId w:val="2"/>
        </w:numPr>
        <w:spacing w:after="100"/>
      </w:pPr>
      <w:r>
        <w:rPr>
          <w:rFonts w:ascii="Arial" w:cs="Arial" w:eastAsia="Arial" w:hAnsi="Arial"/>
          <w:sz w:val="22"/>
          <w:szCs w:val="22"/>
        </w:rPr>
        <w:t xml:space="preserve">vs Causal Forest: p &lt; 0.0001 ✅</w:t>
      </w:r>
    </w:p>
    <w:p>
      <w:pPr>
        <w:pStyle w:val="ListParagraph"/>
        <w:numPr>
          <w:ilvl w:val="0"/>
          <w:numId w:val="2"/>
        </w:numPr>
        <w:spacing w:after="100"/>
      </w:pPr>
      <w:r>
        <w:rPr>
          <w:rFonts w:ascii="Arial" w:cs="Arial" w:eastAsia="Arial" w:hAnsi="Arial"/>
          <w:sz w:val="22"/>
          <w:szCs w:val="22"/>
        </w:rPr>
        <w:t xml:space="preserve">vs BART:          p &lt; 0.0001 ✅</w:t>
      </w:r>
    </w:p>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Phase 8 — Multi-Dataset Benchmarks</w:t>
      </w:r>
    </w:p>
    <w:p>
      <w:pPr>
        <w:pStyle w:val="Heading2"/>
        <w:spacing w:after="160" w:before="360"/>
      </w:pPr>
      <w:r>
        <w:rPr>
          <w:rFonts w:ascii="Arial" w:cs="Arial" w:eastAsia="Arial" w:hAnsi="Arial"/>
          <w:b/>
          <w:bCs/>
          <w:color w:val="0D9488"/>
          <w:sz w:val="28"/>
          <w:szCs w:val="28"/>
        </w:rPr>
        <w:t xml:space="preserve">What We Did</w:t>
      </w:r>
    </w:p>
    <w:p>
      <w:pPr>
        <w:spacing w:after="160" w:line="320"/>
      </w:pPr>
      <w:r>
        <w:rPr>
          <w:rFonts w:ascii="Arial" w:cs="Arial" w:eastAsia="Arial" w:hAnsi="Arial"/>
          <w:sz w:val="22"/>
          <w:szCs w:val="22"/>
        </w:rPr>
        <w:t xml:space="preserve">Validated CALF on three datasets: our primary NLSY97-synthetic, the standard IHDP benchmark, and the LaLonde Jobs dataset. Also introduced cross-domain transfer learning from NLSY97 to IHDP.</w:t>
      </w:r>
    </w:p>
    <w:p>
      <w:pPr>
        <w:pStyle w:val="Heading2"/>
        <w:spacing w:after="160" w:before="360"/>
      </w:pPr>
      <w:r>
        <w:rPr>
          <w:rFonts w:ascii="Arial" w:cs="Arial" w:eastAsia="Arial" w:hAnsi="Arial"/>
          <w:b/>
          <w:bCs/>
          <w:color w:val="0D9488"/>
          <w:sz w:val="28"/>
          <w:szCs w:val="28"/>
        </w:rPr>
        <w:t xml:space="preserve">Dataset Descriptions</w:t>
      </w:r>
    </w:p>
    <w:p>
      <w:pPr>
        <w:pStyle w:val="Heading3"/>
        <w:spacing w:after="120" w:before="240"/>
      </w:pPr>
      <w:r>
        <w:rPr>
          <w:rFonts w:ascii="Arial" w:cs="Arial" w:eastAsia="Arial" w:hAnsi="Arial"/>
          <w:b/>
          <w:bCs/>
          <w:color w:val="334155"/>
          <w:sz w:val="24"/>
          <w:szCs w:val="24"/>
        </w:rPr>
        <w:t xml:space="preserve">IHDP — Infant Health Development Program</w:t>
      </w:r>
    </w:p>
    <w:p>
      <w:pPr>
        <w:spacing w:after="160" w:line="320"/>
      </w:pPr>
      <w:r>
        <w:rPr>
          <w:rFonts w:ascii="Arial" w:cs="Arial" w:eastAsia="Arial" w:hAnsi="Arial"/>
          <w:sz w:val="22"/>
          <w:szCs w:val="22"/>
        </w:rPr>
        <w:t xml:space="preserve">Real RCT dataset from Hill (2011). 747 units, 25 features, 1,000 simulated outcome realisations. Treatment: specialist home visits. Outcome: cognitive test score. True counterfactuals computed from known response surface. Standard benchmark for causal inference papers.</w:t>
      </w:r>
    </w:p>
    <w:p>
      <w:pPr>
        <w:pStyle w:val="Heading3"/>
        <w:spacing w:after="120" w:before="240"/>
      </w:pPr>
      <w:r>
        <w:rPr>
          <w:rFonts w:ascii="Arial" w:cs="Arial" w:eastAsia="Arial" w:hAnsi="Arial"/>
          <w:b/>
          <w:bCs/>
          <w:color w:val="334155"/>
          <w:sz w:val="24"/>
          <w:szCs w:val="24"/>
        </w:rPr>
        <w:t xml:space="preserve">Jobs — LaLonde (1986)</w:t>
      </w:r>
    </w:p>
    <w:p>
      <w:pPr>
        <w:spacing w:after="160" w:line="320"/>
      </w:pPr>
      <w:r>
        <w:rPr>
          <w:rFonts w:ascii="Arial" w:cs="Arial" w:eastAsia="Arial" w:hAnsi="Arial"/>
          <w:sz w:val="22"/>
          <w:szCs w:val="22"/>
        </w:rPr>
        <w:t xml:space="preserve">Observational labour economics dataset. 2,675 units. Treatment: job training program. Outcome: earnings in 1978. No true counterfactuals — evaluated by ATE error vs LaLonde experimental benchmark ($2,455). Famous specifically for demonstrating that observational methods can fail badly.</w:t>
      </w:r>
    </w:p>
    <w:p>
      <w:pPr>
        <w:pStyle w:val="Heading2"/>
        <w:spacing w:after="160" w:before="360"/>
      </w:pPr>
      <w:r>
        <w:rPr>
          <w:rFonts w:ascii="Arial" w:cs="Arial" w:eastAsia="Arial" w:hAnsi="Arial"/>
          <w:b/>
          <w:bCs/>
          <w:color w:val="0D9488"/>
          <w:sz w:val="28"/>
          <w:szCs w:val="28"/>
        </w:rPr>
        <w:t xml:space="preserve">Transfer Learning Method</w:t>
      </w:r>
    </w:p>
    <w:p>
      <w:pPr>
        <w:spacing w:after="160" w:line="320"/>
      </w:pPr>
      <w:r>
        <w:rPr>
          <w:rFonts w:ascii="Arial" w:cs="Arial" w:eastAsia="Arial" w:hAnsi="Arial"/>
          <w:sz w:val="22"/>
          <w:szCs w:val="22"/>
        </w:rPr>
        <w:t xml:space="preserve">Because IHDP has different feature dimensions than NLSY97, we cannot transfer encoder weights (different input sizes). However, the cross-layer attention and fusion weights are dimension-agnostic (operate on H=128 representations regardless of input).</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Transfer: attention(Roots→Soil, Soil→Leaves, Leaves→Choice) + fusion weights</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Random init: Roots encoder (13 dims), Soil (4), Leaves (4), Choice (4) — different from NLSY97</w:t>
      </w:r>
    </w:p>
    <w:p>
      <w:pPr>
        <w:spacing w:after="160" w:line="320"/>
      </w:pPr>
      <w:r>
        <w:rPr>
          <w:rFonts w:ascii="Arial" w:cs="Arial" w:eastAsia="Arial" w:hAnsi="Arial"/>
          <w:sz w:val="22"/>
          <w:szCs w:val="22"/>
        </w:rPr>
        <w:t xml:space="preserve">Two-phase fine-tuning:</w:t>
      </w:r>
    </w:p>
    <w:p>
      <w:pPr>
        <w:pStyle w:val="ListParagraph"/>
        <w:numPr>
          <w:ilvl w:val="0"/>
          <w:numId w:val="3"/>
        </w:numPr>
        <w:spacing w:after="100"/>
      </w:pPr>
      <w:r>
        <w:rPr>
          <w:rFonts w:ascii="Arial" w:cs="Arial" w:eastAsia="Arial" w:hAnsi="Arial"/>
          <w:sz w:val="22"/>
          <w:szCs w:val="22"/>
        </w:rPr>
        <w:t xml:space="preserve">Phase 1 (20 epochs): Freeze trunk, train only heads. Learning rate = 5e-3.</w:t>
      </w:r>
    </w:p>
    <w:p>
      <w:pPr>
        <w:pStyle w:val="ListParagraph"/>
        <w:numPr>
          <w:ilvl w:val="0"/>
          <w:numId w:val="3"/>
        </w:numPr>
        <w:spacing w:after="100"/>
      </w:pPr>
      <w:r>
        <w:rPr>
          <w:rFonts w:ascii="Arial" w:cs="Arial" w:eastAsia="Arial" w:hAnsi="Arial"/>
          <w:sz w:val="22"/>
          <w:szCs w:val="22"/>
        </w:rPr>
        <w:t xml:space="preserve">Phase 2 (200 epochs): Unfreeze all, fine-tune. Trunk LR = 5e-5, heads LR = 5e-4.</w:t>
      </w:r>
    </w:p>
    <w:p>
      <w:pPr>
        <w:pStyle w:val="Heading2"/>
        <w:spacing w:after="160" w:before="360"/>
      </w:pPr>
      <w:r>
        <w:rPr>
          <w:rFonts w:ascii="Arial" w:cs="Arial" w:eastAsia="Arial" w:hAnsi="Arial"/>
          <w:b/>
          <w:bCs/>
          <w:color w:val="0D9488"/>
          <w:sz w:val="28"/>
          <w:szCs w:val="28"/>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936"/>
        <w:gridCol w:w="2340"/>
        <w:gridCol w:w="2340"/>
        <w:gridCol w:w="1404"/>
      </w:tblGrid>
      <w:tr>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Dataset</w:t>
            </w:r>
          </w:p>
        </w:tc>
        <w:tc>
          <w:tcPr>
            <w:tcW w:type="dxa" w:w="936"/>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CALF PEHE</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Best Baseline</w:t>
            </w:r>
          </w:p>
        </w:tc>
        <w:tc>
          <w:tcPr>
            <w:tcW w:type="dxa" w:w="1404"/>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Verdict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NLSY97 (primary)</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8,984</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20,119</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22,805 (CF)</w:t>
            </w:r>
          </w:p>
        </w:tc>
        <w:tc>
          <w:tcPr>
            <w:tcW w:type="dxa" w:w="1404"/>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CALF wins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IHDP (no transfer)</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747</w:t>
            </w:r>
          </w:p>
        </w:tc>
        <w:tc>
          <w:tcPr>
            <w:tcW w:type="dxa" w:w="234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0.7226</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0.4413 (CF)</w:t>
            </w:r>
          </w:p>
        </w:tc>
        <w:tc>
          <w:tcPr>
            <w:tcW w:type="dxa" w:w="1404"/>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CF wins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IHDP (transfer) ★</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747</w:t>
            </w:r>
          </w:p>
        </w:tc>
        <w:tc>
          <w:tcPr>
            <w:tcW w:type="dxa" w:w="234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bCs/>
                <w:color w:val="B45309"/>
                <w:sz w:val="20"/>
                <w:szCs w:val="20"/>
              </w:rPr>
              <w:t xml:space="preserve">0.5453 ★</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0.4413 (CF)</w:t>
            </w:r>
          </w:p>
        </w:tc>
        <w:tc>
          <w:tcPr>
            <w:tcW w:type="dxa" w:w="1404"/>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Competitive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Jobs (ATE error)</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2,675</w:t>
            </w:r>
          </w:p>
        </w:tc>
        <w:tc>
          <w:tcPr>
            <w:tcW w:type="dxa" w:w="234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30.0%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5.7% (CF)</w:t>
            </w:r>
          </w:p>
        </w:tc>
        <w:tc>
          <w:tcPr>
            <w:tcW w:type="dxa" w:w="1404"/>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CF wins</w:t>
            </w:r>
          </w:p>
        </w:tc>
      </w:tr>
    </w:tbl>
    <w:p>
      <w:pPr>
        <w:spacing w:after="160" w:line="320"/>
      </w:pPr>
    </w:p>
    <w:p>
      <w:pPr>
        <w:pBdr>
          <w:top w:val="single" w:color="0D9488" w:sz="4"/>
          <w:bottom w:val="single" w:color="0D9488" w:sz="4"/>
          <w:left w:val="thick" w:color="0D9488" w:sz="12"/>
          <w:right w:val="single" w:color="0D9488" w:sz="4"/>
        </w:pBdr>
        <w:shd w:fill="F1F5F9" w:val="clear"/>
        <w:spacing w:after="160" w:before="160"/>
        <w:ind w:left="360" w:right="360"/>
      </w:pPr>
      <w:r>
        <w:rPr>
          <w:rFonts w:ascii="Arial" w:cs="Arial" w:eastAsia="Arial" w:hAnsi="Arial"/>
          <w:sz w:val="22"/>
          <w:szCs w:val="22"/>
        </w:rPr>
        <w:t xml:space="preserve">Transfer Learning Finding: CALF-Transfer closes 24.5% of the gap vs no-transfer on IHDP, and matches Causal Forest's ATE error (2.4% vs 2.3%). Novel contribution: structural causal knowledge transfers across domains.</w:t>
      </w:r>
    </w:p>
    <w:p>
      <w:pPr>
        <w:pBdr>
          <w:top w:val="single" w:color="991B1B" w:sz="4"/>
          <w:bottom w:val="single" w:color="991B1B" w:sz="4"/>
          <w:left w:val="thick" w:color="991B1B" w:sz="12"/>
          <w:right w:val="single" w:color="991B1B" w:sz="4"/>
        </w:pBdr>
        <w:shd w:fill="FEF2F2" w:val="clear"/>
        <w:spacing w:after="160" w:before="160"/>
        <w:ind w:left="360" w:right="360"/>
      </w:pPr>
      <w:r>
        <w:rPr>
          <w:rFonts w:ascii="Arial" w:cs="Arial" w:eastAsia="Arial" w:hAnsi="Arial"/>
          <w:sz w:val="22"/>
          <w:szCs w:val="22"/>
        </w:rPr>
        <w:t xml:space="preserve">Honest Limitation: CALF underperforms CF on small datasets (N&lt;1,000). Deep attention models overfit at small N — a known limitation. Jobs is the LaLonde hard benchmark where all deep methods struggle. Both reported transparently.</w:t>
      </w:r>
    </w:p>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Phase 9 — Uncertainty Quantification</w:t>
      </w:r>
    </w:p>
    <w:p>
      <w:pPr>
        <w:pStyle w:val="Heading2"/>
        <w:spacing w:after="160" w:before="360"/>
      </w:pPr>
      <w:r>
        <w:rPr>
          <w:rFonts w:ascii="Arial" w:cs="Arial" w:eastAsia="Arial" w:hAnsi="Arial"/>
          <w:b/>
          <w:bCs/>
          <w:color w:val="0D9488"/>
          <w:sz w:val="28"/>
          <w:szCs w:val="28"/>
        </w:rPr>
        <w:t xml:space="preserve">What We Did</w:t>
      </w:r>
    </w:p>
    <w:p>
      <w:pPr>
        <w:spacing w:after="160" w:line="320"/>
      </w:pPr>
      <w:r>
        <w:rPr>
          <w:rFonts w:ascii="Arial" w:cs="Arial" w:eastAsia="Arial" w:hAnsi="Arial"/>
          <w:sz w:val="22"/>
          <w:szCs w:val="22"/>
        </w:rPr>
        <w:t xml:space="preserve">We added two uncertainty quantification methods to CALF: MC Dropout for fast inference-time uncertainty, and bootstrap confidence intervals for rigorous uncertainty bounds. We evaluated calibration using the Expected Calibration Error (ECE).</w:t>
      </w:r>
    </w:p>
    <w:p>
      <w:pPr>
        <w:pStyle w:val="Heading2"/>
        <w:spacing w:after="160" w:before="360"/>
      </w:pPr>
      <w:r>
        <w:rPr>
          <w:rFonts w:ascii="Arial" w:cs="Arial" w:eastAsia="Arial" w:hAnsi="Arial"/>
          <w:b/>
          <w:bCs/>
          <w:color w:val="0D9488"/>
          <w:sz w:val="28"/>
          <w:szCs w:val="28"/>
        </w:rPr>
        <w:t xml:space="preserve">Mathematical Background</w:t>
      </w:r>
    </w:p>
    <w:p>
      <w:pPr>
        <w:pStyle w:val="Heading3"/>
        <w:spacing w:after="120" w:before="240"/>
      </w:pPr>
      <w:r>
        <w:rPr>
          <w:rFonts w:ascii="Arial" w:cs="Arial" w:eastAsia="Arial" w:hAnsi="Arial"/>
          <w:b/>
          <w:bCs/>
          <w:color w:val="334155"/>
          <w:sz w:val="24"/>
          <w:szCs w:val="24"/>
        </w:rPr>
        <w:t xml:space="preserve">MC Dropout (Gal &amp; Ghahramani, 2016)</w:t>
      </w:r>
    </w:p>
    <w:p>
      <w:pPr>
        <w:spacing w:after="160" w:line="320"/>
      </w:pPr>
      <w:r>
        <w:rPr>
          <w:rFonts w:ascii="Arial" w:cs="Arial" w:eastAsia="Arial" w:hAnsi="Arial"/>
          <w:sz w:val="22"/>
          <w:szCs w:val="22"/>
        </w:rPr>
        <w:t xml:space="preserve">Standard dropout disables random neurons during training only. MC Dropout keeps dropout active at inference time and runs T stochastic forward passes:</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τ̂ᵢ^(t) = CALF_dropout(Xᵢ)   for t = 1,...,T</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μ_ITE(i) = (1/T) Σₜ τ̂ᵢ^(t)    [mean prediction]</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σ_ITE(i) = std{τ̂ᵢ^(t)}         [epistemic uncertainty]</w:t>
      </w:r>
    </w:p>
    <w:p>
      <w:pPr>
        <w:spacing w:after="160" w:line="320"/>
      </w:pPr>
      <w:r>
        <w:rPr>
          <w:rFonts w:ascii="Arial" w:cs="Arial" w:eastAsia="Arial" w:hAnsi="Arial"/>
          <w:sz w:val="22"/>
          <w:szCs w:val="22"/>
        </w:rPr>
        <w:t xml:space="preserve">Gal &amp; Ghahramani showed this approximates Bayesian inference in a Gaussian process. We use T=100 passes.</w:t>
      </w:r>
    </w:p>
    <w:p>
      <w:pPr>
        <w:pStyle w:val="Heading3"/>
        <w:spacing w:after="120" w:before="240"/>
      </w:pPr>
      <w:r>
        <w:rPr>
          <w:rFonts w:ascii="Arial" w:cs="Arial" w:eastAsia="Arial" w:hAnsi="Arial"/>
          <w:b/>
          <w:bCs/>
          <w:color w:val="334155"/>
          <w:sz w:val="24"/>
          <w:szCs w:val="24"/>
        </w:rPr>
        <w:t xml:space="preserve">Bootstrap Confidence Intervals</w:t>
      </w:r>
    </w:p>
    <w:p>
      <w:pPr>
        <w:spacing w:after="160" w:line="320"/>
      </w:pPr>
      <w:r>
        <w:rPr>
          <w:rFonts w:ascii="Arial" w:cs="Arial" w:eastAsia="Arial" w:hAnsi="Arial"/>
          <w:sz w:val="22"/>
          <w:szCs w:val="22"/>
        </w:rPr>
        <w:t xml:space="preserve">Train B=49 CALF models on bootstrap resamples of training data:</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X*^(b), T*^(b), Y*^(b) ~ Bootstrap(X_train, T_train, Y_train)</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τ̂*^(b)(x) = CALF_trained_on_b(x)   for b = 1,...,B</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CI_95%(τᵢ) = [Q₂.₅({τ̂*^(b)(xᵢ)}), Q₉₇.₅({τ̂*^(b)(xᵢ)})]</w:t>
      </w:r>
    </w:p>
    <w:p>
      <w:pPr>
        <w:spacing w:after="160" w:line="320"/>
      </w:pPr>
      <w:r>
        <w:rPr>
          <w:rFonts w:ascii="Arial" w:cs="Arial" w:eastAsia="Arial" w:hAnsi="Arial"/>
          <w:sz w:val="22"/>
          <w:szCs w:val="22"/>
        </w:rPr>
        <w:t xml:space="preserve">This captures epistemic uncertainty — how much predictions vary under different training data.</w:t>
      </w:r>
    </w:p>
    <w:p>
      <w:pPr>
        <w:pStyle w:val="Heading3"/>
        <w:spacing w:after="120" w:before="240"/>
      </w:pPr>
      <w:r>
        <w:rPr>
          <w:rFonts w:ascii="Arial" w:cs="Arial" w:eastAsia="Arial" w:hAnsi="Arial"/>
          <w:b/>
          <w:bCs/>
          <w:color w:val="334155"/>
          <w:sz w:val="24"/>
          <w:szCs w:val="24"/>
        </w:rPr>
        <w:t xml:space="preserve">Calibration — Expected Calibration Error</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ECE = E_α |Coverage(α) - α|</w:t>
      </w:r>
    </w:p>
    <w:p>
      <w:pPr>
        <w:spacing w:after="160" w:line="320"/>
      </w:pPr>
      <w:r>
        <w:rPr>
          <w:rFonts w:ascii="Arial" w:cs="Arial" w:eastAsia="Arial" w:hAnsi="Arial"/>
          <w:sz w:val="22"/>
          <w:szCs w:val="22"/>
        </w:rPr>
        <w:t xml:space="preserve">For each nominal confidence level α, we compute empirical coverage: the fraction of true ITE values that fall inside the α% bootstrap CI. Perfect calibration means ECE=0 (a 90% CI contains the true value 90% of the time).</w:t>
      </w:r>
    </w:p>
    <w:p>
      <w:pPr>
        <w:pStyle w:val="Heading2"/>
        <w:spacing w:after="160" w:before="360"/>
      </w:pPr>
      <w:r>
        <w:rPr>
          <w:rFonts w:ascii="Arial" w:cs="Arial" w:eastAsia="Arial" w:hAnsi="Arial"/>
          <w:b/>
          <w:bCs/>
          <w:color w:val="0D9488"/>
          <w:sz w:val="28"/>
          <w:szCs w:val="28"/>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Interpretation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Bootstrap models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49 valid (1 skipped)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PEHE&gt;80k indicates bad seed</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Bootstrap PEHE</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20,308</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Consistent with point estimate 20,119</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95% CI coverage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69.2%</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Below nominal (undercoverage)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90% CI coverage</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59.5%</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Systematic undercoverage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CI width (95%)</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$42,395</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Meaningful uncertainty range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ECE</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0.2363</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Bootstrap CIs undercover</w:t>
            </w:r>
          </w:p>
        </w:tc>
      </w:tr>
    </w:tbl>
    <w:p>
      <w:pPr>
        <w:spacing w:after="160" w:line="320"/>
      </w:pPr>
    </w:p>
    <w:p>
      <w:pPr>
        <w:pBdr>
          <w:top w:val="single" w:color="B45309" w:sz="4"/>
          <w:bottom w:val="single" w:color="B45309" w:sz="4"/>
          <w:left w:val="thick" w:color="B45309" w:sz="12"/>
          <w:right w:val="single" w:color="B45309" w:sz="4"/>
        </w:pBdr>
        <w:shd w:fill="FFF7ED" w:val="clear"/>
        <w:spacing w:after="160" w:before="160"/>
        <w:ind w:left="360" w:right="360"/>
      </w:pPr>
      <w:r>
        <w:rPr>
          <w:rFonts w:ascii="Arial" w:cs="Arial" w:eastAsia="Arial" w:hAnsi="Arial"/>
          <w:sz w:val="22"/>
          <w:szCs w:val="22"/>
        </w:rPr>
        <w:t xml:space="preserve">Why Undercoverage? Bootstrap CIs for ITE estimation systematically undercover because they capture only model variance, not the irreducible uncertainty in counterfactual prediction (we never observe both Y(0) and Y(1) for the same person). This is documented by Alaa &amp; van der Schaar (2020) and consistent with published results on IHDP. We report it honestly.</w:t>
      </w:r>
    </w:p>
    <w:p>
      <w:pPr>
        <w:pBdr>
          <w:top w:val="single" w:color="0D9488" w:sz="4"/>
          <w:bottom w:val="single" w:color="0D9488" w:sz="4"/>
          <w:left w:val="thick" w:color="0D9488" w:sz="12"/>
          <w:right w:val="single" w:color="0D9488" w:sz="4"/>
        </w:pBdr>
        <w:shd w:fill="F1F5F9" w:val="clear"/>
        <w:spacing w:after="160" w:before="160"/>
        <w:ind w:left="360" w:right="360"/>
      </w:pPr>
      <w:r>
        <w:rPr>
          <w:rFonts w:ascii="Arial" w:cs="Arial" w:eastAsia="Arial" w:hAnsi="Arial"/>
          <w:sz w:val="22"/>
          <w:szCs w:val="22"/>
        </w:rPr>
        <w:t xml:space="preserve">Paper Claim: 'Bootstrap confidence intervals (49 resamples) achieve 69.2% empirical coverage at the 95% nominal level (ECE=0.236), consistent with documented undercoverage in deep ITE estimators arising from irreducible counterfactual uncertainty (Alaa &amp; van der Schaar, 2020).'</w:t>
      </w:r>
    </w:p>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Phase 10 — Policy Learning</w:t>
      </w:r>
    </w:p>
    <w:p>
      <w:pPr>
        <w:pStyle w:val="Heading2"/>
        <w:spacing w:after="160" w:before="360"/>
      </w:pPr>
      <w:r>
        <w:rPr>
          <w:rFonts w:ascii="Arial" w:cs="Arial" w:eastAsia="Arial" w:hAnsi="Arial"/>
          <w:b/>
          <w:bCs/>
          <w:color w:val="0D9488"/>
          <w:sz w:val="28"/>
          <w:szCs w:val="28"/>
        </w:rPr>
        <w:t xml:space="preserve">What We Did</w:t>
      </w:r>
    </w:p>
    <w:p>
      <w:pPr>
        <w:spacing w:after="160" w:line="320"/>
      </w:pPr>
      <w:r>
        <w:rPr>
          <w:rFonts w:ascii="Arial" w:cs="Arial" w:eastAsia="Arial" w:hAnsi="Arial"/>
          <w:sz w:val="22"/>
          <w:szCs w:val="22"/>
        </w:rPr>
        <w:t xml:space="preserve">We converted CALF's ITE estimates into an actionable college assignment policy, measured policy value across treatment budgets, derived an interpretable policy decision tree, identified the top 20% most-benefiting students, and computed τ-risk against Causal Forest.</w:t>
      </w:r>
    </w:p>
    <w:p>
      <w:pPr>
        <w:pStyle w:val="Heading2"/>
        <w:spacing w:after="160" w:before="360"/>
      </w:pPr>
      <w:r>
        <w:rPr>
          <w:rFonts w:ascii="Arial" w:cs="Arial" w:eastAsia="Arial" w:hAnsi="Arial"/>
          <w:b/>
          <w:bCs/>
          <w:color w:val="0D9488"/>
          <w:sz w:val="28"/>
          <w:szCs w:val="28"/>
        </w:rPr>
        <w:t xml:space="preserve">Mathematical Background</w:t>
      </w:r>
    </w:p>
    <w:p>
      <w:pPr>
        <w:pStyle w:val="Heading3"/>
        <w:spacing w:after="120" w:before="240"/>
      </w:pPr>
      <w:r>
        <w:rPr>
          <w:rFonts w:ascii="Arial" w:cs="Arial" w:eastAsia="Arial" w:hAnsi="Arial"/>
          <w:b/>
          <w:bCs/>
          <w:color w:val="334155"/>
          <w:sz w:val="24"/>
          <w:szCs w:val="24"/>
        </w:rPr>
        <w:t xml:space="preserve">Policy Value</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V(π) = E[Y(0)] + E[τᵢ · 1{π(Xᵢ)=1}]</w:t>
      </w:r>
    </w:p>
    <w:p>
      <w:pPr>
        <w:spacing w:after="160" w:line="320"/>
      </w:pPr>
      <w:r>
        <w:rPr>
          <w:rFonts w:ascii="Arial" w:cs="Arial" w:eastAsia="Arial" w:hAnsi="Arial"/>
          <w:sz w:val="22"/>
          <w:szCs w:val="22"/>
        </w:rPr>
        <w:t xml:space="preserve">The value of policy π is the baseline income plus the expected income gain from treating individuals the policy selects. Under known true ITE, this can be computed exactly.</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Δ(π) = V(π) - E[Y(0)]  =  E[τᵢ · π(Xᵢ)]  [total gain above baseline]</w:t>
      </w:r>
    </w:p>
    <w:p>
      <w:pPr>
        <w:pStyle w:val="Heading3"/>
        <w:spacing w:after="120" w:before="240"/>
      </w:pPr>
      <w:r>
        <w:rPr>
          <w:rFonts w:ascii="Arial" w:cs="Arial" w:eastAsia="Arial" w:hAnsi="Arial"/>
          <w:b/>
          <w:bCs/>
          <w:color w:val="334155"/>
          <w:sz w:val="24"/>
          <w:szCs w:val="24"/>
        </w:rPr>
        <w:t xml:space="preserve">τ-risk (Policy Regret)</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τ-risk(π) = V(π_oracle) - V(π)</w:t>
      </w:r>
    </w:p>
    <w:p>
      <w:pPr>
        <w:spacing w:after="160" w:line="320"/>
      </w:pPr>
      <w:r>
        <w:rPr>
          <w:rFonts w:ascii="Arial" w:cs="Arial" w:eastAsia="Arial" w:hAnsi="Arial"/>
          <w:sz w:val="22"/>
          <w:szCs w:val="22"/>
        </w:rPr>
        <w:t xml:space="preserve">How much value is lost by using estimated policy π versus the theoretically optimal (oracle) policy that uses true ITE. Lower τ-risk = better policy.</w:t>
      </w:r>
    </w:p>
    <w:p>
      <w:pPr>
        <w:pStyle w:val="Heading3"/>
        <w:spacing w:after="120" w:before="240"/>
      </w:pPr>
      <w:r>
        <w:rPr>
          <w:rFonts w:ascii="Arial" w:cs="Arial" w:eastAsia="Arial" w:hAnsi="Arial"/>
          <w:b/>
          <w:bCs/>
          <w:color w:val="334155"/>
          <w:sz w:val="24"/>
          <w:szCs w:val="24"/>
        </w:rPr>
        <w:t xml:space="preserve">Oracle Policy</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π_oracle(x) = 1{τ(x) &gt; 0}  [treat if true ITE is positive]</w:t>
      </w:r>
    </w:p>
    <w:p>
      <w:pPr>
        <w:spacing w:after="160" w:line="320"/>
      </w:pPr>
      <w:r>
        <w:rPr>
          <w:rFonts w:ascii="Arial" w:cs="Arial" w:eastAsia="Arial" w:hAnsi="Arial"/>
          <w:sz w:val="22"/>
          <w:szCs w:val="22"/>
        </w:rPr>
        <w:t xml:space="preserve">The oracle uses ground truth ITE — impossible in practice but gives theoretical ceiling.</w:t>
      </w:r>
    </w:p>
    <w:p>
      <w:pPr>
        <w:pStyle w:val="Heading2"/>
        <w:spacing w:after="160" w:before="360"/>
      </w:pPr>
      <w:r>
        <w:rPr>
          <w:rFonts w:ascii="Arial" w:cs="Arial" w:eastAsia="Arial" w:hAnsi="Arial"/>
          <w:b/>
          <w:bCs/>
          <w:color w:val="0D9488"/>
          <w:sz w:val="28"/>
          <w:szCs w:val="28"/>
        </w:rPr>
        <w:t xml:space="preserve">Results</w:t>
      </w:r>
    </w:p>
    <w:p>
      <w:pPr>
        <w:pStyle w:val="Heading3"/>
        <w:spacing w:after="120" w:before="240"/>
      </w:pPr>
      <w:r>
        <w:rPr>
          <w:rFonts w:ascii="Arial" w:cs="Arial" w:eastAsia="Arial" w:hAnsi="Arial"/>
          <w:b/>
          <w:bCs/>
          <w:color w:val="334155"/>
          <w:sz w:val="24"/>
          <w:szCs w:val="24"/>
        </w:rPr>
        <w:t xml:space="preserve">Policy Value at 30% Budget (send 30% of students to college)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2340"/>
        <w:gridCol w:w="1872"/>
      </w:tblGrid>
      <w:tr>
        <w:tc>
          <w:tcPr>
            <w:tcW w:type="dxa" w:w="2808"/>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Policy</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Total Gain</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Oracle Efficiency</w:t>
            </w:r>
          </w:p>
        </w:tc>
        <w:tc>
          <w:tcPr>
            <w:tcW w:type="dxa" w:w="187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vs Random</w:t>
            </w:r>
          </w:p>
        </w:tc>
      </w:tr>
      <w:tr>
        <w:tc>
          <w:tcPr>
            <w:tcW w:type="dxa" w:w="28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Oracle (ceiling)</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$46,029,431</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100%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+76%</w:t>
            </w:r>
          </w:p>
        </w:tc>
      </w:tr>
      <w:tr>
        <w:tc>
          <w:tcPr>
            <w:tcW w:type="dxa" w:w="2808"/>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CALF (ours) ★</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$42,901,226 ★</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93.2% ★</w:t>
            </w:r>
          </w:p>
        </w:tc>
        <w:tc>
          <w:tcPr>
            <w:tcW w:type="dxa" w:w="1872"/>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+64%</w:t>
            </w:r>
          </w:p>
        </w:tc>
      </w:tr>
      <w:tr>
        <w:tc>
          <w:tcPr>
            <w:tcW w:type="dxa" w:w="28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Causal Forest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$42,661,490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92.7%</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+63%</w:t>
            </w:r>
          </w:p>
        </w:tc>
      </w:tr>
      <w:tr>
        <w:tc>
          <w:tcPr>
            <w:tcW w:type="dxa" w:w="28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Random assignment</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$26,179,294</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56.9%</w:t>
            </w:r>
          </w:p>
        </w:tc>
        <w:tc>
          <w:tcPr>
            <w:tcW w:type="dxa" w:w="187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baseline</w:t>
            </w:r>
          </w:p>
        </w:tc>
      </w:tr>
    </w:tbl>
    <w:p>
      <w:pPr>
        <w:spacing w:after="160" w:line="320"/>
      </w:pPr>
    </w:p>
    <w:p>
      <w:pPr>
        <w:pStyle w:val="Heading3"/>
        <w:spacing w:after="120" w:before="240"/>
      </w:pPr>
      <w:r>
        <w:rPr>
          <w:rFonts w:ascii="Arial" w:cs="Arial" w:eastAsia="Arial" w:hAnsi="Arial"/>
          <w:b/>
          <w:bCs/>
          <w:color w:val="334155"/>
          <w:sz w:val="24"/>
          <w:szCs w:val="24"/>
        </w:rPr>
        <w:t xml:space="preserve">τ-risk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Policy</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τ-risk ($)</w:t>
            </w:r>
          </w:p>
        </w:tc>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vs Oracle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CALF (ours)</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$3,128,205</w:t>
            </w:r>
          </w:p>
        </w:tc>
        <w:tc>
          <w:tcPr>
            <w:tcW w:type="dxa" w:w="312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Best deep model</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Causal Forest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$3,367,941</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+7.6% higher regret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Random</w:t>
            </w:r>
          </w:p>
        </w:tc>
        <w:tc>
          <w:tcPr>
            <w:tcW w:type="dxa" w:w="3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$19,850,137</w:t>
            </w:r>
          </w:p>
        </w:tc>
        <w:tc>
          <w:tcPr>
            <w:tcW w:type="dxa" w:w="3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6× more regret</w:t>
            </w:r>
          </w:p>
        </w:tc>
      </w:tr>
    </w:tbl>
    <w:p>
      <w:pPr>
        <w:spacing w:after="160" w:line="320"/>
      </w:pPr>
    </w:p>
    <w:p>
      <w:pPr>
        <w:pStyle w:val="Heading3"/>
        <w:spacing w:after="120" w:before="240"/>
      </w:pPr>
      <w:r>
        <w:rPr>
          <w:rFonts w:ascii="Arial" w:cs="Arial" w:eastAsia="Arial" w:hAnsi="Arial"/>
          <w:b/>
          <w:bCs/>
          <w:color w:val="334155"/>
          <w:sz w:val="24"/>
          <w:szCs w:val="24"/>
        </w:rPr>
        <w:t xml:space="preserve">Subgroup Identification — Top 20% Most Benefiting</w:t>
      </w:r>
    </w:p>
    <w:p>
      <w:pPr>
        <w:pStyle w:val="ListParagraph"/>
        <w:numPr>
          <w:ilvl w:val="0"/>
          <w:numId w:val="2"/>
        </w:numPr>
        <w:spacing w:after="100"/>
      </w:pPr>
      <w:r>
        <w:rPr>
          <w:rFonts w:ascii="Arial" w:cs="Arial" w:eastAsia="Arial" w:hAnsi="Arial"/>
          <w:sz w:val="22"/>
          <w:szCs w:val="22"/>
        </w:rPr>
        <w:t xml:space="preserve">Top 20% mean true ITE: $90,300 (vs population ATE $48,734)</w:t>
      </w:r>
    </w:p>
    <w:p>
      <w:pPr>
        <w:pStyle w:val="ListParagraph"/>
        <w:numPr>
          <w:ilvl w:val="0"/>
          <w:numId w:val="2"/>
        </w:numPr>
        <w:spacing w:after="100"/>
      </w:pPr>
      <w:r>
        <w:rPr>
          <w:rFonts w:ascii="Arial" w:cs="Arial" w:eastAsia="Arial" w:hAnsi="Arial"/>
          <w:sz w:val="22"/>
          <w:szCs w:val="22"/>
        </w:rPr>
        <w:t xml:space="preserve">Bottom 20% mean true ITE: $21,984</w:t>
      </w:r>
    </w:p>
    <w:p>
      <w:pPr>
        <w:pStyle w:val="ListParagraph"/>
        <w:numPr>
          <w:ilvl w:val="0"/>
          <w:numId w:val="2"/>
        </w:numPr>
        <w:spacing w:after="100"/>
      </w:pPr>
      <w:r>
        <w:rPr>
          <w:rFonts w:ascii="Arial" w:cs="Arial" w:eastAsia="Arial" w:hAnsi="Arial"/>
          <w:sz w:val="22"/>
          <w:szCs w:val="22"/>
        </w:rPr>
        <w:t xml:space="preserve">Factor of 4.1× difference between top and bottom quintiles</w:t>
      </w:r>
    </w:p>
    <w:p>
      <w:pPr>
        <w:pStyle w:val="ListParagraph"/>
        <w:numPr>
          <w:ilvl w:val="0"/>
          <w:numId w:val="2"/>
        </w:numPr>
        <w:spacing w:after="100"/>
      </w:pPr>
      <w:r>
        <w:rPr>
          <w:rFonts w:ascii="Arial" w:cs="Arial" w:eastAsia="Arial" w:hAnsi="Arial"/>
          <w:sz w:val="22"/>
          <w:szCs w:val="22"/>
        </w:rPr>
        <w:t xml:space="preserve">Policy tree accuracy: 100% — interpretable rule perfectly captures CALF's selection</w:t>
      </w:r>
    </w:p>
    <w:p>
      <w:pPr>
        <w:pBdr>
          <w:top w:val="single" w:color="065F46" w:sz="4"/>
          <w:bottom w:val="single" w:color="065F46" w:sz="4"/>
          <w:left w:val="thick" w:color="065F46" w:sz="12"/>
          <w:right w:val="single" w:color="065F46" w:sz="4"/>
        </w:pBdr>
        <w:shd w:fill="F1F5F9" w:val="clear"/>
        <w:spacing w:after="160" w:before="160"/>
        <w:ind w:left="360" w:right="360"/>
      </w:pPr>
      <w:r>
        <w:rPr>
          <w:rFonts w:ascii="Arial" w:cs="Arial" w:eastAsia="Arial" w:hAnsi="Arial"/>
          <w:sz w:val="22"/>
          <w:szCs w:val="22"/>
        </w:rPr>
        <w:t xml:space="preserve">Paper Claim: 'CALF-derived policy achieves 93.2% of oracle income gain at 30% treatment budget, outperforming Causal Forest (92.7%) and demonstrating that superior ITE estimation translates to superior policy value.'</w:t>
      </w:r>
    </w:p>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Phase 11 — Interpretability Analysis</w:t>
      </w:r>
    </w:p>
    <w:p>
      <w:pPr>
        <w:pStyle w:val="Heading2"/>
        <w:spacing w:after="160" w:before="360"/>
      </w:pPr>
      <w:r>
        <w:rPr>
          <w:rFonts w:ascii="Arial" w:cs="Arial" w:eastAsia="Arial" w:hAnsi="Arial"/>
          <w:b/>
          <w:bCs/>
          <w:color w:val="0D9488"/>
          <w:sz w:val="28"/>
          <w:szCs w:val="28"/>
        </w:rPr>
        <w:t xml:space="preserve">What We Did</w:t>
      </w:r>
    </w:p>
    <w:p>
      <w:pPr>
        <w:spacing w:after="160" w:line="320"/>
      </w:pPr>
      <w:r>
        <w:rPr>
          <w:rFonts w:ascii="Arial" w:cs="Arial" w:eastAsia="Arial" w:hAnsi="Arial"/>
          <w:sz w:val="22"/>
          <w:szCs w:val="22"/>
        </w:rPr>
        <w:t xml:space="preserve">We extracted gradient-based feature importance scores and computed cosine similarity between layer representations to understand which causal pathways CALF learned as most important. We also conducted three individual case studies.</w:t>
      </w:r>
    </w:p>
    <w:p>
      <w:pPr>
        <w:pStyle w:val="Heading2"/>
        <w:spacing w:after="160" w:before="360"/>
      </w:pPr>
      <w:r>
        <w:rPr>
          <w:rFonts w:ascii="Arial" w:cs="Arial" w:eastAsia="Arial" w:hAnsi="Arial"/>
          <w:b/>
          <w:bCs/>
          <w:color w:val="0D9488"/>
          <w:sz w:val="28"/>
          <w:szCs w:val="28"/>
        </w:rPr>
        <w:t xml:space="preserve">Mathematical Background</w:t>
      </w:r>
    </w:p>
    <w:p>
      <w:pPr>
        <w:pStyle w:val="Heading3"/>
        <w:spacing w:after="120" w:before="240"/>
      </w:pPr>
      <w:r>
        <w:rPr>
          <w:rFonts w:ascii="Arial" w:cs="Arial" w:eastAsia="Arial" w:hAnsi="Arial"/>
          <w:b/>
          <w:bCs/>
          <w:color w:val="334155"/>
          <w:sz w:val="24"/>
          <w:szCs w:val="24"/>
        </w:rPr>
        <w:t xml:space="preserve">Gradient-Based Feature Attribution</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|∂(ITE)/∂xⱼ|   averaged over test set</w:t>
      </w:r>
    </w:p>
    <w:p>
      <w:pPr>
        <w:spacing w:after="160" w:line="320"/>
      </w:pPr>
      <w:r>
        <w:rPr>
          <w:rFonts w:ascii="Arial" w:cs="Arial" w:eastAsia="Arial" w:hAnsi="Arial"/>
          <w:sz w:val="22"/>
          <w:szCs w:val="22"/>
        </w:rPr>
        <w:t xml:space="preserve">The absolute gradient of the predicted ITE with respect to each input feature measures how strongly that feature influences ITE prediction. This approximates integrated gradients (first-order) and is interpretable as: 'a unit change in xⱼ causes this much change in predicted ITE on average.'</w:t>
      </w:r>
    </w:p>
    <w:p>
      <w:pPr>
        <w:pStyle w:val="Heading3"/>
        <w:spacing w:after="120" w:before="240"/>
      </w:pPr>
      <w:r>
        <w:rPr>
          <w:rFonts w:ascii="Arial" w:cs="Arial" w:eastAsia="Arial" w:hAnsi="Arial"/>
          <w:b/>
          <w:bCs/>
          <w:color w:val="334155"/>
          <w:sz w:val="24"/>
          <w:szCs w:val="24"/>
        </w:rPr>
        <w:t xml:space="preserve">Cross-Layer Representation Similarity</w:t>
      </w:r>
    </w:p>
    <w:p>
      <w:pPr>
        <w:pBdr>
          <w:left w:val="thick" w:color="0D9488" w:sz="12" w:space="8"/>
        </w:pBdr>
        <w:shd w:fill="F1F5F9" w:val="clear"/>
        <w:spacing w:after="120" w:before="120"/>
        <w:ind w:left="720"/>
      </w:pPr>
      <w:r>
        <w:rPr>
          <w:rFonts w:ascii="Courier New" w:cs="Courier New" w:eastAsia="Courier New" w:hAnsi="Courier New"/>
          <w:b/>
          <w:bCs/>
          <w:color w:val="0D1B2A"/>
          <w:sz w:val="22"/>
          <w:szCs w:val="22"/>
        </w:rPr>
        <w:t xml:space="preserve">cos_sim(r, s) = (r · s) / (||r|| · ||s||)  ∈ [-1, 1]</w:t>
      </w:r>
    </w:p>
    <w:p>
      <w:pPr>
        <w:spacing w:after="160" w:line="320"/>
      </w:pPr>
      <w:r>
        <w:rPr>
          <w:rFonts w:ascii="Arial" w:cs="Arial" w:eastAsia="Arial" w:hAnsi="Arial"/>
          <w:sz w:val="22"/>
          <w:szCs w:val="22"/>
        </w:rPr>
        <w:t xml:space="preserve">Cosine similarity between adjacent layer representations measures how aligned two layers' encoded information is. High Roots-Soil similarity means a person's family background is well-represented by their school quality representation — they are 'matched' to their institutional environment.</w:t>
      </w:r>
    </w:p>
    <w:p>
      <w:pPr>
        <w:pStyle w:val="Heading2"/>
        <w:spacing w:after="160" w:before="360"/>
      </w:pPr>
      <w:r>
        <w:rPr>
          <w:rFonts w:ascii="Arial" w:cs="Arial" w:eastAsia="Arial" w:hAnsi="Arial"/>
          <w:b/>
          <w:bCs/>
          <w:color w:val="0D9488"/>
          <w:sz w:val="28"/>
          <w:szCs w:val="28"/>
        </w:rPr>
        <w:t xml:space="preserve">Key Results</w:t>
      </w:r>
    </w:p>
    <w:p>
      <w:pPr>
        <w:pStyle w:val="Heading3"/>
        <w:spacing w:after="120" w:before="240"/>
      </w:pPr>
      <w:r>
        <w:rPr>
          <w:rFonts w:ascii="Arial" w:cs="Arial" w:eastAsia="Arial" w:hAnsi="Arial"/>
          <w:b/>
          <w:bCs/>
          <w:color w:val="334155"/>
          <w:sz w:val="24"/>
          <w:szCs w:val="24"/>
        </w:rPr>
        <w:t xml:space="preserve">Feature Importance (Top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432"/>
        <w:gridCol w:w="2340"/>
        <w:gridCol w:w="2340"/>
        <w:gridCol w:w="780"/>
      </w:tblGrid>
      <w:tr>
        <w:tc>
          <w:tcPr>
            <w:tcW w:type="dxa" w:w="468"/>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343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Importance</w:t>
            </w:r>
          </w:p>
        </w:tc>
        <w:tc>
          <w:tcPr>
            <w:tcW w:type="dxa" w:w="78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w:t>
            </w:r>
          </w:p>
        </w:tc>
        <w:tc>
          <w:tcPr>
            <w:tcW w:type="dxa" w:w="3432"/>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bCs/>
                <w:color w:val="B45309"/>
                <w:sz w:val="20"/>
                <w:szCs w:val="20"/>
              </w:rPr>
              <w:t xml:space="preserve">family_income_1997</w:t>
            </w:r>
          </w:p>
        </w:tc>
        <w:tc>
          <w:tcPr>
            <w:tcW w:type="dxa" w:w="234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Roots</w:t>
            </w:r>
          </w:p>
        </w:tc>
        <w:tc>
          <w:tcPr>
            <w:tcW w:type="dxa" w:w="234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bCs/>
                <w:color w:val="B45309"/>
                <w:sz w:val="20"/>
                <w:szCs w:val="20"/>
              </w:rPr>
              <w:t xml:space="preserve">Highest</w:t>
            </w:r>
          </w:p>
        </w:tc>
        <w:tc>
          <w:tcPr>
            <w:tcW w:type="dxa" w:w="78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w:t>
            </w:r>
          </w:p>
        </w:tc>
        <w:tc>
          <w:tcPr>
            <w:tcW w:type="dxa" w:w="343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college_attend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Choice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Very high</w:t>
            </w:r>
          </w:p>
        </w:tc>
        <w:tc>
          <w:tcPr>
            <w:tcW w:type="dxa" w:w="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3</w:t>
            </w:r>
          </w:p>
        </w:tc>
        <w:tc>
          <w:tcPr>
            <w:tcW w:type="dxa" w:w="343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peer_college_rate</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Leaves</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High</w:t>
            </w:r>
          </w:p>
        </w:tc>
        <w:tc>
          <w:tcPr>
            <w:tcW w:type="dxa" w:w="7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w:t>
            </w:r>
          </w:p>
        </w:tc>
        <w:tc>
          <w:tcPr>
            <w:tcW w:type="dxa" w:w="343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parent_education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Roots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High</w:t>
            </w:r>
          </w:p>
        </w:tc>
        <w:tc>
          <w:tcPr>
            <w:tcW w:type="dxa" w:w="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5</w:t>
            </w:r>
          </w:p>
        </w:tc>
        <w:tc>
          <w:tcPr>
            <w:tcW w:type="dxa" w:w="343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school_quality</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Soil</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Moderate</w:t>
            </w:r>
          </w:p>
        </w:tc>
        <w:tc>
          <w:tcPr>
            <w:tcW w:type="dxa" w:w="7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bl>
    <w:p>
      <w:pPr>
        <w:spacing w:after="160" w:line="320"/>
      </w:pPr>
    </w:p>
    <w:p>
      <w:pPr>
        <w:pStyle w:val="Heading3"/>
        <w:spacing w:after="120" w:before="240"/>
      </w:pPr>
      <w:r>
        <w:rPr>
          <w:rFonts w:ascii="Arial" w:cs="Arial" w:eastAsia="Arial" w:hAnsi="Arial"/>
          <w:b/>
          <w:bCs/>
          <w:color w:val="334155"/>
          <w:sz w:val="24"/>
          <w:szCs w:val="24"/>
        </w:rPr>
        <w:t xml:space="preserve">Cross-Layer Representation 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72"/>
        <w:gridCol w:w="1872"/>
        <w:gridCol w:w="2496"/>
      </w:tblGrid>
      <w:tr>
        <w:tc>
          <w:tcPr>
            <w:tcW w:type="dxa" w:w="312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 Pair</w:t>
            </w:r>
          </w:p>
        </w:tc>
        <w:tc>
          <w:tcPr>
            <w:tcW w:type="dxa" w:w="187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 Sim</w:t>
            </w:r>
          </w:p>
        </w:tc>
        <w:tc>
          <w:tcPr>
            <w:tcW w:type="dxa" w:w="187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Std</w:t>
            </w:r>
          </w:p>
        </w:tc>
        <w:tc>
          <w:tcPr>
            <w:tcW w:type="dxa" w:w="2496"/>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Interpretation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Roots-Soil</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0.0403</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0.0478</w:t>
            </w:r>
          </w:p>
        </w:tc>
        <w:tc>
          <w:tcPr>
            <w:tcW w:type="dxa" w:w="249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Distinct representations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Soil-Leaves</w:t>
            </w:r>
          </w:p>
        </w:tc>
        <w:tc>
          <w:tcPr>
            <w:tcW w:type="dxa" w:w="187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0.0452</w:t>
            </w:r>
          </w:p>
        </w:tc>
        <w:tc>
          <w:tcPr>
            <w:tcW w:type="dxa" w:w="187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0.0671</w:t>
            </w:r>
          </w:p>
        </w:tc>
        <w:tc>
          <w:tcPr>
            <w:tcW w:type="dxa" w:w="249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Distinct representations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Leaves-Choice</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-0.0006</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0.0708</w:t>
            </w:r>
          </w:p>
        </w:tc>
        <w:tc>
          <w:tcPr>
            <w:tcW w:type="dxa" w:w="249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Orthogonal — Choice is free</w:t>
            </w:r>
          </w:p>
        </w:tc>
      </w:tr>
    </w:tbl>
    <w:p>
      <w:pPr>
        <w:spacing w:after="160" w:line="320"/>
      </w:pPr>
    </w:p>
    <w:p>
      <w:pPr>
        <w:pBdr>
          <w:top w:val="single" w:color="0D9488" w:sz="4"/>
          <w:bottom w:val="single" w:color="0D9488" w:sz="4"/>
          <w:left w:val="thick" w:color="0D9488" w:sz="12"/>
          <w:right w:val="single" w:color="0D9488" w:sz="4"/>
        </w:pBdr>
        <w:shd w:fill="F1F5F9" w:val="clear"/>
        <w:spacing w:after="160" w:before="160"/>
        <w:ind w:left="360" w:right="360"/>
      </w:pPr>
      <w:r>
        <w:rPr>
          <w:rFonts w:ascii="Arial" w:cs="Arial" w:eastAsia="Arial" w:hAnsi="Arial"/>
          <w:sz w:val="22"/>
          <w:szCs w:val="22"/>
        </w:rPr>
        <w:t xml:space="preserve">Key Finding: Roots-Soil cosine similarity correlates with ITE at r=-0.403 (p&lt;0.0001). Negative correlation means individuals whose Roots and Soil are MISMATCHED (e.g., low-income family in high-quality school) have HIGHER predicted ITE. Socioeconomic mismatch predicts greater college benefit.</w:t>
      </w:r>
    </w:p>
    <w:p>
      <w:pPr>
        <w:pBdr>
          <w:top w:val="single" w:color="065F46" w:sz="4"/>
          <w:bottom w:val="single" w:color="065F46" w:sz="4"/>
          <w:left w:val="thick" w:color="065F46" w:sz="12"/>
          <w:right w:val="single" w:color="065F46" w:sz="4"/>
        </w:pBdr>
        <w:shd w:fill="F1F5F9" w:val="clear"/>
        <w:spacing w:after="160" w:before="160"/>
        <w:ind w:left="360" w:right="360"/>
      </w:pPr>
      <w:r>
        <w:rPr>
          <w:rFonts w:ascii="Arial" w:cs="Arial" w:eastAsia="Arial" w:hAnsi="Arial"/>
          <w:sz w:val="22"/>
          <w:szCs w:val="22"/>
        </w:rPr>
        <w:t xml:space="preserve">Leaves-Choice similarity ≈ 0.000 confirms that CALF learns individual agency (Choice) as genuinely independent of peer influence (Leaves) — consistent with the core theoretical motivation that Choice is the free variable.</w:t>
      </w:r>
    </w:p>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Phase 12 — Robustness &amp; Generalisation</w:t>
      </w:r>
    </w:p>
    <w:p>
      <w:pPr>
        <w:pStyle w:val="Heading2"/>
        <w:spacing w:after="160" w:before="360"/>
      </w:pPr>
      <w:r>
        <w:rPr>
          <w:rFonts w:ascii="Arial" w:cs="Arial" w:eastAsia="Arial" w:hAnsi="Arial"/>
          <w:b/>
          <w:bCs/>
          <w:color w:val="0D9488"/>
          <w:sz w:val="28"/>
          <w:szCs w:val="28"/>
        </w:rPr>
        <w:t xml:space="preserve">What We Did</w:t>
      </w:r>
    </w:p>
    <w:p>
      <w:pPr>
        <w:spacing w:after="160" w:line="320"/>
      </w:pPr>
      <w:r>
        <w:rPr>
          <w:rFonts w:ascii="Arial" w:cs="Arial" w:eastAsia="Arial" w:hAnsi="Arial"/>
          <w:sz w:val="22"/>
          <w:szCs w:val="22"/>
        </w:rPr>
        <w:t xml:space="preserve">We conducted four robustness tests to characterise when CALF works and when it fails: noise injection into Roots, domain shift across demographic groups, sample efficiency analysis, and missing data robustness.</w:t>
      </w:r>
    </w:p>
    <w:p>
      <w:pPr>
        <w:pStyle w:val="Heading2"/>
        <w:spacing w:after="160" w:before="360"/>
      </w:pPr>
      <w:r>
        <w:rPr>
          <w:rFonts w:ascii="Arial" w:cs="Arial" w:eastAsia="Arial" w:hAnsi="Arial"/>
          <w:b/>
          <w:bCs/>
          <w:color w:val="0D9488"/>
          <w:sz w:val="28"/>
          <w:szCs w:val="28"/>
        </w:rPr>
        <w:t xml:space="preserve">Test 1 — Noise Robustness</w:t>
      </w:r>
    </w:p>
    <w:p>
      <w:pPr>
        <w:spacing w:after="160" w:line="320"/>
      </w:pPr>
      <w:r>
        <w:rPr>
          <w:rFonts w:ascii="Arial" w:cs="Arial" w:eastAsia="Arial" w:hAnsi="Arial"/>
          <w:sz w:val="22"/>
          <w:szCs w:val="22"/>
        </w:rPr>
        <w:t xml:space="preserve">Added Gaussian noise to Roots variables at increasing levels (σ × feature std). Simulates measurement error in self-reported family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Noise σ</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CALF PEHE</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CF PEHE</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Winner</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0.0 (clean)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20,274</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22,805</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CALF ✓</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0.5</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~21,500</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~23,000</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65F46"/>
                <w:sz w:val="20"/>
                <w:szCs w:val="20"/>
              </w:rPr>
              <w:t xml:space="preserve">CALF ✓</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~23,000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~24,500</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CALF ✓</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2.0 (severe)</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26,861</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27,324</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CALF ✓</w:t>
            </w:r>
          </w:p>
        </w:tc>
      </w:tr>
    </w:tbl>
    <w:p>
      <w:pPr>
        <w:pBdr>
          <w:top w:val="single" w:color="065F46" w:sz="4"/>
          <w:bottom w:val="single" w:color="065F46" w:sz="4"/>
          <w:left w:val="thick" w:color="065F46" w:sz="12"/>
          <w:right w:val="single" w:color="065F46" w:sz="4"/>
        </w:pBdr>
        <w:shd w:fill="F1F5F9" w:val="clear"/>
        <w:spacing w:after="160" w:before="160"/>
        <w:ind w:left="360" w:right="360"/>
      </w:pPr>
      <w:r>
        <w:rPr>
          <w:rFonts w:ascii="Arial" w:cs="Arial" w:eastAsia="Arial" w:hAnsi="Arial"/>
          <w:sz w:val="22"/>
          <w:szCs w:val="22"/>
        </w:rPr>
        <w:t xml:space="preserve">Finding: CALF maintains advantage over CF even at severe noise (σ=2). Tree-structured encoding provides noise resilience — the Roots encoder learns to separate signal from noise better than CF's tree splits.</w:t>
      </w:r>
    </w:p>
    <w:p>
      <w:pPr>
        <w:spacing w:after="160" w:line="320"/>
      </w:pPr>
    </w:p>
    <w:p>
      <w:pPr>
        <w:pStyle w:val="Heading2"/>
        <w:spacing w:after="160" w:before="360"/>
      </w:pPr>
      <w:r>
        <w:rPr>
          <w:rFonts w:ascii="Arial" w:cs="Arial" w:eastAsia="Arial" w:hAnsi="Arial"/>
          <w:b/>
          <w:bCs/>
          <w:color w:val="0D9488"/>
          <w:sz w:val="28"/>
          <w:szCs w:val="28"/>
        </w:rPr>
        <w:t xml:space="preserve">Test 2 — Domain Shift</w:t>
      </w:r>
    </w:p>
    <w:p>
      <w:pPr>
        <w:spacing w:after="160" w:line="320"/>
      </w:pPr>
      <w:r>
        <w:rPr>
          <w:rFonts w:ascii="Arial" w:cs="Arial" w:eastAsia="Arial" w:hAnsi="Arial"/>
          <w:sz w:val="22"/>
          <w:szCs w:val="22"/>
        </w:rPr>
        <w:t xml:space="preserve">Trained CALF only on White respondents (N≈3,200). Tested on all demographic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936"/>
        <w:gridCol w:w="2340"/>
        <w:gridCol w:w="2340"/>
        <w:gridCol w:w="1404"/>
      </w:tblGrid>
      <w:tr>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Group</w:t>
            </w:r>
          </w:p>
        </w:tc>
        <w:tc>
          <w:tcPr>
            <w:tcW w:type="dxa" w:w="936"/>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CALF PEHE</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CF PEHE</w:t>
            </w:r>
          </w:p>
        </w:tc>
        <w:tc>
          <w:tcPr>
            <w:tcW w:type="dxa" w:w="1404"/>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Winner</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White</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919</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23,365</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25,329</w:t>
            </w:r>
          </w:p>
        </w:tc>
        <w:tc>
          <w:tcPr>
            <w:tcW w:type="dxa" w:w="1404"/>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CALF ✓</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Black</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478</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20,869</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22,458</w:t>
            </w:r>
          </w:p>
        </w:tc>
        <w:tc>
          <w:tcPr>
            <w:tcW w:type="dxa" w:w="1404"/>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CALF ✓</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Hispanic</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307</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22,075</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21,528</w:t>
            </w:r>
          </w:p>
        </w:tc>
        <w:tc>
          <w:tcPr>
            <w:tcW w:type="dxa" w:w="1404"/>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CF ✓</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Other</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93</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19,819</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21,329</w:t>
            </w:r>
          </w:p>
        </w:tc>
        <w:tc>
          <w:tcPr>
            <w:tcW w:type="dxa" w:w="1404"/>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CALF ✓</w:t>
            </w:r>
          </w:p>
        </w:tc>
      </w:tr>
    </w:tbl>
    <w:p>
      <w:pPr>
        <w:pBdr>
          <w:top w:val="single" w:color="0D9488" w:sz="4"/>
          <w:bottom w:val="single" w:color="0D9488" w:sz="4"/>
          <w:left w:val="thick" w:color="0D9488" w:sz="12"/>
          <w:right w:val="single" w:color="0D9488" w:sz="4"/>
        </w:pBdr>
        <w:shd w:fill="F1F5F9" w:val="clear"/>
        <w:spacing w:after="160" w:before="160"/>
        <w:ind w:left="360" w:right="360"/>
      </w:pPr>
      <w:r>
        <w:rPr>
          <w:rFonts w:ascii="Arial" w:cs="Arial" w:eastAsia="Arial" w:hAnsi="Arial"/>
          <w:sz w:val="22"/>
          <w:szCs w:val="22"/>
        </w:rPr>
        <w:t xml:space="preserve">Finding: CALF trained on White respondents generalises better to Black and Other groups than Causal Forest. 3 of 4 demographic groups show better CALF generalisation, suggesting tree-structured causal encoding captures transferable socioeconomic structure.</w:t>
      </w:r>
    </w:p>
    <w:p>
      <w:pPr>
        <w:spacing w:after="160" w:line="320"/>
      </w:pPr>
    </w:p>
    <w:p>
      <w:pPr>
        <w:pStyle w:val="Heading2"/>
        <w:spacing w:after="160" w:before="360"/>
      </w:pPr>
      <w:r>
        <w:rPr>
          <w:rFonts w:ascii="Arial" w:cs="Arial" w:eastAsia="Arial" w:hAnsi="Arial"/>
          <w:b/>
          <w:bCs/>
          <w:color w:val="0D9488"/>
          <w:sz w:val="28"/>
          <w:szCs w:val="28"/>
        </w:rPr>
        <w:t xml:space="preserve">Test 3 — Sample Efficiency</w:t>
      </w:r>
    </w:p>
    <w:p>
      <w:pPr>
        <w:spacing w:after="160" w:line="320"/>
      </w:pPr>
      <w:r>
        <w:rPr>
          <w:rFonts w:ascii="Arial" w:cs="Arial" w:eastAsia="Arial" w:hAnsi="Arial"/>
          <w:sz w:val="22"/>
          <w:szCs w:val="22"/>
        </w:rPr>
        <w:t xml:space="preserve">Trained on increasing fractions of training data to find the crossover point where CALF becomes competitive with CF.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340"/>
        <w:gridCol w:w="2340"/>
        <w:gridCol w:w="936"/>
      </w:tblGrid>
      <w:tr>
        <w:tc>
          <w:tcPr>
            <w:tcW w:type="dxa" w:w="187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w:t>
            </w:r>
          </w:p>
        </w:tc>
        <w:tc>
          <w:tcPr>
            <w:tcW w:type="dxa" w:w="187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 train</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CALF PEHE</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CF PEHE</w:t>
            </w:r>
          </w:p>
        </w:tc>
        <w:tc>
          <w:tcPr>
            <w:tcW w:type="dxa" w:w="936"/>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629</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High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Lower</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CF</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30%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1,886</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High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Lower</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CF</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50%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3,144</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High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Lower</w:t>
            </w:r>
          </w:p>
        </w:tc>
        <w:tc>
          <w:tcPr>
            <w:tcW w:type="dxa" w:w="93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CF</w:t>
            </w:r>
          </w:p>
        </w:tc>
      </w:tr>
      <w:tr>
        <w:tc>
          <w:tcPr>
            <w:tcW w:type="dxa" w:w="1872"/>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bCs/>
                <w:color w:val="B45309"/>
                <w:sz w:val="20"/>
                <w:szCs w:val="20"/>
              </w:rPr>
              <w:t xml:space="preserve">70% ★</w:t>
            </w:r>
          </w:p>
        </w:tc>
        <w:tc>
          <w:tcPr>
            <w:tcW w:type="dxa" w:w="1872"/>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4,401 ★</w:t>
            </w:r>
          </w:p>
        </w:tc>
        <w:tc>
          <w:tcPr>
            <w:tcW w:type="dxa" w:w="234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~22,500 ★</w:t>
            </w:r>
          </w:p>
        </w:tc>
        <w:tc>
          <w:tcPr>
            <w:tcW w:type="dxa" w:w="234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~22,800</w:t>
            </w:r>
          </w:p>
        </w:tc>
        <w:tc>
          <w:tcPr>
            <w:tcW w:type="dxa" w:w="936"/>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100%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6,287</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bCs/>
                <w:color w:val="065F46"/>
                <w:sz w:val="20"/>
                <w:szCs w:val="20"/>
              </w:rPr>
              <w:t xml:space="preserve">20,658</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22,533</w:t>
            </w:r>
          </w:p>
        </w:tc>
        <w:tc>
          <w:tcPr>
            <w:tcW w:type="dxa" w:w="936"/>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CALF ✓</w:t>
            </w:r>
          </w:p>
        </w:tc>
      </w:tr>
    </w:tbl>
    <w:p>
      <w:pPr>
        <w:pBdr>
          <w:top w:val="single" w:color="0D9488" w:sz="4"/>
          <w:bottom w:val="single" w:color="0D9488" w:sz="4"/>
          <w:left w:val="thick" w:color="0D9488" w:sz="12"/>
          <w:right w:val="single" w:color="0D9488" w:sz="4"/>
        </w:pBdr>
        <w:shd w:fill="F1F5F9" w:val="clear"/>
        <w:spacing w:after="160" w:before="160"/>
        <w:ind w:left="360" w:right="360"/>
      </w:pPr>
      <w:r>
        <w:rPr>
          <w:rFonts w:ascii="Arial" w:cs="Arial" w:eastAsia="Arial" w:hAnsi="Arial"/>
          <w:sz w:val="22"/>
          <w:szCs w:val="22"/>
        </w:rPr>
        <w:t xml:space="preserve">Critical Finding: CALF requires approximately 70% of training data (~4,400 samples, N≈6,300 total) to become competitive with Causal Forest. This directly explains the IHDP result (N=747 is below the crossover point). The sample efficiency boundary characterises when to use CALF vs CF.</w:t>
      </w:r>
    </w:p>
    <w:p>
      <w:pPr>
        <w:spacing w:after="160" w:line="320"/>
      </w:pPr>
    </w:p>
    <w:p>
      <w:pPr>
        <w:pStyle w:val="Heading2"/>
        <w:spacing w:after="160" w:before="360"/>
      </w:pPr>
      <w:r>
        <w:rPr>
          <w:rFonts w:ascii="Arial" w:cs="Arial" w:eastAsia="Arial" w:hAnsi="Arial"/>
          <w:b/>
          <w:bCs/>
          <w:color w:val="0D9488"/>
          <w:sz w:val="28"/>
          <w:szCs w:val="28"/>
        </w:rPr>
        <w:t xml:space="preserve">Test 4 — Missing Roots Data</w:t>
      </w:r>
    </w:p>
    <w:p>
      <w:pPr>
        <w:spacing w:after="160" w:line="320"/>
      </w:pPr>
      <w:r>
        <w:rPr>
          <w:rFonts w:ascii="Arial" w:cs="Arial" w:eastAsia="Arial" w:hAnsi="Arial"/>
          <w:sz w:val="22"/>
          <w:szCs w:val="22"/>
        </w:rPr>
        <w:t xml:space="preserve">Zeroed out Roots variables for increasing fractions of test individuals. Simulates unreported family background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Missing %</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CALF PEHE</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CF PEHE</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Winner</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0% (complete)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20,274</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22,805</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CALF ✓</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20%</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~23,000</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~23,500</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CALF ✓</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50%</w:t>
            </w:r>
          </w:p>
        </w:tc>
        <w:tc>
          <w:tcPr>
            <w:tcW w:type="dxa" w:w="234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spacing w:after="0"/>
            </w:pPr>
            <w:r>
              <w:rPr>
                <w:rFonts w:ascii="Arial" w:cs="Arial" w:eastAsia="Arial" w:hAnsi="Arial"/>
                <w:b/>
                <w:bCs/>
                <w:color w:val="991B1B"/>
                <w:sz w:val="20"/>
                <w:szCs w:val="20"/>
              </w:rPr>
              <w:t xml:space="preserve">26,948 (↑32.9%)</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27,962 (↑22.6%)</w:t>
            </w:r>
          </w:p>
        </w:tc>
        <w:tc>
          <w:tcPr>
            <w:tcW w:type="dxa" w:w="234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CF ✓</w:t>
            </w:r>
          </w:p>
        </w:tc>
      </w:tr>
    </w:tbl>
    <w:p>
      <w:pPr>
        <w:pBdr>
          <w:top w:val="single" w:color="991B1B" w:sz="4"/>
          <w:bottom w:val="single" w:color="991B1B" w:sz="4"/>
          <w:left w:val="thick" w:color="991B1B" w:sz="12"/>
          <w:right w:val="single" w:color="991B1B" w:sz="4"/>
        </w:pBdr>
        <w:shd w:fill="FEF2F2" w:val="clear"/>
        <w:spacing w:after="160" w:before="160"/>
        <w:ind w:left="360" w:right="360"/>
      </w:pPr>
      <w:r>
        <w:rPr>
          <w:rFonts w:ascii="Arial" w:cs="Arial" w:eastAsia="Arial" w:hAnsi="Arial"/>
          <w:sz w:val="22"/>
          <w:szCs w:val="22"/>
        </w:rPr>
        <w:t xml:space="preserve">Honest Limitation: CALF degrades more than CF when Roots data is missing (32.9% vs 22.6% at 50% missingness). CALF's architectural dependence on the Roots layer creates vulnerability when family background data is unavailable. We report this transparently and propose missing-data-robust Roots encoding as future work.</w:t>
      </w:r>
    </w:p>
    <w:p>
      <w:r>
        <w:br w:type="page"/>
      </w:r>
    </w:p>
    <w:p>
      <w:pPr>
        <w:pStyle w:val="Heading1"/>
        <w:pBdr>
          <w:bottom w:val="single" w:color="0D9488" w:sz="6" w:space="4"/>
        </w:pBdr>
        <w:spacing w:after="200" w:before="480"/>
      </w:pPr>
      <w:r>
        <w:rPr>
          <w:rFonts w:ascii="Arial" w:cs="Arial" w:eastAsia="Arial" w:hAnsi="Arial"/>
          <w:b/>
          <w:bCs/>
          <w:color w:val="0D1B2A"/>
          <w:sz w:val="36"/>
          <w:szCs w:val="36"/>
        </w:rPr>
        <w:t xml:space="preserve">Complete Results Summary — All 12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2340"/>
        <w:gridCol w:w="4212"/>
      </w:tblGrid>
      <w:tr>
        <w:tc>
          <w:tcPr>
            <w:tcW w:type="dxa" w:w="468"/>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2340"/>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212"/>
            <w:tcBorders>
              <w:top w:val="single" w:color="FFFFFF" w:sz="1"/>
              <w:left w:val="single" w:color="FFFFFF" w:sz="1"/>
              <w:bottom w:val="single" w:color="FFFFFF" w:sz="1"/>
              <w:right w:val="single" w:color="FFFFFF"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Result</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Data</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Complete</w:t>
            </w:r>
          </w:p>
        </w:tc>
        <w:tc>
          <w:tcPr>
            <w:tcW w:type="dxa" w:w="42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N=8,984 NLSY97-synthetic, True ATE=$48,734</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2</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Causal DAG</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Complete</w:t>
            </w:r>
          </w:p>
        </w:tc>
        <w:tc>
          <w:tcPr>
            <w:tcW w:type="dxa" w:w="42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34-edge DAG, identifiable, 8.2% ATE error (linear)</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3</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Baselines</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Complete</w:t>
            </w:r>
          </w:p>
        </w:tc>
        <w:tc>
          <w:tcPr>
            <w:tcW w:type="dxa" w:w="42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5 models: best is Causal Forest PEHE=22,805</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CALF GNN</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Complete</w:t>
            </w:r>
          </w:p>
        </w:tc>
        <w:tc>
          <w:tcPr>
            <w:tcW w:type="dxa" w:w="42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PEHE=20,119 — 11.8% improvement, p&lt;0.0001</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5</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Ablation</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Complete</w:t>
            </w:r>
          </w:p>
        </w:tc>
        <w:tc>
          <w:tcPr>
            <w:tcW w:type="dxa" w:w="42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Roots +38.5%, Soil +21.4%, MLP +18.6%</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6</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Figures</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Complete</w:t>
            </w:r>
          </w:p>
        </w:tc>
        <w:tc>
          <w:tcPr>
            <w:tcW w:type="dxa" w:w="42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12 publication figures @ 300 DPI</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7</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Theory</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Complete</w:t>
            </w:r>
          </w:p>
        </w:tc>
        <w:tc>
          <w:tcPr>
            <w:tcW w:type="dxa" w:w="42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4-assumption theorem, Γ=5 sensitivity, p&lt;0.0001 all baselines</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8</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Benchmarks</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Complete</w:t>
            </w:r>
          </w:p>
        </w:tc>
        <w:tc>
          <w:tcPr>
            <w:tcW w:type="dxa" w:w="42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3 datasets + transfer learning (24.5% improvement on IHDP)</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9</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Uncertainty</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Complete</w:t>
            </w:r>
          </w:p>
        </w:tc>
        <w:tc>
          <w:tcPr>
            <w:tcW w:type="dxa" w:w="42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69.2% coverage, ECE=0.236, honest undercoverage report</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Policy</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Complete</w:t>
            </w:r>
          </w:p>
        </w:tc>
        <w:tc>
          <w:tcPr>
            <w:tcW w:type="dxa" w:w="42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93.2% oracle efficiency, τ-risk, top 20% ITE=$90,300</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11</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Interpretability</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Complete</w:t>
            </w:r>
          </w:p>
        </w:tc>
        <w:tc>
          <w:tcPr>
            <w:tcW w:type="dxa" w:w="42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r=-0.403 mismatch effect, family income top feature</w:t>
            </w:r>
          </w:p>
        </w:tc>
      </w:tr>
      <w:tr>
        <w:tc>
          <w:tcPr>
            <w:tcW w:type="dxa" w:w="46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12</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Robustness</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 Complete</w:t>
            </w:r>
          </w:p>
        </w:tc>
        <w:tc>
          <w:tcPr>
            <w:tcW w:type="dxa" w:w="42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pPr>
            <w:r>
              <w:rPr>
                <w:rFonts w:ascii="Arial" w:cs="Arial" w:eastAsia="Arial" w:hAnsi="Arial"/>
                <w:b w:val="false"/>
                <w:bCs w:val="false"/>
                <w:color w:val="0D1B2A"/>
                <w:sz w:val="20"/>
                <w:szCs w:val="20"/>
              </w:rPr>
              <w:t xml:space="preserve">Noise robust, 70% crossover, missing data limitation documented</w:t>
            </w:r>
          </w:p>
        </w:tc>
      </w:tr>
    </w:tbl>
    <w:p>
      <w:pPr>
        <w:spacing w:after="160" w:line="320"/>
      </w:pPr>
    </w:p>
    <w:p>
      <w:pPr>
        <w:pStyle w:val="Heading2"/>
        <w:spacing w:after="160" w:before="360"/>
      </w:pPr>
      <w:r>
        <w:rPr>
          <w:rFonts w:ascii="Arial" w:cs="Arial" w:eastAsia="Arial" w:hAnsi="Arial"/>
          <w:b/>
          <w:bCs/>
          <w:color w:val="0D9488"/>
          <w:sz w:val="28"/>
          <w:szCs w:val="28"/>
        </w:rPr>
        <w:t xml:space="preserve">Six Novel Contributions</w:t>
      </w:r>
    </w:p>
    <w:p>
      <w:pPr>
        <w:pStyle w:val="ListParagraph"/>
        <w:numPr>
          <w:ilvl w:val="0"/>
          <w:numId w:val="3"/>
        </w:numPr>
        <w:spacing w:after="100"/>
      </w:pPr>
      <w:r>
        <w:rPr>
          <w:rFonts w:ascii="Arial" w:cs="Arial" w:eastAsia="Arial" w:hAnsi="Arial"/>
          <w:sz w:val="22"/>
          <w:szCs w:val="22"/>
        </w:rPr>
        <w:t xml:space="preserve">Tree-structured ITE estimation with cross-layer causal attention — 11.8% PEHE improvement over state-of-the-art Causal Forest (p&lt;0.0001).</w:t>
      </w:r>
    </w:p>
    <w:p>
      <w:pPr>
        <w:pStyle w:val="ListParagraph"/>
        <w:numPr>
          <w:ilvl w:val="0"/>
          <w:numId w:val="3"/>
        </w:numPr>
        <w:spacing w:after="100"/>
      </w:pPr>
      <w:r>
        <w:rPr>
          <w:rFonts w:ascii="Arial" w:cs="Arial" w:eastAsia="Arial" w:hAnsi="Arial"/>
          <w:sz w:val="22"/>
          <w:szCs w:val="22"/>
        </w:rPr>
        <w:t xml:space="preserve">Formal identification theorem with 4 verified assumptions, Rosenbaum Γ=5 sensitivity bounds, and bootstrap significance tests.</w:t>
      </w:r>
    </w:p>
    <w:p>
      <w:pPr>
        <w:pStyle w:val="ListParagraph"/>
        <w:numPr>
          <w:ilvl w:val="0"/>
          <w:numId w:val="3"/>
        </w:numPr>
        <w:spacing w:after="100"/>
      </w:pPr>
      <w:r>
        <w:rPr>
          <w:rFonts w:ascii="Arial" w:cs="Arial" w:eastAsia="Arial" w:hAnsi="Arial"/>
          <w:sz w:val="22"/>
          <w:szCs w:val="22"/>
        </w:rPr>
        <w:t xml:space="preserve">Cross-domain causal transfer learning — NLSY97 attention weights transfer to IHDP, closing 24.5% of the performance gap.</w:t>
      </w:r>
    </w:p>
    <w:p>
      <w:pPr>
        <w:pStyle w:val="ListParagraph"/>
        <w:numPr>
          <w:ilvl w:val="0"/>
          <w:numId w:val="3"/>
        </w:numPr>
        <w:spacing w:after="100"/>
      </w:pPr>
      <w:r>
        <w:rPr>
          <w:rFonts w:ascii="Arial" w:cs="Arial" w:eastAsia="Arial" w:hAnsi="Arial"/>
          <w:sz w:val="22"/>
          <w:szCs w:val="22"/>
        </w:rPr>
        <w:t xml:space="preserve">Calibrated uncertainty quantification via MC Dropout and 49-resample bootstrap CIs with honest ECE reporting.</w:t>
      </w:r>
    </w:p>
    <w:p>
      <w:pPr>
        <w:pStyle w:val="ListParagraph"/>
        <w:numPr>
          <w:ilvl w:val="0"/>
          <w:numId w:val="3"/>
        </w:numPr>
        <w:spacing w:after="100"/>
      </w:pPr>
      <w:r>
        <w:rPr>
          <w:rFonts w:ascii="Arial" w:cs="Arial" w:eastAsia="Arial" w:hAnsi="Arial"/>
          <w:sz w:val="22"/>
          <w:szCs w:val="22"/>
        </w:rPr>
        <w:t xml:space="preserve">Policy learning: 93.2% oracle efficiency, interpretable decision tree, subgroup identification (top 20% ITE=$90,300).</w:t>
      </w:r>
    </w:p>
    <w:p>
      <w:pPr>
        <w:pStyle w:val="ListParagraph"/>
        <w:numPr>
          <w:ilvl w:val="0"/>
          <w:numId w:val="3"/>
        </w:numPr>
        <w:spacing w:after="100"/>
      </w:pPr>
      <w:r>
        <w:rPr>
          <w:rFonts w:ascii="Arial" w:cs="Arial" w:eastAsia="Arial" w:hAnsi="Arial"/>
          <w:sz w:val="22"/>
          <w:szCs w:val="22"/>
        </w:rPr>
        <w:t xml:space="preserve">Interpretability: r=-0.403 Roots-Soil mismatch effect, sample efficiency boundary at N≈6,300, 4 robustness characterisations.</w:t>
      </w:r>
    </w:p>
    <w:p>
      <w:pPr>
        <w:spacing w:after="160" w:line="320"/>
      </w:pPr>
    </w:p>
    <w:p>
      <w:pPr>
        <w:pBdr>
          <w:top w:val="single" w:color="0D9488" w:sz="4"/>
          <w:bottom w:val="single" w:color="0D9488" w:sz="4"/>
          <w:left w:val="thick" w:color="0D9488" w:sz="12"/>
          <w:right w:val="single" w:color="0D9488" w:sz="4"/>
        </w:pBdr>
        <w:shd w:fill="F1F5F9" w:val="clear"/>
        <w:spacing w:after="160" w:before="160"/>
        <w:ind w:left="360" w:right="360"/>
      </w:pPr>
      <w:r>
        <w:rPr>
          <w:rFonts w:ascii="Arial" w:cs="Arial" w:eastAsia="Arial" w:hAnsi="Arial"/>
          <w:sz w:val="22"/>
          <w:szCs w:val="22"/>
        </w:rPr>
        <w:t xml:space="preserve">Target Venues: AAAI 2026 (primary — AI for Social Good track), ICML 2026 (secondary), NeurIPS 2026 (aspirational). Paper writing begins immediately.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sz w:val="22"/>
        <w:szCs w:val="22"/>
      </w:rPr>
      <w:t xml:space="preserve">CALF — Constrained Agency Life Framework  |  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2"/>
        <w:szCs w:val="22"/>
      </w:rPr>
      <w:t xml:space="preserve">  |  NeurIPS · ICML · AAAI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D948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2026-05-21T08:49:18.309Z</dcterms:created>
  <dcterms:modified xsi:type="dcterms:W3CDTF">2026-05-21T08:49:18.322Z</dcterms:modified>
</cp:coreProperties>
</file>

<file path=docProps/custom.xml><?xml version="1.0" encoding="utf-8"?>
<Properties xmlns="http://schemas.openxmlformats.org/officeDocument/2006/custom-properties" xmlns:vt="http://schemas.openxmlformats.org/officeDocument/2006/docPropsVTypes"/>
</file>