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Financial Model Build Brief</w:t>
      </w:r>
    </w:p>
    <w:bookmarkStart w:colFirst="0" w:colLast="0" w:name="ym1e0sv1huny" w:id="0"/>
    <w:bookmarkEnd w:id="0"/>
    <w:p w:rsidR="00000000" w:rsidDel="00000000" w:rsidP="00000000" w:rsidRDefault="00000000" w:rsidRPr="00000000" w14:paraId="00000002">
      <w:pPr>
        <w:pStyle w:val="Heading1"/>
        <w:rPr/>
      </w:pPr>
      <w:r w:rsidDel="00000000" w:rsidR="00000000" w:rsidRPr="00000000">
        <w:rPr>
          <w:rtl w:val="0"/>
        </w:rPr>
        <w:t xml:space="preserve">New-Product Financial Model — Build Brief</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Hand this to Neel (or whoever ends up building the modeling engine). This is the spec and the starting data — it is NOT a validated financial model. The mechanics need real corporate-finance review before this touches a real client.</w:t>
      </w:r>
      <w:r w:rsidDel="00000000" w:rsidR="00000000" w:rsidRPr="00000000">
        <w:rPr>
          <w:rtl w:val="0"/>
        </w:rPr>
      </w:r>
    </w:p>
    <w:bookmarkStart w:colFirst="0" w:colLast="0" w:name="436v7tk0cek5" w:id="1"/>
    <w:bookmarkEnd w:id="1"/>
    <w:p w:rsidR="00000000" w:rsidDel="00000000" w:rsidP="00000000" w:rsidRDefault="00000000" w:rsidRPr="00000000" w14:paraId="00000004">
      <w:pPr>
        <w:pStyle w:val="Heading2"/>
        <w:rPr/>
      </w:pPr>
      <w:r w:rsidDel="00000000" w:rsidR="00000000" w:rsidRPr="00000000">
        <w:rPr>
          <w:rtl w:val="0"/>
        </w:rPr>
        <w:t xml:space="preserve">What this is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tool that answers one question for a wine/spirits/RTD brand considering a new product line: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will it actually cost, how long will it take, and is it worth doing?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target use case: a brand founder (like David Noto at Altaneve) considering a new SKU — a rosé, a new RTD flavor, a line extension — who today would have to either guess or pay a consulting firm like BevSource or First Key $15K-150K for a bespoke study. This tool should get them 80% of the way there fast and cheap, using a reusable model instead of a from-scratch bespoke build every time — same architecture QX Impact uses for their manufacturing/CPG clients: one foundational model, customized per client.</w:t>
      </w:r>
    </w:p>
    <w:bookmarkStart w:colFirst="0" w:colLast="0" w:name="aeb2tfxdf4t3" w:id="2"/>
    <w:bookmarkEnd w:id="2"/>
    <w:p w:rsidR="00000000" w:rsidDel="00000000" w:rsidP="00000000" w:rsidRDefault="00000000" w:rsidRPr="00000000" w14:paraId="00000006">
      <w:pPr>
        <w:pStyle w:val="Heading2"/>
        <w:rPr/>
      </w:pPr>
      <w:r w:rsidDel="00000000" w:rsidR="00000000" w:rsidRPr="00000000">
        <w:rPr>
          <w:rtl w:val="0"/>
        </w:rPr>
        <w:t xml:space="preserve">What it needs to calculate (the output)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Based on what established firms in this space actually deliver (First Key Consulting’s public description of their feasibility model is the closest reference point), a credible output includes: 1.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SKU-level cost buildup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per-unit cost of the product at a given production volume (liquid/ingredients, packaging, bottling/filling, compliance/testing) 2.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Timeline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phase-by-phase estimate from concept to first shipment 3.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Tax burden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federal excise tax + state excise tax for the target state(s), applied correctly by category (wine vs. spirits vs. RTD have different tax treatment — RTDs especially need explicit classification since identical-looking products can be taxed completely differently depending on whether they’re classified as wine-based, spirit-based, or malt-based) 4.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Channel economics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supplier/FOB price, distributor margin, retailer margin, so the model shows what price the consumer actually needs to pay for the numbers to work 5.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Capital required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total cash needed to get to first sale, including a contingency reserve 6.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Return view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at minimum a breakeven case volume/timeline; a more advanced version adds scenario cases (conservative/base/aggressive) and standard return metrics (this is the part that specifically needs Neel’s judgment on methodology)</w:t>
      </w:r>
    </w:p>
    <w:bookmarkStart w:colFirst="0" w:colLast="0" w:name="f46onqo539hq" w:id="3"/>
    <w:bookmarkEnd w:id="3"/>
    <w:p w:rsidR="00000000" w:rsidDel="00000000" w:rsidP="00000000" w:rsidRDefault="00000000" w:rsidRPr="00000000" w14:paraId="00000008">
      <w:pPr>
        <w:pStyle w:val="Heading2"/>
        <w:rPr/>
      </w:pPr>
      <w:r w:rsidDel="00000000" w:rsidR="00000000" w:rsidRPr="00000000">
        <w:rPr>
          <w:rtl w:val="0"/>
        </w:rPr>
        <w:t xml:space="preserve">Starter data/assumptions library (already researched — use this as the v1 defaults)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the actual benchmark data pulled from federal and industry sources, organized by category. It’s real starting data, not placeholder guesses: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Wine: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4-9 months to launch, $25K-100K first meaningful run, $35-100/case production cost, federal excise tax ~$0.21/bottle before Craft Beverage Modernization Act credits (can drop to ~$0.07/bottle for qualifying small producers), state excise tax ranges roughly $0.04-0.76/bottle depending on state (California/Texas lowest, Kentucky highest).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Spirits: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5-12 months to launch (9-24+ for aged/specialty), $40K-150K first run, $50-180/case depending on sourced vs. custom, federal excise tax ~$1.07/bottle at 40% ABV before credits.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RTD: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6-18 months to launch, $50K-250K first run, $45-180/case, tax classification is the biggest variable and must be confirmed per-product (wine-based vs. spirit-based vs. malt-based RTDs are taxed completely differently) — flag this to the user rather than guessing.</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TTB approval: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label approval (COLA) is typically days to a few weeks if the label is clean; formula approval (required for flavored/nonstandard products) adds 2-20+ weeks depending on complexity. No federal application fee. State registration is usually the longer bottleneck, not the federal step.</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Full detail with sourcing is in the Perplexity research output already shared in this thread — that’s the citation trail if Neel wants to verify or update any of these before they go into the actual model.</w:t>
      </w:r>
    </w:p>
    <w:bookmarkStart w:colFirst="0" w:colLast="0" w:name="f4t5yefhl0jm" w:id="4"/>
    <w:bookmarkEnd w:id="4"/>
    <w:p w:rsidR="00000000" w:rsidDel="00000000" w:rsidP="00000000" w:rsidRDefault="00000000" w:rsidRPr="00000000" w14:paraId="0000000F">
      <w:pPr>
        <w:pStyle w:val="Heading2"/>
        <w:rPr/>
      </w:pPr>
      <w:r w:rsidDel="00000000" w:rsidR="00000000" w:rsidRPr="00000000">
        <w:rPr>
          <w:rtl w:val="0"/>
        </w:rPr>
        <w:t xml:space="preserve">Recommended build format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structured spreadsheet model, not custom software — this matches how First Key and BevSource actually deliver this work, and it’s the format buyers in this category already expect and trust. Once Neel (or someone with real modeling background) has validated the assumptions and formula logic, I can build the actual Excel skeleton — assumption cells clearly marked and editable, formulas driving every output, documented sources on every hardcoded number, one clean version a client could genuinely use. That’s a mechanical build step once the model logic itself is signed off — the model logic is the part that has to come from someone who actually does this for a living.</w:t>
      </w:r>
    </w:p>
    <w:bookmarkStart w:colFirst="0" w:colLast="0" w:name="j0ynwhr3xtgs" w:id="5"/>
    <w:bookmarkEnd w:id="5"/>
    <w:p w:rsidR="00000000" w:rsidDel="00000000" w:rsidP="00000000" w:rsidRDefault="00000000" w:rsidRPr="00000000" w14:paraId="00000011">
      <w:pPr>
        <w:pStyle w:val="Heading2"/>
        <w:rPr/>
      </w:pPr>
      <w:r w:rsidDel="00000000" w:rsidR="00000000" w:rsidRPr="00000000">
        <w:rPr>
          <w:rtl w:val="0"/>
        </w:rPr>
        <w:t xml:space="preserve">What needs Neel’s real expertise before this goes near a client</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Correct tax and accounting treatment (excise tax timing, COGS methodology, depreciation/amortization if capital equipment is involved)</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Which return metrics matter for this audience (IRR/NPV/payback vs. simpler breakeven-based framing) and how to present them credibly</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to correctly model three-tier margin cascades (supplier → distributor → retailer) since this varies by state and by whether a distributor deal is even in place yet</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Whether RSM’s existing pharma-model methodology has reusable structure for this, or whether beverage-alcohol needs its own approach from scratch</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Any scenario/sensitivity design — conservative/base/aggressive cases and what should vary between them</w:t>
      </w:r>
    </w:p>
    <w:bookmarkStart w:colFirst="0" w:colLast="0" w:name="atc7q5jsvvbr" w:id="6"/>
    <w:bookmarkEnd w:id="6"/>
    <w:p w:rsidR="00000000" w:rsidDel="00000000" w:rsidP="00000000" w:rsidRDefault="00000000" w:rsidRPr="00000000" w14:paraId="00000017">
      <w:pPr>
        <w:pStyle w:val="Heading2"/>
        <w:rPr/>
      </w:pPr>
      <w:r w:rsidDel="00000000" w:rsidR="00000000" w:rsidRPr="00000000">
        <w:rPr>
          <w:rtl w:val="0"/>
        </w:rPr>
        <w:t xml:space="preserve">What Manav should bring</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David Noto as the first real test scenario — a hypothetical new Altaneve line is a perfect way to stress-test the model against someone who actually knows if the output looks right</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actual conversation with David about what he wishes he’d had when launching — this shapes which outputs matter most, not just what’s technically calculable</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go-to-market and pricing instincts (his own strength) once the model exists — how this gets positioned and sold is a separate skill from building the model itself</w:t>
      </w:r>
    </w:p>
    <w:bookmarkStart w:colFirst="0" w:colLast="0" w:name="dsqhuck9ejqx" w:id="7"/>
    <w:bookmarkEnd w:id="7"/>
    <w:p w:rsidR="00000000" w:rsidDel="00000000" w:rsidP="00000000" w:rsidRDefault="00000000" w:rsidRPr="00000000" w14:paraId="0000001B">
      <w:pPr>
        <w:pStyle w:val="Heading2"/>
        <w:rPr/>
      </w:pPr>
      <w:r w:rsidDel="00000000" w:rsidR="00000000" w:rsidRPr="00000000">
        <w:rPr>
          <w:rtl w:val="0"/>
        </w:rPr>
        <w:t xml:space="preserve">Bottom line for the “do you need more from Neel” question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not to start this conversation with him — this brief gives him something concretely to react to instead of a blank page. Yes, before this becomes a real deliverable for a paying client, since the model’s credibility depends entirely on the mechanics being right, and that’s not something to guess at with AI research alone.</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