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media/image2.webp" ContentType="image/webp"/>
  <Override PartName="/word/media/image3.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E3B488">
      <w:pPr>
        <w:rPr>
          <w:rFonts w:hint="eastAsia"/>
        </w:rPr>
      </w:pPr>
      <w:bookmarkStart w:id="0" w:name="_GoBack"/>
      <w:bookmarkEnd w:id="0"/>
      <w:r>
        <w:rPr>
          <w:rFonts w:hint="eastAsia"/>
        </w:rPr>
        <w:t>​</w:t>
      </w:r>
    </w:p>
    <w:p w14:paraId="1A28B7C7">
      <w:pPr>
        <w:rPr>
          <w:rFonts w:hint="eastAsia" w:ascii="方正仿宋_GB2312" w:hAnsi="方正仿宋_GB2312" w:eastAsia="方正仿宋_GB2312" w:cs="方正仿宋_GB2312"/>
          <w:b/>
          <w:bCs/>
          <w:sz w:val="24"/>
          <w:szCs w:val="24"/>
        </w:rPr>
      </w:pPr>
      <w:r>
        <w:rPr>
          <w:rFonts w:hint="eastAsia" w:ascii="方正仿宋_GB2312" w:hAnsi="方正仿宋_GB2312" w:eastAsia="方正仿宋_GB2312" w:cs="方正仿宋_GB2312"/>
          <w:b/>
          <w:bCs/>
          <w:sz w:val="24"/>
          <w:szCs w:val="24"/>
        </w:rPr>
        <w:t>目标企业：江苏华特新材料有限公司</w:t>
      </w:r>
    </w:p>
    <w:p w14:paraId="2C7AF056">
      <w:pPr>
        <w:pStyle w:val="5"/>
        <w:numPr>
          <w:ilvl w:val="0"/>
          <w:numId w:val="0"/>
        </w:numPr>
        <w:ind w:leftChars="0"/>
        <w:rPr>
          <w:rFonts w:hint="eastAsia" w:ascii="方正仿宋_GB2312" w:hAnsi="方正仿宋_GB2312" w:eastAsia="方正仿宋_GB2312" w:cs="方正仿宋_GB2312"/>
        </w:rPr>
      </w:pPr>
    </w:p>
    <w:p w14:paraId="4449AE22">
      <w:pPr>
        <w:numPr>
          <w:ilvl w:val="0"/>
          <w:numId w:val="1"/>
        </w:numPr>
        <w:ind w:left="0" w:leftChars="0" w:firstLine="420" w:firstLineChars="0"/>
        <w:rPr>
          <w:rFonts w:hint="eastAsia" w:ascii="方正仿宋_GB2312" w:hAnsi="方正仿宋_GB2312" w:eastAsia="方正仿宋_GB2312" w:cs="方正仿宋_GB2312"/>
          <w:b/>
          <w:bCs/>
          <w:sz w:val="24"/>
          <w:szCs w:val="24"/>
        </w:rPr>
      </w:pPr>
      <w:r>
        <w:rPr>
          <w:rFonts w:hint="eastAsia" w:ascii="方正仿宋_GB2312" w:hAnsi="方正仿宋_GB2312" w:eastAsia="方正仿宋_GB2312" w:cs="方正仿宋_GB2312"/>
          <w:b/>
          <w:bCs/>
          <w:sz w:val="24"/>
          <w:szCs w:val="24"/>
        </w:rPr>
        <w:t>基本情况</w:t>
      </w:r>
    </w:p>
    <w:p w14:paraId="75742162">
      <w:pPr>
        <w:autoSpaceDE w:val="0"/>
        <w:spacing w:line="240" w:lineRule="atLeast"/>
        <w:ind w:firstLine="420" w:firstLineChars="200"/>
        <w:rPr>
          <w:rFonts w:hint="eastAsia" w:ascii="方正仿宋_GB2312" w:hAnsi="方正仿宋_GB2312" w:eastAsia="方正仿宋_GB2312" w:cs="方正仿宋_GB2312"/>
          <w:shd w:val="clear" w:color="auto" w:fill="FFFFFF"/>
          <w:lang w:eastAsia="zh-CN"/>
        </w:rPr>
      </w:pPr>
      <w:r>
        <w:rPr>
          <w:rFonts w:hint="eastAsia" w:ascii="方正仿宋_GB2312" w:hAnsi="方正仿宋_GB2312" w:eastAsia="方正仿宋_GB2312" w:cs="方正仿宋_GB2312"/>
          <w:shd w:val="clear" w:color="auto" w:fill="FFFFFF"/>
        </w:rPr>
        <w:t>企业名称：</w:t>
      </w:r>
      <w:r>
        <w:rPr>
          <w:rFonts w:hint="eastAsia" w:ascii="方正仿宋_GB2312" w:hAnsi="方正仿宋_GB2312" w:eastAsia="方正仿宋_GB2312" w:cs="方正仿宋_GB2312"/>
        </w:rPr>
        <w:t>江苏华特新材料有限公司</w:t>
      </w:r>
      <w:r>
        <w:rPr>
          <w:rFonts w:hint="eastAsia" w:ascii="方正仿宋_GB2312" w:hAnsi="方正仿宋_GB2312" w:eastAsia="方正仿宋_GB2312" w:cs="方正仿宋_GB2312"/>
          <w:lang w:eastAsia="zh-CN"/>
        </w:rPr>
        <w:t>（</w:t>
      </w:r>
      <w:r>
        <w:rPr>
          <w:rFonts w:hint="eastAsia" w:ascii="方正仿宋_GB2312" w:hAnsi="方正仿宋_GB2312" w:eastAsia="方正仿宋_GB2312" w:cs="方正仿宋_GB2312"/>
          <w:lang w:val="en-US" w:eastAsia="zh-CN"/>
        </w:rPr>
        <w:t>曾用名：南通</w:t>
      </w:r>
      <w:r>
        <w:rPr>
          <w:rFonts w:hint="eastAsia" w:ascii="方正仿宋_GB2312" w:hAnsi="方正仿宋_GB2312" w:eastAsia="方正仿宋_GB2312" w:cs="方正仿宋_GB2312"/>
          <w:shd w:val="clear" w:color="auto" w:fill="FFFFFF"/>
        </w:rPr>
        <w:t>华特新材料有限公司</w:t>
      </w:r>
      <w:r>
        <w:rPr>
          <w:rFonts w:hint="eastAsia" w:ascii="方正仿宋_GB2312" w:hAnsi="方正仿宋_GB2312" w:eastAsia="方正仿宋_GB2312" w:cs="方正仿宋_GB2312"/>
          <w:shd w:val="clear" w:color="auto" w:fill="FFFFFF"/>
          <w:lang w:eastAsia="zh-CN"/>
        </w:rPr>
        <w:t>）</w:t>
      </w:r>
    </w:p>
    <w:p w14:paraId="69A8F94E">
      <w:pPr>
        <w:autoSpaceDE w:val="0"/>
        <w:spacing w:line="240" w:lineRule="atLeast"/>
        <w:ind w:firstLine="420" w:firstLineChars="200"/>
        <w:rPr>
          <w:rFonts w:hint="eastAsia" w:ascii="方正仿宋_GB2312" w:hAnsi="方正仿宋_GB2312" w:eastAsia="方正仿宋_GB2312" w:cs="方正仿宋_GB2312"/>
          <w:shd w:val="clear" w:color="auto" w:fill="FFFFFF"/>
        </w:rPr>
      </w:pPr>
      <w:r>
        <w:rPr>
          <w:rFonts w:hint="eastAsia" w:ascii="方正仿宋_GB2312" w:hAnsi="方正仿宋_GB2312" w:eastAsia="方正仿宋_GB2312" w:cs="方正仿宋_GB2312"/>
          <w:shd w:val="clear" w:color="auto" w:fill="FFFFFF"/>
        </w:rPr>
        <w:t>成立日期：20</w:t>
      </w:r>
      <w:r>
        <w:rPr>
          <w:rFonts w:hint="eastAsia" w:ascii="方正仿宋_GB2312" w:hAnsi="方正仿宋_GB2312" w:eastAsia="方正仿宋_GB2312" w:cs="方正仿宋_GB2312"/>
          <w:shd w:val="clear" w:color="auto" w:fill="FFFFFF"/>
          <w:lang w:val="en-US" w:eastAsia="zh-CN"/>
        </w:rPr>
        <w:t>23</w:t>
      </w:r>
      <w:r>
        <w:rPr>
          <w:rFonts w:hint="eastAsia" w:ascii="方正仿宋_GB2312" w:hAnsi="方正仿宋_GB2312" w:eastAsia="方正仿宋_GB2312" w:cs="方正仿宋_GB2312"/>
          <w:shd w:val="clear" w:color="auto" w:fill="FFFFFF"/>
        </w:rPr>
        <w:t>年</w:t>
      </w:r>
      <w:r>
        <w:rPr>
          <w:rFonts w:hint="eastAsia" w:ascii="方正仿宋_GB2312" w:hAnsi="方正仿宋_GB2312" w:eastAsia="方正仿宋_GB2312" w:cs="方正仿宋_GB2312"/>
          <w:shd w:val="clear" w:color="auto" w:fill="FFFFFF"/>
          <w:lang w:val="en-US" w:eastAsia="zh-CN"/>
        </w:rPr>
        <w:t>3</w:t>
      </w:r>
      <w:r>
        <w:rPr>
          <w:rFonts w:hint="eastAsia" w:ascii="方正仿宋_GB2312" w:hAnsi="方正仿宋_GB2312" w:eastAsia="方正仿宋_GB2312" w:cs="方正仿宋_GB2312"/>
          <w:shd w:val="clear" w:color="auto" w:fill="FFFFFF"/>
        </w:rPr>
        <w:t>月</w:t>
      </w:r>
      <w:r>
        <w:rPr>
          <w:rFonts w:hint="eastAsia" w:ascii="方正仿宋_GB2312" w:hAnsi="方正仿宋_GB2312" w:eastAsia="方正仿宋_GB2312" w:cs="方正仿宋_GB2312"/>
          <w:shd w:val="clear" w:color="auto" w:fill="FFFFFF"/>
          <w:lang w:val="en-US" w:eastAsia="zh-CN"/>
        </w:rPr>
        <w:t>7</w:t>
      </w:r>
      <w:r>
        <w:rPr>
          <w:rFonts w:hint="eastAsia" w:ascii="方正仿宋_GB2312" w:hAnsi="方正仿宋_GB2312" w:eastAsia="方正仿宋_GB2312" w:cs="方正仿宋_GB2312"/>
          <w:shd w:val="clear" w:color="auto" w:fill="FFFFFF"/>
        </w:rPr>
        <w:t>日</w:t>
      </w:r>
    </w:p>
    <w:p w14:paraId="31D382A2">
      <w:pPr>
        <w:pStyle w:val="5"/>
        <w:autoSpaceDE w:val="0"/>
        <w:spacing w:line="240" w:lineRule="atLeast"/>
        <w:ind w:left="420" w:firstLine="0" w:firstLineChars="0"/>
        <w:rPr>
          <w:rFonts w:hint="eastAsia" w:ascii="方正仿宋_GB2312" w:hAnsi="方正仿宋_GB2312" w:eastAsia="方正仿宋_GB2312" w:cs="方正仿宋_GB2312"/>
          <w:shd w:val="clear" w:color="auto" w:fill="FFFFFF"/>
        </w:rPr>
      </w:pPr>
      <w:r>
        <w:rPr>
          <w:rFonts w:hint="eastAsia" w:ascii="方正仿宋_GB2312" w:hAnsi="方正仿宋_GB2312" w:eastAsia="方正仿宋_GB2312" w:cs="方正仿宋_GB2312"/>
          <w:shd w:val="clear" w:color="auto" w:fill="FFFFFF"/>
        </w:rPr>
        <w:t>注册资本：</w:t>
      </w:r>
      <w:r>
        <w:rPr>
          <w:rFonts w:hint="eastAsia" w:ascii="方正仿宋_GB2312" w:hAnsi="方正仿宋_GB2312" w:eastAsia="方正仿宋_GB2312" w:cs="方正仿宋_GB2312"/>
          <w:shd w:val="clear" w:color="auto" w:fill="FFFFFF"/>
          <w:lang w:val="en-US" w:eastAsia="zh-CN"/>
        </w:rPr>
        <w:t>15</w:t>
      </w:r>
      <w:r>
        <w:rPr>
          <w:rFonts w:hint="eastAsia" w:ascii="方正仿宋_GB2312" w:hAnsi="方正仿宋_GB2312" w:eastAsia="方正仿宋_GB2312" w:cs="方正仿宋_GB2312"/>
          <w:shd w:val="clear" w:color="auto" w:fill="FFFFFF"/>
        </w:rPr>
        <w:t>000万元人民币</w:t>
      </w:r>
    </w:p>
    <w:p w14:paraId="2180D403">
      <w:pPr>
        <w:pStyle w:val="5"/>
        <w:autoSpaceDE w:val="0"/>
        <w:spacing w:line="240" w:lineRule="atLeast"/>
        <w:ind w:left="420" w:firstLine="0" w:firstLineChars="0"/>
        <w:rPr>
          <w:rFonts w:hint="eastAsia" w:ascii="方正仿宋_GB2312" w:hAnsi="方正仿宋_GB2312" w:eastAsia="方正仿宋_GB2312" w:cs="方正仿宋_GB2312"/>
          <w:shd w:val="clear" w:color="auto" w:fill="FFFFFF"/>
        </w:rPr>
      </w:pPr>
      <w:r>
        <w:rPr>
          <w:rFonts w:hint="eastAsia" w:ascii="方正仿宋_GB2312" w:hAnsi="方正仿宋_GB2312" w:eastAsia="方正仿宋_GB2312" w:cs="方正仿宋_GB2312"/>
          <w:shd w:val="clear" w:color="auto" w:fill="FFFFFF"/>
        </w:rPr>
        <w:t>注册地：如皋市长江镇（如皋港区）兴港西路6号（如皋港化工新材料产业园区内）</w:t>
      </w:r>
    </w:p>
    <w:p w14:paraId="13E18340">
      <w:pPr>
        <w:pStyle w:val="5"/>
        <w:ind w:left="420" w:firstLine="0" w:firstLineChars="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产业园：如皋港化工新材料产业园</w:t>
      </w:r>
    </w:p>
    <w:p w14:paraId="664D9F72">
      <w:pPr>
        <w:pStyle w:val="5"/>
        <w:ind w:left="420" w:firstLine="0" w:firstLineChars="0"/>
        <w:rPr>
          <w:rFonts w:hint="eastAsia" w:ascii="方正仿宋_GB2312" w:hAnsi="方正仿宋_GB2312" w:eastAsia="方正仿宋_GB2312" w:cs="方正仿宋_GB2312"/>
        </w:rPr>
      </w:pPr>
    </w:p>
    <w:p w14:paraId="259DB943">
      <w:pPr>
        <w:numPr>
          <w:ilvl w:val="0"/>
          <w:numId w:val="1"/>
        </w:numPr>
        <w:ind w:left="0" w:leftChars="0" w:firstLine="420" w:firstLineChars="0"/>
        <w:rPr>
          <w:rFonts w:hint="eastAsia" w:ascii="方正仿宋_GB2312" w:hAnsi="方正仿宋_GB2312" w:eastAsia="方正仿宋_GB2312" w:cs="方正仿宋_GB2312"/>
          <w:b/>
          <w:bCs/>
          <w:sz w:val="24"/>
          <w:szCs w:val="24"/>
        </w:rPr>
      </w:pPr>
      <w:r>
        <w:rPr>
          <w:rFonts w:hint="eastAsia" w:ascii="方正仿宋_GB2312" w:hAnsi="方正仿宋_GB2312" w:eastAsia="方正仿宋_GB2312" w:cs="方正仿宋_GB2312"/>
          <w:b/>
          <w:bCs/>
          <w:sz w:val="24"/>
          <w:szCs w:val="24"/>
          <w:lang w:val="en-US" w:eastAsia="zh-CN"/>
        </w:rPr>
        <w:t>股东及关键人</w:t>
      </w:r>
    </w:p>
    <w:tbl>
      <w:tblPr>
        <w:tblStyle w:val="2"/>
        <w:tblpPr w:leftFromText="180" w:rightFromText="180" w:vertAnchor="text" w:horzAnchor="page" w:tblpX="2313" w:tblpY="42"/>
        <w:tblOverlap w:val="never"/>
        <w:tblW w:w="8582" w:type="dxa"/>
        <w:tblInd w:w="0" w:type="dxa"/>
        <w:tblBorders>
          <w:top w:val="single" w:color="000001" w:sz="2" w:space="0"/>
          <w:left w:val="single" w:color="000001" w:sz="2" w:space="0"/>
          <w:bottom w:val="single" w:color="000001" w:sz="2" w:space="0"/>
          <w:right w:val="single" w:color="000001" w:sz="2" w:space="0"/>
          <w:insideH w:val="single" w:color="000001" w:sz="2" w:space="0"/>
          <w:insideV w:val="single" w:color="000001" w:sz="2" w:space="0"/>
        </w:tblBorders>
        <w:tblLayout w:type="fixed"/>
        <w:tblCellMar>
          <w:top w:w="80" w:type="dxa"/>
          <w:left w:w="80" w:type="dxa"/>
          <w:bottom w:w="80" w:type="dxa"/>
          <w:right w:w="80" w:type="dxa"/>
        </w:tblCellMar>
      </w:tblPr>
      <w:tblGrid>
        <w:gridCol w:w="2900"/>
        <w:gridCol w:w="877"/>
        <w:gridCol w:w="1125"/>
        <w:gridCol w:w="1291"/>
        <w:gridCol w:w="1028"/>
        <w:gridCol w:w="1361"/>
      </w:tblGrid>
      <w:tr w14:paraId="69012F8A">
        <w:tblPrEx>
          <w:tblBorders>
            <w:top w:val="single" w:color="000001" w:sz="2" w:space="0"/>
            <w:left w:val="single" w:color="000001" w:sz="2" w:space="0"/>
            <w:bottom w:val="single" w:color="000001" w:sz="2" w:space="0"/>
            <w:right w:val="single" w:color="000001" w:sz="2" w:space="0"/>
            <w:insideH w:val="single" w:color="000001" w:sz="2" w:space="0"/>
            <w:insideV w:val="single" w:color="000001" w:sz="2" w:space="0"/>
          </w:tblBorders>
          <w:tblCellMar>
            <w:top w:w="80" w:type="dxa"/>
            <w:left w:w="80" w:type="dxa"/>
            <w:bottom w:w="80" w:type="dxa"/>
            <w:right w:w="80" w:type="dxa"/>
          </w:tblCellMar>
        </w:tblPrEx>
        <w:trPr>
          <w:trHeight w:val="686" w:hRule="atLeast"/>
          <w:tblHeader/>
        </w:trPr>
        <w:tc>
          <w:tcPr>
            <w:tcW w:w="2900" w:type="dxa"/>
            <w:shd w:val="clear" w:color="auto" w:fill="DDDDDD"/>
          </w:tcPr>
          <w:p w14:paraId="01A20B7E">
            <w:pPr>
              <w:pStyle w:val="6"/>
            </w:pPr>
            <w:r>
              <w:t>股东名称</w:t>
            </w:r>
          </w:p>
        </w:tc>
        <w:tc>
          <w:tcPr>
            <w:tcW w:w="877" w:type="dxa"/>
            <w:shd w:val="clear" w:color="auto" w:fill="DDDDDD"/>
          </w:tcPr>
          <w:p w14:paraId="1986B1D6">
            <w:pPr>
              <w:pStyle w:val="6"/>
            </w:pPr>
            <w:r>
              <w:t>持股比例（%）</w:t>
            </w:r>
          </w:p>
        </w:tc>
        <w:tc>
          <w:tcPr>
            <w:tcW w:w="1125" w:type="dxa"/>
            <w:shd w:val="clear" w:color="auto" w:fill="DDDDDD"/>
            <w:vAlign w:val="top"/>
          </w:tcPr>
          <w:p w14:paraId="07520D08">
            <w:pPr>
              <w:pStyle w:val="6"/>
              <w:rPr>
                <w:rFonts w:hint="eastAsia" w:asciiTheme="minorHAnsi" w:hAnsiTheme="minorHAnsi" w:eastAsiaTheme="minorEastAsia" w:cstheme="minorBidi"/>
                <w:b/>
                <w:kern w:val="2"/>
                <w:sz w:val="21"/>
                <w:szCs w:val="24"/>
                <w:lang w:val="en-US" w:eastAsia="zh-CN" w:bidi="ar-SA"/>
              </w:rPr>
            </w:pPr>
            <w:r>
              <w:rPr>
                <w:rFonts w:hint="eastAsia"/>
                <w:lang w:val="en-US" w:eastAsia="zh-CN"/>
              </w:rPr>
              <w:t>认缴出资额（万元）</w:t>
            </w:r>
          </w:p>
        </w:tc>
        <w:tc>
          <w:tcPr>
            <w:tcW w:w="1291" w:type="dxa"/>
            <w:shd w:val="clear" w:color="auto" w:fill="DDDDDD"/>
          </w:tcPr>
          <w:p w14:paraId="21984C7C">
            <w:pPr>
              <w:pStyle w:val="6"/>
              <w:rPr>
                <w:rFonts w:hint="default"/>
                <w:lang w:val="en-US" w:eastAsia="zh-CN"/>
              </w:rPr>
            </w:pPr>
            <w:r>
              <w:rPr>
                <w:rFonts w:hint="eastAsia"/>
                <w:lang w:val="en-US" w:eastAsia="zh-CN"/>
              </w:rPr>
              <w:t>认缴出资日期</w:t>
            </w:r>
          </w:p>
        </w:tc>
        <w:tc>
          <w:tcPr>
            <w:tcW w:w="1028" w:type="dxa"/>
            <w:shd w:val="clear" w:color="auto" w:fill="DDDDDD"/>
          </w:tcPr>
          <w:p w14:paraId="398FB4C6">
            <w:pPr>
              <w:pStyle w:val="6"/>
              <w:rPr>
                <w:rFonts w:hint="default"/>
                <w:lang w:val="en-US" w:eastAsia="zh-CN"/>
              </w:rPr>
            </w:pPr>
            <w:r>
              <w:rPr>
                <w:rFonts w:hint="eastAsia"/>
                <w:lang w:val="en-US" w:eastAsia="zh-CN"/>
              </w:rPr>
              <w:t>实缴出资额（万元）</w:t>
            </w:r>
          </w:p>
        </w:tc>
        <w:tc>
          <w:tcPr>
            <w:tcW w:w="1361" w:type="dxa"/>
            <w:shd w:val="clear" w:color="auto" w:fill="DDDDDD"/>
          </w:tcPr>
          <w:p w14:paraId="1132D891">
            <w:pPr>
              <w:pStyle w:val="6"/>
              <w:rPr>
                <w:rFonts w:hint="default"/>
                <w:lang w:val="en-US" w:eastAsia="zh-CN"/>
              </w:rPr>
            </w:pPr>
            <w:r>
              <w:rPr>
                <w:rFonts w:hint="eastAsia"/>
                <w:lang w:val="en-US" w:eastAsia="zh-CN"/>
              </w:rPr>
              <w:t>实缴出资日期</w:t>
            </w:r>
          </w:p>
        </w:tc>
      </w:tr>
      <w:tr w14:paraId="6B1730B4">
        <w:tblPrEx>
          <w:tblBorders>
            <w:top w:val="single" w:color="000001" w:sz="2" w:space="0"/>
            <w:left w:val="single" w:color="000001" w:sz="2" w:space="0"/>
            <w:bottom w:val="single" w:color="000001" w:sz="2" w:space="0"/>
            <w:right w:val="single" w:color="000001" w:sz="2" w:space="0"/>
            <w:insideH w:val="single" w:color="000001" w:sz="2" w:space="0"/>
            <w:insideV w:val="single" w:color="000001" w:sz="2" w:space="0"/>
          </w:tblBorders>
          <w:tblCellMar>
            <w:top w:w="80" w:type="dxa"/>
            <w:left w:w="80" w:type="dxa"/>
            <w:bottom w:w="80" w:type="dxa"/>
            <w:right w:w="80" w:type="dxa"/>
          </w:tblCellMar>
        </w:tblPrEx>
        <w:trPr>
          <w:trHeight w:val="283" w:hRule="atLeast"/>
        </w:trPr>
        <w:tc>
          <w:tcPr>
            <w:tcW w:w="2900" w:type="dxa"/>
            <w:vAlign w:val="top"/>
          </w:tcPr>
          <w:p w14:paraId="666BE11C">
            <w:pPr>
              <w:pStyle w:val="7"/>
            </w:pPr>
            <w:r>
              <w:rPr>
                <w:rFonts w:hint="eastAsia"/>
              </w:rPr>
              <w:t>广东华特气体股份有限公司</w:t>
            </w:r>
          </w:p>
        </w:tc>
        <w:tc>
          <w:tcPr>
            <w:tcW w:w="877" w:type="dxa"/>
            <w:vAlign w:val="top"/>
          </w:tcPr>
          <w:p w14:paraId="28F8C475">
            <w:pPr>
              <w:pStyle w:val="7"/>
              <w:rPr>
                <w:rFonts w:hint="default" w:eastAsiaTheme="minorEastAsia"/>
                <w:lang w:val="en-US" w:eastAsia="zh-CN"/>
              </w:rPr>
            </w:pPr>
            <w:r>
              <w:rPr>
                <w:rFonts w:hint="eastAsia"/>
                <w:lang w:val="en-US" w:eastAsia="zh-CN"/>
              </w:rPr>
              <w:t>100</w:t>
            </w:r>
          </w:p>
        </w:tc>
        <w:tc>
          <w:tcPr>
            <w:tcW w:w="1125" w:type="dxa"/>
            <w:vAlign w:val="top"/>
          </w:tcPr>
          <w:p w14:paraId="44C8D961">
            <w:pPr>
              <w:pStyle w:val="7"/>
              <w:rPr>
                <w:rFonts w:hint="default" w:asciiTheme="minorHAnsi" w:hAnsiTheme="minorHAnsi" w:eastAsiaTheme="minorEastAsia" w:cstheme="minorBidi"/>
                <w:kern w:val="2"/>
                <w:sz w:val="21"/>
                <w:szCs w:val="24"/>
                <w:lang w:val="en-US" w:eastAsia="zh-CN" w:bidi="ar-SA"/>
              </w:rPr>
            </w:pPr>
            <w:r>
              <w:rPr>
                <w:rFonts w:hint="eastAsia"/>
                <w:lang w:val="en-US" w:eastAsia="zh-CN"/>
              </w:rPr>
              <w:t>15</w:t>
            </w:r>
            <w:r>
              <w:rPr>
                <w:rFonts w:hint="default"/>
                <w:lang w:val="en-US" w:eastAsia="zh-CN"/>
              </w:rPr>
              <w:t>,000</w:t>
            </w:r>
          </w:p>
        </w:tc>
        <w:tc>
          <w:tcPr>
            <w:tcW w:w="1291" w:type="dxa"/>
            <w:vAlign w:val="top"/>
          </w:tcPr>
          <w:p w14:paraId="2B2B3CE6">
            <w:pPr>
              <w:pStyle w:val="7"/>
              <w:rPr>
                <w:rFonts w:hint="default" w:eastAsiaTheme="minorEastAsia"/>
                <w:lang w:val="en-US" w:eastAsia="zh-CN"/>
              </w:rPr>
            </w:pPr>
            <w:r>
              <w:rPr>
                <w:rFonts w:hint="eastAsia"/>
                <w:lang w:val="en-US" w:eastAsia="zh-CN"/>
              </w:rPr>
              <w:t>2053-02-16</w:t>
            </w:r>
          </w:p>
        </w:tc>
        <w:tc>
          <w:tcPr>
            <w:tcW w:w="1028" w:type="dxa"/>
            <w:vAlign w:val="top"/>
          </w:tcPr>
          <w:p w14:paraId="5DF65AB5">
            <w:pPr>
              <w:pStyle w:val="7"/>
              <w:rPr>
                <w:rFonts w:hint="default" w:eastAsiaTheme="minorEastAsia"/>
                <w:lang w:val="en-US" w:eastAsia="zh-CN"/>
              </w:rPr>
            </w:pPr>
            <w:r>
              <w:rPr>
                <w:rFonts w:hint="eastAsia"/>
                <w:lang w:val="en-US" w:eastAsia="zh-CN"/>
              </w:rPr>
              <w:t>180</w:t>
            </w:r>
          </w:p>
        </w:tc>
        <w:tc>
          <w:tcPr>
            <w:tcW w:w="1361" w:type="dxa"/>
            <w:vAlign w:val="top"/>
          </w:tcPr>
          <w:p w14:paraId="54B44C94">
            <w:pPr>
              <w:pStyle w:val="7"/>
              <w:rPr>
                <w:rFonts w:hint="default" w:eastAsiaTheme="minorEastAsia"/>
                <w:lang w:val="en-US" w:eastAsia="zh-CN"/>
              </w:rPr>
            </w:pPr>
            <w:r>
              <w:rPr>
                <w:rFonts w:hint="eastAsia"/>
                <w:lang w:val="en-US" w:eastAsia="zh-CN"/>
              </w:rPr>
              <w:t>2023-12-06</w:t>
            </w:r>
          </w:p>
        </w:tc>
      </w:tr>
    </w:tbl>
    <w:p w14:paraId="6AD9641A">
      <w:pPr>
        <w:pStyle w:val="5"/>
        <w:ind w:firstLine="422"/>
        <w:rPr>
          <w:rFonts w:hint="eastAsia" w:ascii="方正仿宋_GB2312" w:hAnsi="方正仿宋_GB2312" w:eastAsia="方正仿宋_GB2312" w:cs="方正仿宋_GB2312"/>
          <w:b/>
          <w:bCs/>
        </w:rPr>
      </w:pPr>
    </w:p>
    <w:tbl>
      <w:tblPr>
        <w:tblStyle w:val="2"/>
        <w:tblpPr w:leftFromText="180" w:rightFromText="180" w:vertAnchor="text" w:horzAnchor="page" w:tblpX="2313" w:tblpY="42"/>
        <w:tblOverlap w:val="never"/>
        <w:tblW w:w="0" w:type="auto"/>
        <w:tblInd w:w="0" w:type="dxa"/>
        <w:tblBorders>
          <w:top w:val="single" w:color="000001" w:sz="2" w:space="0"/>
          <w:left w:val="single" w:color="000001" w:sz="2" w:space="0"/>
          <w:bottom w:val="single" w:color="000001" w:sz="2" w:space="0"/>
          <w:right w:val="single" w:color="000001" w:sz="2" w:space="0"/>
          <w:insideH w:val="single" w:color="000001" w:sz="2" w:space="0"/>
          <w:insideV w:val="single" w:color="000001" w:sz="2" w:space="0"/>
        </w:tblBorders>
        <w:tblLayout w:type="autofit"/>
        <w:tblCellMar>
          <w:top w:w="80" w:type="dxa"/>
          <w:left w:w="80" w:type="dxa"/>
          <w:bottom w:w="80" w:type="dxa"/>
          <w:right w:w="80" w:type="dxa"/>
        </w:tblCellMar>
      </w:tblPr>
      <w:tblGrid>
        <w:gridCol w:w="1004"/>
        <w:gridCol w:w="1000"/>
        <w:gridCol w:w="6040"/>
      </w:tblGrid>
      <w:tr w14:paraId="689893E2">
        <w:tblPrEx>
          <w:tblBorders>
            <w:top w:val="single" w:color="000001" w:sz="2" w:space="0"/>
            <w:left w:val="single" w:color="000001" w:sz="2" w:space="0"/>
            <w:bottom w:val="single" w:color="000001" w:sz="2" w:space="0"/>
            <w:right w:val="single" w:color="000001" w:sz="2" w:space="0"/>
            <w:insideH w:val="single" w:color="000001" w:sz="2" w:space="0"/>
            <w:insideV w:val="single" w:color="000001" w:sz="2" w:space="0"/>
          </w:tblBorders>
        </w:tblPrEx>
        <w:trPr>
          <w:trHeight w:val="402" w:hRule="atLeast"/>
          <w:tblHeader/>
        </w:trPr>
        <w:tc>
          <w:tcPr>
            <w:tcW w:w="0" w:type="auto"/>
            <w:shd w:val="clear" w:color="auto" w:fill="DDDDDD"/>
          </w:tcPr>
          <w:p w14:paraId="667655FD">
            <w:pPr>
              <w:pStyle w:val="6"/>
              <w:rPr>
                <w:rFonts w:hint="eastAsia" w:eastAsiaTheme="minorEastAsia"/>
                <w:lang w:eastAsia="zh-CN"/>
              </w:rPr>
            </w:pPr>
            <w:r>
              <w:rPr>
                <w:rFonts w:hint="eastAsia"/>
                <w:lang w:val="en-US" w:eastAsia="zh-CN"/>
              </w:rPr>
              <w:t>管理人员</w:t>
            </w:r>
          </w:p>
        </w:tc>
        <w:tc>
          <w:tcPr>
            <w:tcW w:w="0" w:type="auto"/>
            <w:shd w:val="clear" w:color="auto" w:fill="DDDDDD"/>
          </w:tcPr>
          <w:p w14:paraId="62313F1C">
            <w:pPr>
              <w:pStyle w:val="6"/>
              <w:rPr>
                <w:rFonts w:hint="eastAsia" w:eastAsiaTheme="minorEastAsia"/>
                <w:lang w:eastAsia="zh-CN"/>
              </w:rPr>
            </w:pPr>
            <w:r>
              <w:rPr>
                <w:rFonts w:hint="eastAsia"/>
                <w:lang w:val="en-US" w:eastAsia="zh-CN"/>
              </w:rPr>
              <w:t>职务</w:t>
            </w:r>
          </w:p>
        </w:tc>
        <w:tc>
          <w:tcPr>
            <w:tcW w:w="0" w:type="auto"/>
            <w:shd w:val="clear" w:color="auto" w:fill="DDDDDD"/>
            <w:vAlign w:val="top"/>
          </w:tcPr>
          <w:p w14:paraId="65D88C54">
            <w:pPr>
              <w:pStyle w:val="6"/>
              <w:rPr>
                <w:rFonts w:hint="default" w:asciiTheme="minorHAnsi" w:hAnsiTheme="minorHAnsi" w:eastAsiaTheme="minorEastAsia" w:cstheme="minorBidi"/>
                <w:b/>
                <w:kern w:val="2"/>
                <w:sz w:val="21"/>
                <w:szCs w:val="24"/>
                <w:lang w:val="en-US" w:eastAsia="zh-CN" w:bidi="ar-SA"/>
              </w:rPr>
            </w:pPr>
            <w:r>
              <w:rPr>
                <w:rFonts w:hint="eastAsia"/>
                <w:lang w:val="en-US" w:eastAsia="zh-CN"/>
              </w:rPr>
              <w:t>其他信息</w:t>
            </w:r>
          </w:p>
        </w:tc>
      </w:tr>
      <w:tr w14:paraId="4C349381">
        <w:tblPrEx>
          <w:tblBorders>
            <w:top w:val="single" w:color="000001" w:sz="2" w:space="0"/>
            <w:left w:val="single" w:color="000001" w:sz="2" w:space="0"/>
            <w:bottom w:val="single" w:color="000001" w:sz="2" w:space="0"/>
            <w:right w:val="single" w:color="000001" w:sz="2" w:space="0"/>
            <w:insideH w:val="single" w:color="000001" w:sz="2" w:space="0"/>
            <w:insideV w:val="single" w:color="000001" w:sz="2" w:space="0"/>
          </w:tblBorders>
          <w:tblCellMar>
            <w:top w:w="80" w:type="dxa"/>
            <w:left w:w="80" w:type="dxa"/>
            <w:bottom w:w="80" w:type="dxa"/>
            <w:right w:w="80" w:type="dxa"/>
          </w:tblCellMar>
        </w:tblPrEx>
        <w:trPr>
          <w:trHeight w:val="57" w:hRule="atLeast"/>
        </w:trPr>
        <w:tc>
          <w:tcPr>
            <w:tcW w:w="0" w:type="auto"/>
            <w:vAlign w:val="top"/>
          </w:tcPr>
          <w:p w14:paraId="77733661">
            <w:pPr>
              <w:pStyle w:val="7"/>
              <w:rPr>
                <w:rFonts w:hint="default" w:eastAsiaTheme="minorEastAsia"/>
                <w:lang w:val="en-US" w:eastAsia="zh-CN"/>
              </w:rPr>
            </w:pPr>
            <w:r>
              <w:rPr>
                <w:rFonts w:hint="eastAsia"/>
                <w:lang w:val="en-US" w:eastAsia="zh-CN"/>
              </w:rPr>
              <w:t>吉霏</w:t>
            </w:r>
          </w:p>
        </w:tc>
        <w:tc>
          <w:tcPr>
            <w:tcW w:w="0" w:type="auto"/>
            <w:vAlign w:val="top"/>
          </w:tcPr>
          <w:p w14:paraId="22060AD2">
            <w:pPr>
              <w:pStyle w:val="7"/>
              <w:rPr>
                <w:rFonts w:hint="default" w:eastAsiaTheme="minorEastAsia"/>
                <w:lang w:val="en-US" w:eastAsia="zh-CN"/>
              </w:rPr>
            </w:pPr>
            <w:r>
              <w:rPr>
                <w:rFonts w:hint="eastAsia"/>
                <w:lang w:val="en-US" w:eastAsia="zh-CN"/>
              </w:rPr>
              <w:t>执行董事</w:t>
            </w:r>
          </w:p>
        </w:tc>
        <w:tc>
          <w:tcPr>
            <w:tcW w:w="0" w:type="auto"/>
            <w:vAlign w:val="top"/>
          </w:tcPr>
          <w:p w14:paraId="03867A76">
            <w:pPr>
              <w:pStyle w:val="7"/>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2023-10-17发生变更，变更前法定代表人为杨帆</w:t>
            </w:r>
          </w:p>
        </w:tc>
      </w:tr>
      <w:tr w14:paraId="4D8CC21F">
        <w:tblPrEx>
          <w:tblBorders>
            <w:top w:val="single" w:color="000001" w:sz="2" w:space="0"/>
            <w:left w:val="single" w:color="000001" w:sz="2" w:space="0"/>
            <w:bottom w:val="single" w:color="000001" w:sz="2" w:space="0"/>
            <w:right w:val="single" w:color="000001" w:sz="2" w:space="0"/>
            <w:insideH w:val="single" w:color="000001" w:sz="2" w:space="0"/>
            <w:insideV w:val="single" w:color="000001" w:sz="2" w:space="0"/>
          </w:tblBorders>
          <w:tblCellMar>
            <w:top w:w="80" w:type="dxa"/>
            <w:left w:w="80" w:type="dxa"/>
            <w:bottom w:w="80" w:type="dxa"/>
            <w:right w:w="80" w:type="dxa"/>
          </w:tblCellMar>
        </w:tblPrEx>
        <w:trPr>
          <w:trHeight w:val="57" w:hRule="atLeast"/>
        </w:trPr>
        <w:tc>
          <w:tcPr>
            <w:tcW w:w="0" w:type="auto"/>
            <w:vAlign w:val="top"/>
          </w:tcPr>
          <w:p w14:paraId="5BDCD360">
            <w:pPr>
              <w:pStyle w:val="7"/>
              <w:rPr>
                <w:rFonts w:hint="default"/>
                <w:lang w:val="en-US" w:eastAsia="zh-CN"/>
              </w:rPr>
            </w:pPr>
            <w:r>
              <w:rPr>
                <w:rFonts w:hint="eastAsia"/>
                <w:lang w:val="en-US" w:eastAsia="zh-CN"/>
              </w:rPr>
              <w:t>蔡荣杰</w:t>
            </w:r>
          </w:p>
        </w:tc>
        <w:tc>
          <w:tcPr>
            <w:tcW w:w="0" w:type="auto"/>
            <w:vAlign w:val="top"/>
          </w:tcPr>
          <w:p w14:paraId="3E8C4B14">
            <w:pPr>
              <w:pStyle w:val="7"/>
              <w:rPr>
                <w:rFonts w:hint="default"/>
                <w:lang w:val="en-US" w:eastAsia="zh-CN"/>
              </w:rPr>
            </w:pPr>
            <w:r>
              <w:rPr>
                <w:rFonts w:hint="eastAsia"/>
                <w:lang w:val="en-US" w:eastAsia="zh-CN"/>
              </w:rPr>
              <w:t>总经理</w:t>
            </w:r>
          </w:p>
        </w:tc>
        <w:tc>
          <w:tcPr>
            <w:tcW w:w="0" w:type="auto"/>
            <w:vAlign w:val="top"/>
          </w:tcPr>
          <w:p w14:paraId="78E6B63C">
            <w:pPr>
              <w:pStyle w:val="7"/>
              <w:rPr>
                <w:rFonts w:hint="eastAsia"/>
                <w:lang w:val="en-US" w:eastAsia="zh-CN"/>
              </w:rPr>
            </w:pPr>
          </w:p>
        </w:tc>
      </w:tr>
      <w:tr w14:paraId="78D8CC3F">
        <w:tblPrEx>
          <w:tblBorders>
            <w:top w:val="single" w:color="000001" w:sz="2" w:space="0"/>
            <w:left w:val="single" w:color="000001" w:sz="2" w:space="0"/>
            <w:bottom w:val="single" w:color="000001" w:sz="2" w:space="0"/>
            <w:right w:val="single" w:color="000001" w:sz="2" w:space="0"/>
            <w:insideH w:val="single" w:color="000001" w:sz="2" w:space="0"/>
            <w:insideV w:val="single" w:color="000001" w:sz="2" w:space="0"/>
          </w:tblBorders>
          <w:tblCellMar>
            <w:top w:w="80" w:type="dxa"/>
            <w:left w:w="80" w:type="dxa"/>
            <w:bottom w:w="80" w:type="dxa"/>
            <w:right w:w="80" w:type="dxa"/>
          </w:tblCellMar>
        </w:tblPrEx>
        <w:trPr>
          <w:trHeight w:val="57" w:hRule="atLeast"/>
        </w:trPr>
        <w:tc>
          <w:tcPr>
            <w:tcW w:w="0" w:type="auto"/>
            <w:vAlign w:val="top"/>
          </w:tcPr>
          <w:p w14:paraId="01227BDA">
            <w:pPr>
              <w:pStyle w:val="7"/>
              <w:rPr>
                <w:rFonts w:hint="default"/>
                <w:lang w:val="en-US" w:eastAsia="zh-CN"/>
              </w:rPr>
            </w:pPr>
            <w:r>
              <w:rPr>
                <w:rFonts w:hint="eastAsia"/>
                <w:lang w:val="en-US" w:eastAsia="zh-CN"/>
              </w:rPr>
              <w:t>钟小玫</w:t>
            </w:r>
          </w:p>
        </w:tc>
        <w:tc>
          <w:tcPr>
            <w:tcW w:w="0" w:type="auto"/>
            <w:vAlign w:val="top"/>
          </w:tcPr>
          <w:p w14:paraId="77D4713E">
            <w:pPr>
              <w:pStyle w:val="7"/>
              <w:rPr>
                <w:rFonts w:hint="default"/>
                <w:lang w:val="en-US" w:eastAsia="zh-CN"/>
              </w:rPr>
            </w:pPr>
            <w:r>
              <w:rPr>
                <w:rFonts w:hint="eastAsia"/>
                <w:lang w:val="en-US" w:eastAsia="zh-CN"/>
              </w:rPr>
              <w:t>监事</w:t>
            </w:r>
          </w:p>
        </w:tc>
        <w:tc>
          <w:tcPr>
            <w:tcW w:w="0" w:type="auto"/>
            <w:vAlign w:val="top"/>
          </w:tcPr>
          <w:p w14:paraId="0E345ACB">
            <w:pPr>
              <w:pStyle w:val="7"/>
              <w:rPr>
                <w:rFonts w:hint="default" w:eastAsiaTheme="minorEastAsia"/>
                <w:lang w:val="en-US" w:eastAsia="zh-CN"/>
              </w:rPr>
            </w:pPr>
            <w:r>
              <w:rPr>
                <w:rFonts w:hint="eastAsia"/>
                <w:lang w:val="en-US" w:eastAsia="zh-CN"/>
              </w:rPr>
              <w:t>外部信息显示同步担任</w:t>
            </w:r>
            <w:r>
              <w:rPr>
                <w:rFonts w:hint="eastAsia"/>
              </w:rPr>
              <w:t>广东华特气体股份有限公司</w:t>
            </w:r>
            <w:r>
              <w:rPr>
                <w:rFonts w:hint="eastAsia"/>
                <w:lang w:val="en-US" w:eastAsia="zh-CN"/>
              </w:rPr>
              <w:t>审计部副经理</w:t>
            </w:r>
          </w:p>
        </w:tc>
      </w:tr>
    </w:tbl>
    <w:p w14:paraId="77992ECD">
      <w:pPr>
        <w:pStyle w:val="5"/>
        <w:autoSpaceDE w:val="0"/>
        <w:spacing w:line="240" w:lineRule="atLeast"/>
        <w:ind w:left="0" w:leftChars="0" w:firstLine="0" w:firstLineChars="0"/>
        <w:rPr>
          <w:rFonts w:hint="eastAsia" w:ascii="方正仿宋_GB2312" w:hAnsi="方正仿宋_GB2312" w:eastAsia="方正仿宋_GB2312" w:cs="方正仿宋_GB2312"/>
          <w:shd w:val="clear" w:color="auto" w:fill="FFFFFF"/>
        </w:rPr>
      </w:pPr>
    </w:p>
    <w:p w14:paraId="1B24A628">
      <w:pPr>
        <w:pStyle w:val="5"/>
        <w:autoSpaceDE w:val="0"/>
        <w:spacing w:line="240" w:lineRule="atLeast"/>
        <w:ind w:left="420" w:firstLine="0" w:firstLineChars="0"/>
        <w:rPr>
          <w:rFonts w:hint="eastAsia" w:ascii="方正仿宋_GB2312" w:hAnsi="方正仿宋_GB2312" w:eastAsia="方正仿宋_GB2312" w:cs="方正仿宋_GB2312"/>
          <w:shd w:val="clear" w:color="auto" w:fill="FFFFFF"/>
        </w:rPr>
      </w:pPr>
      <w:r>
        <w:rPr>
          <w:rFonts w:hint="eastAsia" w:ascii="方正仿宋_GB2312" w:hAnsi="方正仿宋_GB2312" w:eastAsia="方正仿宋_GB2312" w:cs="方正仿宋_GB2312"/>
          <w:b/>
          <w:bCs/>
          <w:shd w:val="clear" w:color="auto" w:fill="FFFFFF"/>
        </w:rPr>
        <w:t>​1. 公司发展历程：​</w:t>
      </w:r>
      <w:r>
        <w:rPr>
          <w:rFonts w:hint="eastAsia" w:ascii="方正仿宋_GB2312" w:hAnsi="方正仿宋_GB2312" w:eastAsia="方正仿宋_GB2312" w:cs="方正仿宋_GB2312"/>
          <w:shd w:val="clear" w:color="auto" w:fill="FFFFFF"/>
        </w:rPr>
        <w:t>​</w:t>
      </w:r>
    </w:p>
    <w:p w14:paraId="548AF677">
      <w:pPr>
        <w:pStyle w:val="5"/>
        <w:numPr>
          <w:ilvl w:val="0"/>
          <w:numId w:val="2"/>
        </w:numPr>
        <w:autoSpaceDE w:val="0"/>
        <w:spacing w:line="240" w:lineRule="atLeast"/>
        <w:ind w:left="840" w:leftChars="0" w:hanging="420" w:firstLineChars="0"/>
        <w:rPr>
          <w:rFonts w:hint="eastAsia" w:ascii="方正仿宋_GB2312" w:hAnsi="方正仿宋_GB2312" w:eastAsia="方正仿宋_GB2312" w:cs="方正仿宋_GB2312"/>
          <w:shd w:val="clear" w:color="auto" w:fill="FFFFFF"/>
        </w:rPr>
      </w:pPr>
      <w:r>
        <w:rPr>
          <w:rFonts w:hint="eastAsia" w:ascii="方正仿宋_GB2312" w:hAnsi="方正仿宋_GB2312" w:eastAsia="方正仿宋_GB2312" w:cs="方正仿宋_GB2312"/>
          <w:color w:val="0000FF"/>
          <w:shd w:val="clear" w:color="auto" w:fill="FFFFFF"/>
          <w:lang w:val="en-US" w:eastAsia="zh-CN"/>
        </w:rPr>
        <w:t>初步投资：</w:t>
      </w:r>
      <w:r>
        <w:rPr>
          <w:rFonts w:hint="eastAsia" w:ascii="方正仿宋_GB2312" w:hAnsi="方正仿宋_GB2312" w:eastAsia="方正仿宋_GB2312" w:cs="方正仿宋_GB2312"/>
          <w:shd w:val="clear" w:color="auto" w:fill="FFFFFF"/>
        </w:rPr>
        <w:t>广东华特气体于2022年9月在江苏省如东沿海经济开发区启动生产基地建设项目，初期计划投资5亿元。</w:t>
      </w:r>
    </w:p>
    <w:p w14:paraId="2EEABF6E">
      <w:pPr>
        <w:pStyle w:val="5"/>
        <w:numPr>
          <w:ilvl w:val="0"/>
          <w:numId w:val="2"/>
        </w:numPr>
        <w:autoSpaceDE w:val="0"/>
        <w:spacing w:line="240" w:lineRule="atLeast"/>
        <w:ind w:left="840" w:leftChars="0" w:hanging="420" w:firstLineChars="0"/>
        <w:rPr>
          <w:rFonts w:hint="eastAsia" w:ascii="方正仿宋_GB2312" w:hAnsi="方正仿宋_GB2312" w:eastAsia="方正仿宋_GB2312" w:cs="方正仿宋_GB2312"/>
          <w:shd w:val="clear" w:color="auto" w:fill="FFFFFF"/>
        </w:rPr>
      </w:pPr>
      <w:r>
        <w:rPr>
          <w:rFonts w:hint="eastAsia" w:ascii="方正仿宋_GB2312" w:hAnsi="方正仿宋_GB2312" w:eastAsia="方正仿宋_GB2312" w:cs="方正仿宋_GB2312"/>
          <w:color w:val="0000FF"/>
          <w:shd w:val="clear" w:color="auto" w:fill="FFFFFF"/>
          <w:lang w:val="en-US" w:eastAsia="zh-CN"/>
        </w:rPr>
        <w:t>公司成立：</w:t>
      </w:r>
      <w:r>
        <w:rPr>
          <w:rFonts w:hint="eastAsia" w:ascii="方正仿宋_GB2312" w:hAnsi="方正仿宋_GB2312" w:eastAsia="方正仿宋_GB2312" w:cs="方正仿宋_GB2312"/>
          <w:shd w:val="clear" w:color="auto" w:fill="FFFFFF"/>
        </w:rPr>
        <w:t>南通华特新材料有限公司于2023年3月7日在江苏省南通市如东县成立，注册资本1.5亿元，由广东华特气体股份有限公司全资控股。</w:t>
      </w:r>
    </w:p>
    <w:p w14:paraId="684E0E1B">
      <w:pPr>
        <w:pStyle w:val="5"/>
        <w:numPr>
          <w:ilvl w:val="0"/>
          <w:numId w:val="2"/>
        </w:numPr>
        <w:autoSpaceDE w:val="0"/>
        <w:spacing w:line="240" w:lineRule="atLeast"/>
        <w:ind w:left="840" w:leftChars="0" w:hanging="420" w:firstLineChars="0"/>
      </w:pPr>
      <w:r>
        <w:rPr>
          <w:rFonts w:hint="eastAsia" w:ascii="方正仿宋_GB2312" w:hAnsi="方正仿宋_GB2312" w:eastAsia="方正仿宋_GB2312" w:cs="方正仿宋_GB2312"/>
          <w:color w:val="0000FF"/>
          <w:shd w:val="clear" w:color="auto" w:fill="FFFFFF"/>
          <w:lang w:val="en-US" w:eastAsia="zh-CN"/>
        </w:rPr>
        <w:t>追加投资：</w:t>
      </w:r>
      <w:r>
        <w:rPr>
          <w:rFonts w:hint="eastAsia" w:ascii="方正仿宋_GB2312" w:hAnsi="方正仿宋_GB2312" w:eastAsia="方正仿宋_GB2312" w:cs="方正仿宋_GB2312"/>
          <w:shd w:val="clear" w:color="auto" w:fill="FFFFFF"/>
        </w:rPr>
        <w:t>2023年7月，</w:t>
      </w:r>
      <w:r>
        <w:rPr>
          <w:rFonts w:hint="eastAsia" w:ascii="方正仿宋_GB2312" w:hAnsi="方正仿宋_GB2312" w:eastAsia="方正仿宋_GB2312" w:cs="方正仿宋_GB2312"/>
          <w:shd w:val="clear" w:color="auto" w:fill="FFFFFF"/>
          <w:lang w:val="en-US" w:eastAsia="zh-CN"/>
        </w:rPr>
        <w:t>广东华特</w:t>
      </w:r>
      <w:r>
        <w:rPr>
          <w:rFonts w:hint="eastAsia" w:ascii="方正仿宋_GB2312" w:hAnsi="方正仿宋_GB2312" w:eastAsia="方正仿宋_GB2312" w:cs="方正仿宋_GB2312"/>
          <w:shd w:val="clear" w:color="auto" w:fill="FFFFFF"/>
        </w:rPr>
        <w:t>进一步公告拟追加投资至10亿元，用于扩大电子化学品、工业气体及湿电子化学品的生产规模</w:t>
      </w:r>
      <w:r>
        <w:rPr>
          <w:rFonts w:hint="eastAsia" w:ascii="方正仿宋_GB2312" w:hAnsi="方正仿宋_GB2312" w:eastAsia="方正仿宋_GB2312" w:cs="方正仿宋_GB2312"/>
          <w:shd w:val="clear" w:color="auto" w:fill="FFFFFF"/>
          <w:lang w:eastAsia="zh-CN"/>
        </w:rPr>
        <w:t>。</w:t>
      </w:r>
    </w:p>
    <w:p w14:paraId="0976E6C1">
      <w:pPr>
        <w:pStyle w:val="5"/>
        <w:numPr>
          <w:ilvl w:val="0"/>
          <w:numId w:val="2"/>
        </w:numPr>
        <w:autoSpaceDE w:val="0"/>
        <w:spacing w:line="240" w:lineRule="atLeast"/>
        <w:ind w:left="840" w:leftChars="0" w:hanging="420" w:firstLineChars="0"/>
        <w:rPr>
          <w:rFonts w:hint="eastAsia" w:ascii="方正仿宋_GB2312" w:hAnsi="方正仿宋_GB2312" w:eastAsia="方正仿宋_GB2312" w:cs="方正仿宋_GB2312"/>
          <w:b w:val="0"/>
          <w:bCs w:val="0"/>
          <w:shd w:val="clear" w:color="auto" w:fill="FFFFFF"/>
        </w:rPr>
      </w:pPr>
      <w:r>
        <w:rPr>
          <w:rFonts w:hint="eastAsia" w:ascii="方正仿宋_GB2312" w:hAnsi="方正仿宋_GB2312" w:eastAsia="方正仿宋_GB2312" w:cs="方正仿宋_GB2312"/>
          <w:color w:val="0000FF"/>
          <w:shd w:val="clear" w:color="auto" w:fill="FFFFFF"/>
          <w:lang w:val="en-US" w:eastAsia="zh-CN"/>
        </w:rPr>
        <w:t>项目变更：</w:t>
      </w:r>
      <w:r>
        <w:rPr>
          <w:rFonts w:hint="eastAsia" w:ascii="方正仿宋_GB2312" w:hAnsi="方正仿宋_GB2312" w:eastAsia="方正仿宋_GB2312" w:cs="方正仿宋_GB2312"/>
          <w:shd w:val="clear" w:color="auto" w:fill="FFFFFF"/>
          <w:lang w:val="en-US" w:eastAsia="zh-CN"/>
        </w:rPr>
        <w:t>2024年1月，广东华特与江苏省如东沿海经济开发区管理委员会协商终止原项目建设协议书，并拟与江苏省如皋市长江镇人民政府签订《投资协议书》，双方就电子特种气体生产基地及研发中心项目相关条款达成一致。本次协议签订后，项目总投资调整为不低于10亿元人民币，项目选址将变更</w:t>
      </w:r>
      <w:r>
        <w:rPr>
          <w:rFonts w:hint="eastAsia" w:ascii="方正仿宋_GB2312" w:hAnsi="方正仿宋_GB2312" w:eastAsia="方正仿宋_GB2312" w:cs="方正仿宋_GB2312"/>
          <w:b w:val="0"/>
          <w:bCs w:val="0"/>
          <w:shd w:val="clear" w:color="auto" w:fill="FFFFFF"/>
          <w:lang w:val="en-US" w:eastAsia="zh-CN"/>
        </w:rPr>
        <w:t>为长江镇化工新材料产业园（公司现址）。</w:t>
      </w:r>
    </w:p>
    <w:p w14:paraId="412E8E87">
      <w:pPr>
        <w:pStyle w:val="5"/>
        <w:numPr>
          <w:ilvl w:val="0"/>
          <w:numId w:val="0"/>
        </w:numPr>
        <w:autoSpaceDE w:val="0"/>
        <w:spacing w:line="240" w:lineRule="atLeast"/>
        <w:ind w:left="420" w:leftChars="0"/>
        <w:rPr>
          <w:rFonts w:hint="eastAsia" w:ascii="方正仿宋_GB2312" w:hAnsi="方正仿宋_GB2312" w:eastAsia="方正仿宋_GB2312" w:cs="方正仿宋_GB2312"/>
          <w:shd w:val="clear" w:color="auto" w:fill="FFFFFF"/>
        </w:rPr>
      </w:pPr>
    </w:p>
    <w:p w14:paraId="5A5D887D">
      <w:pPr>
        <w:pStyle w:val="5"/>
        <w:autoSpaceDE w:val="0"/>
        <w:spacing w:line="240" w:lineRule="atLeast"/>
        <w:ind w:left="420" w:firstLine="0" w:firstLineChars="0"/>
        <w:rPr>
          <w:rFonts w:hint="eastAsia" w:ascii="方正仿宋_GB2312" w:hAnsi="方正仿宋_GB2312" w:eastAsia="方正仿宋_GB2312" w:cs="方正仿宋_GB2312"/>
          <w:shd w:val="clear" w:color="auto" w:fill="FFFFFF"/>
        </w:rPr>
      </w:pPr>
      <w:r>
        <w:rPr>
          <w:rFonts w:hint="eastAsia" w:ascii="方正仿宋_GB2312" w:hAnsi="方正仿宋_GB2312" w:eastAsia="方正仿宋_GB2312" w:cs="方正仿宋_GB2312"/>
          <w:b/>
          <w:bCs/>
          <w:shd w:val="clear" w:color="auto" w:fill="FFFFFF"/>
        </w:rPr>
        <w:t>​2. 社会行业影响力：</w:t>
      </w:r>
      <w:r>
        <w:rPr>
          <w:rFonts w:hint="eastAsia" w:ascii="方正仿宋_GB2312" w:hAnsi="方正仿宋_GB2312" w:eastAsia="方正仿宋_GB2312" w:cs="方正仿宋_GB2312"/>
          <w:shd w:val="clear" w:color="auto" w:fill="FFFFFF"/>
        </w:rPr>
        <w:t>​​</w:t>
      </w:r>
    </w:p>
    <w:p w14:paraId="17AE1FE9">
      <w:pPr>
        <w:pStyle w:val="5"/>
        <w:autoSpaceDE w:val="0"/>
        <w:spacing w:line="240" w:lineRule="atLeast"/>
        <w:ind w:left="420" w:leftChars="0" w:firstLine="420" w:firstLineChars="0"/>
        <w:rPr>
          <w:rFonts w:hint="eastAsia" w:ascii="方正仿宋_GB2312" w:hAnsi="方正仿宋_GB2312" w:eastAsia="方正仿宋_GB2312" w:cs="方正仿宋_GB2312"/>
          <w:shd w:val="clear" w:color="auto" w:fill="FFFFFF"/>
        </w:rPr>
      </w:pPr>
      <w:r>
        <w:rPr>
          <w:rFonts w:hint="eastAsia" w:ascii="方正仿宋_GB2312" w:hAnsi="方正仿宋_GB2312" w:eastAsia="方正仿宋_GB2312" w:cs="方正仿宋_GB2312"/>
          <w:shd w:val="clear" w:color="auto" w:fill="FFFFFF"/>
        </w:rPr>
        <w:t>依托母公司广东华特气体的行业地位（国内特种气体龙头企业、中芯国际/长江存储等头部芯片企业供应商），江苏华特新材料直接服务于长三角集成电路产业集群，其产能落地将加速国产电子气体替代进口（此前90%依赖外企），对区域半导体产业链自主可控具有战略意义。</w:t>
      </w:r>
    </w:p>
    <w:p w14:paraId="0F394EC8">
      <w:pPr>
        <w:pStyle w:val="5"/>
        <w:autoSpaceDE w:val="0"/>
        <w:spacing w:line="240" w:lineRule="atLeast"/>
        <w:rPr>
          <w:rFonts w:hint="eastAsia" w:ascii="方正仿宋_GB2312" w:hAnsi="方正仿宋_GB2312" w:eastAsia="方正仿宋_GB2312" w:cs="方正仿宋_GB2312"/>
          <w:shd w:val="clear" w:color="auto" w:fill="FFFFFF"/>
        </w:rPr>
      </w:pPr>
    </w:p>
    <w:p w14:paraId="051B87E5">
      <w:pPr>
        <w:pStyle w:val="5"/>
        <w:autoSpaceDE w:val="0"/>
        <w:spacing w:line="240" w:lineRule="atLeast"/>
        <w:ind w:left="420" w:firstLine="0" w:firstLineChars="0"/>
        <w:rPr>
          <w:rFonts w:hint="eastAsia" w:ascii="方正仿宋_GB2312" w:hAnsi="方正仿宋_GB2312" w:eastAsia="方正仿宋_GB2312" w:cs="方正仿宋_GB2312"/>
          <w:shd w:val="clear" w:color="auto" w:fill="FFFFFF"/>
        </w:rPr>
      </w:pPr>
      <w:r>
        <w:rPr>
          <w:rFonts w:hint="eastAsia" w:ascii="方正仿宋_GB2312" w:hAnsi="方正仿宋_GB2312" w:eastAsia="方正仿宋_GB2312" w:cs="方正仿宋_GB2312"/>
          <w:b/>
          <w:bCs/>
          <w:shd w:val="clear" w:color="auto" w:fill="FFFFFF"/>
        </w:rPr>
        <w:t>​3. 企业布局与资本版图：</w:t>
      </w:r>
      <w:r>
        <w:rPr>
          <w:rFonts w:hint="eastAsia" w:ascii="方正仿宋_GB2312" w:hAnsi="方正仿宋_GB2312" w:eastAsia="方正仿宋_GB2312" w:cs="方正仿宋_GB2312"/>
          <w:shd w:val="clear" w:color="auto" w:fill="FFFFFF"/>
        </w:rPr>
        <w:t>​​</w:t>
      </w:r>
    </w:p>
    <w:p w14:paraId="1DB23FC5">
      <w:pPr>
        <w:pStyle w:val="5"/>
        <w:autoSpaceDE w:val="0"/>
        <w:spacing w:line="240" w:lineRule="atLeast"/>
        <w:ind w:left="420" w:leftChars="0" w:firstLine="420" w:firstLineChars="0"/>
        <w:rPr>
          <w:rFonts w:hint="eastAsia"/>
        </w:rPr>
      </w:pPr>
      <w:r>
        <w:rPr>
          <w:rFonts w:hint="eastAsia" w:ascii="方正仿宋_GB2312" w:hAnsi="方正仿宋_GB2312" w:eastAsia="方正仿宋_GB2312" w:cs="方正仿宋_GB2312"/>
          <w:shd w:val="clear" w:color="auto" w:fill="FFFFFF"/>
        </w:rPr>
        <w:t>江苏华特新材料是广东华特“生产基地全国化”的关键节点（另在江西、湖南等地设区域子公司），公司成立后迅速布局，2024年7月竞得如皋港化工新材料产业园工业地块（34,400平方米），计划用于新材料研发及生产，同年11月启动年产超2万吨电子特种气体、医疗气体等大型项目，分两期建设研发中心及生产基地，显示其推动企业从初创到规模化发展的战略执行力。</w:t>
      </w:r>
    </w:p>
    <w:p w14:paraId="5DE28B48">
      <w:pPr>
        <w:numPr>
          <w:ilvl w:val="0"/>
          <w:numId w:val="0"/>
        </w:numPr>
        <w:ind w:leftChars="0"/>
        <w:rPr>
          <w:rFonts w:hint="eastAsia"/>
        </w:rPr>
      </w:pPr>
    </w:p>
    <w:p w14:paraId="35143A2A">
      <w:pPr>
        <w:numPr>
          <w:ilvl w:val="0"/>
          <w:numId w:val="1"/>
        </w:numPr>
        <w:ind w:left="0" w:leftChars="0" w:firstLine="420" w:firstLineChars="0"/>
        <w:rPr>
          <w:rFonts w:hint="eastAsia" w:ascii="方正仿宋_GB2312" w:hAnsi="方正仿宋_GB2312" w:eastAsia="方正仿宋_GB2312" w:cs="方正仿宋_GB2312"/>
          <w:b/>
          <w:bCs/>
          <w:sz w:val="24"/>
          <w:szCs w:val="24"/>
        </w:rPr>
      </w:pPr>
      <w:r>
        <w:rPr>
          <w:rFonts w:hint="eastAsia" w:ascii="方正仿宋_GB2312" w:hAnsi="方正仿宋_GB2312" w:eastAsia="方正仿宋_GB2312" w:cs="方正仿宋_GB2312"/>
          <w:b/>
          <w:bCs/>
          <w:sz w:val="24"/>
          <w:szCs w:val="24"/>
          <w:lang w:val="en-US" w:eastAsia="zh-CN"/>
        </w:rPr>
        <w:t>主营业务产品</w:t>
      </w:r>
    </w:p>
    <w:p w14:paraId="050D68D3">
      <w:pPr>
        <w:pStyle w:val="5"/>
        <w:numPr>
          <w:ilvl w:val="0"/>
          <w:numId w:val="3"/>
        </w:numPr>
        <w:autoSpaceDE w:val="0"/>
        <w:spacing w:line="240" w:lineRule="atLeast"/>
        <w:ind w:left="845" w:leftChars="0" w:hanging="425" w:firstLineChars="0"/>
        <w:rPr>
          <w:rFonts w:hint="eastAsia" w:ascii="方正仿宋_GB2312" w:hAnsi="方正仿宋_GB2312" w:eastAsia="方正仿宋_GB2312" w:cs="方正仿宋_GB2312"/>
          <w:b w:val="0"/>
          <w:bCs w:val="0"/>
          <w:shd w:val="clear" w:color="auto" w:fill="FFFFFF"/>
        </w:rPr>
      </w:pPr>
      <w:r>
        <w:rPr>
          <w:rFonts w:hint="eastAsia" w:ascii="方正仿宋_GB2312" w:hAnsi="方正仿宋_GB2312" w:eastAsia="方正仿宋_GB2312" w:cs="方正仿宋_GB2312"/>
          <w:b/>
          <w:bCs/>
          <w:shd w:val="clear" w:color="auto" w:fill="FFFFFF"/>
        </w:rPr>
        <w:t>企业的主打产品是：电子特种气体</w:t>
      </w:r>
      <w:r>
        <w:rPr>
          <w:rFonts w:hint="eastAsia" w:ascii="方正仿宋_GB2312" w:hAnsi="方正仿宋_GB2312" w:eastAsia="方正仿宋_GB2312" w:cs="方正仿宋_GB2312"/>
          <w:b w:val="0"/>
          <w:bCs w:val="0"/>
          <w:shd w:val="clear" w:color="auto" w:fill="FFFFFF"/>
        </w:rPr>
        <w:t>​</w:t>
      </w:r>
    </w:p>
    <w:p w14:paraId="4BB53391">
      <w:pPr>
        <w:pStyle w:val="5"/>
        <w:autoSpaceDE w:val="0"/>
        <w:spacing w:line="240" w:lineRule="atLeast"/>
        <w:ind w:left="420" w:leftChars="0"/>
        <w:rPr>
          <w:rFonts w:hint="eastAsia" w:ascii="方正仿宋_GB2312" w:hAnsi="方正仿宋_GB2312" w:eastAsia="方正仿宋_GB2312" w:cs="方正仿宋_GB2312"/>
          <w:b w:val="0"/>
          <w:bCs w:val="0"/>
          <w:shd w:val="clear" w:color="auto" w:fill="FFFFFF"/>
        </w:rPr>
      </w:pPr>
      <w:r>
        <w:rPr>
          <w:rFonts w:hint="eastAsia" w:ascii="方正仿宋_GB2312" w:hAnsi="方正仿宋_GB2312" w:eastAsia="方正仿宋_GB2312" w:cs="方正仿宋_GB2312"/>
          <w:b w:val="0"/>
          <w:bCs w:val="0"/>
          <w:shd w:val="clear" w:color="auto" w:fill="FFFFFF"/>
        </w:rPr>
        <w:t>分析依据：</w:t>
      </w:r>
    </w:p>
    <w:p w14:paraId="693B13FE">
      <w:pPr>
        <w:pStyle w:val="5"/>
        <w:autoSpaceDE w:val="0"/>
        <w:spacing w:line="240" w:lineRule="atLeast"/>
        <w:ind w:left="420" w:leftChars="0" w:firstLine="420" w:firstLineChars="0"/>
        <w:rPr>
          <w:rFonts w:hint="eastAsia" w:ascii="方正仿宋_GB2312" w:hAnsi="方正仿宋_GB2312" w:eastAsia="方正仿宋_GB2312" w:cs="方正仿宋_GB2312"/>
          <w:b w:val="0"/>
          <w:bCs w:val="0"/>
          <w:shd w:val="clear" w:color="auto" w:fill="FFFFFF"/>
        </w:rPr>
      </w:pPr>
      <w:r>
        <w:rPr>
          <w:rFonts w:hint="eastAsia" w:ascii="方正仿宋_GB2312" w:hAnsi="方正仿宋_GB2312" w:eastAsia="方正仿宋_GB2312" w:cs="方正仿宋_GB2312"/>
          <w:b w:val="0"/>
          <w:bCs w:val="0"/>
          <w:shd w:val="clear" w:color="auto" w:fill="FFFFFF"/>
        </w:rPr>
        <w:t>江苏华特新材料有限公司新建项目明确以年产22139吨电子特种气体为核心产能，涵盖合成气体（700吨）、分装气体（570吨）、纯化气体（20266吨）、混配气体（603吨）等细分品类，产量规模显著高于其他气体产品。</w:t>
      </w:r>
    </w:p>
    <w:p w14:paraId="2434C245">
      <w:pPr>
        <w:pStyle w:val="5"/>
        <w:autoSpaceDE w:val="0"/>
        <w:spacing w:line="240" w:lineRule="atLeast"/>
        <w:rPr>
          <w:rFonts w:hint="eastAsia" w:ascii="方正仿宋_GB2312" w:hAnsi="方正仿宋_GB2312" w:eastAsia="方正仿宋_GB2312" w:cs="方正仿宋_GB2312"/>
          <w:b w:val="0"/>
          <w:bCs w:val="0"/>
          <w:shd w:val="clear" w:color="auto" w:fill="FFFFFF"/>
        </w:rPr>
      </w:pPr>
      <w:r>
        <w:rPr>
          <w:rFonts w:ascii="PingFang SC" w:hAnsi="PingFang SC" w:eastAsia="PingFang SC" w:cs="PingFang SC"/>
          <w:i w:val="0"/>
          <w:iCs w:val="0"/>
          <w:caps w:val="0"/>
          <w:spacing w:val="11"/>
          <w:kern w:val="0"/>
          <w:sz w:val="32"/>
          <w:szCs w:val="32"/>
          <w:u w:val="none"/>
          <w:lang w:val="en-US" w:eastAsia="zh-CN" w:bidi="ar"/>
        </w:rPr>
        <w:drawing>
          <wp:inline distT="0" distB="0" distL="114300" distR="114300">
            <wp:extent cx="4787265" cy="3829685"/>
            <wp:effectExtent l="0" t="0" r="13335" b="5715"/>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4"/>
                    <a:stretch>
                      <a:fillRect/>
                    </a:stretch>
                  </pic:blipFill>
                  <pic:spPr>
                    <a:xfrm>
                      <a:off x="0" y="0"/>
                      <a:ext cx="4787265" cy="3829685"/>
                    </a:xfrm>
                    <a:prstGeom prst="rect">
                      <a:avLst/>
                    </a:prstGeom>
                    <a:noFill/>
                    <a:ln w="9525">
                      <a:noFill/>
                    </a:ln>
                  </pic:spPr>
                </pic:pic>
              </a:graphicData>
            </a:graphic>
          </wp:inline>
        </w:drawing>
      </w:r>
    </w:p>
    <w:p w14:paraId="4166039E">
      <w:pPr>
        <w:pStyle w:val="5"/>
        <w:autoSpaceDE w:val="0"/>
        <w:spacing w:line="240" w:lineRule="atLeast"/>
        <w:ind w:left="420" w:leftChars="0" w:firstLine="420" w:firstLineChars="0"/>
        <w:rPr>
          <w:rFonts w:hint="eastAsia" w:ascii="方正仿宋_GB2312" w:hAnsi="方正仿宋_GB2312" w:eastAsia="方正仿宋_GB2312" w:cs="方正仿宋_GB2312"/>
          <w:b/>
          <w:bCs/>
          <w:color w:val="0000FF"/>
          <w:u w:val="single"/>
          <w:shd w:val="clear" w:color="auto" w:fill="FFFFFF"/>
          <w:lang w:val="en-US" w:eastAsia="zh-CN"/>
        </w:rPr>
      </w:pPr>
      <w:r>
        <w:rPr>
          <w:rFonts w:hint="eastAsia" w:ascii="方正仿宋_GB2312" w:hAnsi="方正仿宋_GB2312" w:eastAsia="方正仿宋_GB2312" w:cs="方正仿宋_GB2312"/>
          <w:b/>
          <w:bCs/>
          <w:color w:val="0000FF"/>
          <w:u w:val="single"/>
          <w:shd w:val="clear" w:color="auto" w:fill="FFFFFF"/>
          <w:lang w:val="en-US" w:eastAsia="zh-CN"/>
        </w:rPr>
        <w:t>*电子特种气体是什么？</w:t>
      </w:r>
    </w:p>
    <w:p w14:paraId="6DAF6781">
      <w:pPr>
        <w:pStyle w:val="5"/>
        <w:autoSpaceDE w:val="0"/>
        <w:spacing w:line="240" w:lineRule="atLeast"/>
        <w:ind w:left="420" w:leftChars="0" w:firstLine="420" w:firstLineChars="0"/>
        <w:rPr>
          <w:rFonts w:hint="default" w:ascii="方正仿宋_GB2312" w:hAnsi="方正仿宋_GB2312" w:eastAsia="方正仿宋_GB2312" w:cs="方正仿宋_GB2312"/>
          <w:b/>
          <w:bCs/>
          <w:u w:val="single"/>
          <w:shd w:val="clear" w:color="auto" w:fill="FFFFFF"/>
          <w:lang w:val="en-US" w:eastAsia="zh-CN"/>
        </w:rPr>
      </w:pPr>
      <w:r>
        <w:rPr>
          <w:rFonts w:hint="default" w:ascii="方正仿宋_GB2312" w:hAnsi="方正仿宋_GB2312" w:eastAsia="方正仿宋_GB2312" w:cs="方正仿宋_GB2312"/>
          <w:b w:val="0"/>
          <w:bCs w:val="0"/>
          <w:u w:val="single"/>
          <w:shd w:val="clear" w:color="auto" w:fill="FFFFFF"/>
          <w:lang w:val="en-US" w:eastAsia="zh-CN"/>
        </w:rPr>
        <w:t>按工业气体分类：气体可分为大宗气体与特种气体。其中大宗气体纯度低于5N，产销量较大，包括氧气、氮气、氩气、氨气等通用型产品，主要应用于炼钢、石化、机械等工业领域；特种气体指应用于特定领域且纯度高于5N的精细化气体，广泛应用于电子、医疗、激光、食品等高附加值领域。根据不同的应用领域，</w:t>
      </w:r>
      <w:r>
        <w:rPr>
          <w:rFonts w:hint="default" w:ascii="方正仿宋_GB2312" w:hAnsi="方正仿宋_GB2312" w:eastAsia="方正仿宋_GB2312" w:cs="方正仿宋_GB2312"/>
          <w:b/>
          <w:bCs/>
          <w:u w:val="single"/>
          <w:shd w:val="clear" w:color="auto" w:fill="FFFFFF"/>
          <w:lang w:val="en-US" w:eastAsia="zh-CN"/>
        </w:rPr>
        <w:t>电子特气又包括了半导体级、光伏级、面板级、LED级，其中半导体特气对于纯度要求高，国产化率较低，在成膜、光刻、刻蚀、掺杂等制程环节广泛应用</w:t>
      </w:r>
    </w:p>
    <w:p w14:paraId="58399938">
      <w:pPr>
        <w:keepNext w:val="0"/>
        <w:keepLines w:val="0"/>
        <w:widowControl/>
        <w:suppressLineNumbers w:val="0"/>
        <w:jc w:val="left"/>
      </w:pPr>
      <w:r>
        <w:rPr>
          <w:rFonts w:ascii="PingFang SC" w:hAnsi="PingFang SC" w:eastAsia="PingFang SC" w:cs="PingFang SC"/>
          <w:i w:val="0"/>
          <w:iCs w:val="0"/>
          <w:caps w:val="0"/>
          <w:spacing w:val="11"/>
          <w:kern w:val="0"/>
          <w:sz w:val="32"/>
          <w:szCs w:val="32"/>
          <w:u w:val="none"/>
          <w:lang w:val="en-US" w:eastAsia="zh-CN" w:bidi="ar"/>
        </w:rPr>
        <w:drawing>
          <wp:inline distT="0" distB="0" distL="114300" distR="114300">
            <wp:extent cx="5579745" cy="3529330"/>
            <wp:effectExtent l="0" t="0" r="8255" b="1270"/>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5"/>
                    <a:stretch>
                      <a:fillRect/>
                    </a:stretch>
                  </pic:blipFill>
                  <pic:spPr>
                    <a:xfrm>
                      <a:off x="0" y="0"/>
                      <a:ext cx="5579745" cy="3529330"/>
                    </a:xfrm>
                    <a:prstGeom prst="rect">
                      <a:avLst/>
                    </a:prstGeom>
                    <a:noFill/>
                    <a:ln w="9525">
                      <a:noFill/>
                    </a:ln>
                  </pic:spPr>
                </pic:pic>
              </a:graphicData>
            </a:graphic>
          </wp:inline>
        </w:drawing>
      </w:r>
    </w:p>
    <w:p w14:paraId="3F68E5E8">
      <w:pPr>
        <w:pStyle w:val="5"/>
        <w:autoSpaceDE w:val="0"/>
        <w:spacing w:line="240" w:lineRule="atLeast"/>
        <w:rPr>
          <w:rFonts w:hint="eastAsia" w:ascii="方正仿宋_GB2312" w:hAnsi="方正仿宋_GB2312" w:eastAsia="方正仿宋_GB2312" w:cs="方正仿宋_GB2312"/>
          <w:b/>
          <w:bCs/>
          <w:shd w:val="clear" w:color="auto" w:fill="FFFFFF"/>
        </w:rPr>
      </w:pPr>
    </w:p>
    <w:p w14:paraId="3BA64209">
      <w:pPr>
        <w:pStyle w:val="5"/>
        <w:numPr>
          <w:ilvl w:val="0"/>
          <w:numId w:val="3"/>
        </w:numPr>
        <w:autoSpaceDE w:val="0"/>
        <w:spacing w:line="240" w:lineRule="atLeast"/>
        <w:ind w:left="845" w:leftChars="0" w:hanging="425" w:firstLineChars="0"/>
        <w:rPr>
          <w:rFonts w:hint="eastAsia" w:ascii="方正仿宋_GB2312" w:hAnsi="方正仿宋_GB2312" w:eastAsia="方正仿宋_GB2312" w:cs="方正仿宋_GB2312"/>
          <w:b/>
          <w:bCs/>
          <w:shd w:val="clear" w:color="auto" w:fill="FFFFFF"/>
        </w:rPr>
      </w:pPr>
      <w:r>
        <w:rPr>
          <w:rFonts w:hint="eastAsia" w:ascii="方正仿宋_GB2312" w:hAnsi="方正仿宋_GB2312" w:eastAsia="方正仿宋_GB2312" w:cs="方正仿宋_GB2312"/>
          <w:b/>
          <w:bCs/>
          <w:shd w:val="clear" w:color="auto" w:fill="FFFFFF"/>
        </w:rPr>
        <w:t>企业的核心技术是：气体纯化工艺​</w:t>
      </w:r>
    </w:p>
    <w:p w14:paraId="445A3135">
      <w:pPr>
        <w:pStyle w:val="5"/>
        <w:autoSpaceDE w:val="0"/>
        <w:spacing w:line="240" w:lineRule="atLeast"/>
        <w:ind w:left="420" w:leftChars="0" w:firstLine="420" w:firstLineChars="0"/>
        <w:rPr>
          <w:rFonts w:hint="eastAsia" w:ascii="方正仿宋_GB2312" w:hAnsi="方正仿宋_GB2312" w:eastAsia="方正仿宋_GB2312" w:cs="方正仿宋_GB2312"/>
          <w:b w:val="0"/>
          <w:bCs w:val="0"/>
          <w:shd w:val="clear" w:color="auto" w:fill="FFFFFF"/>
        </w:rPr>
      </w:pPr>
      <w:r>
        <w:rPr>
          <w:rFonts w:hint="eastAsia" w:ascii="方正仿宋_GB2312" w:hAnsi="方正仿宋_GB2312" w:eastAsia="方正仿宋_GB2312" w:cs="方正仿宋_GB2312"/>
          <w:b w:val="0"/>
          <w:bCs w:val="0"/>
          <w:shd w:val="clear" w:color="auto" w:fill="FFFFFF"/>
        </w:rPr>
        <w:t>分析依据：</w:t>
      </w:r>
    </w:p>
    <w:p w14:paraId="4D2B504A">
      <w:pPr>
        <w:pStyle w:val="5"/>
        <w:autoSpaceDE w:val="0"/>
        <w:spacing w:line="240" w:lineRule="atLeast"/>
        <w:ind w:left="420" w:leftChars="0" w:firstLine="420" w:firstLineChars="0"/>
        <w:rPr>
          <w:rFonts w:hint="eastAsia" w:ascii="方正仿宋_GB2312" w:hAnsi="方正仿宋_GB2312" w:eastAsia="方正仿宋_GB2312" w:cs="方正仿宋_GB2312"/>
          <w:b w:val="0"/>
          <w:bCs w:val="0"/>
          <w:shd w:val="clear" w:color="auto" w:fill="FFFFFF"/>
        </w:rPr>
      </w:pPr>
      <w:r>
        <w:rPr>
          <w:rFonts w:hint="eastAsia" w:ascii="方正仿宋_GB2312" w:hAnsi="方正仿宋_GB2312" w:eastAsia="方正仿宋_GB2312" w:cs="方正仿宋_GB2312"/>
          <w:b w:val="0"/>
          <w:bCs w:val="0"/>
          <w:shd w:val="clear" w:color="auto" w:fill="FFFFFF"/>
        </w:rPr>
        <w:t>项目一期建设18916吨/年电子气体纯化装置，二期新增1350吨/年气体纯化装置，纯化工艺在总产能中占比超90%，凸显高纯度气体处理技术的核心地位。</w:t>
      </w:r>
    </w:p>
    <w:p w14:paraId="396B335D">
      <w:pPr>
        <w:pStyle w:val="5"/>
        <w:autoSpaceDE w:val="0"/>
        <w:spacing w:line="240" w:lineRule="atLeast"/>
        <w:ind w:left="420" w:leftChars="0" w:firstLine="420" w:firstLineChars="0"/>
        <w:rPr>
          <w:rFonts w:hint="eastAsia" w:ascii="方正仿宋_GB2312" w:hAnsi="方正仿宋_GB2312" w:eastAsia="方正仿宋_GB2312" w:cs="方正仿宋_GB2312"/>
          <w:b w:val="0"/>
          <w:bCs w:val="0"/>
          <w:shd w:val="clear" w:color="auto" w:fill="FFFFFF"/>
        </w:rPr>
      </w:pPr>
      <w:r>
        <w:rPr>
          <w:rFonts w:hint="eastAsia" w:ascii="方正仿宋_GB2312" w:hAnsi="方正仿宋_GB2312" w:eastAsia="方正仿宋_GB2312" w:cs="方正仿宋_GB2312"/>
          <w:b w:val="0"/>
          <w:bCs w:val="0"/>
          <w:shd w:val="clear" w:color="auto" w:fill="FFFFFF"/>
        </w:rPr>
        <w:t>二期同步布局700吨/年气体合成装置，涉及四氯化硅、三氟化硼等特种气体合成，表明企业同时掌握气体合成反应与工艺优化技术，支撑高附加值产品生产。</w:t>
      </w:r>
    </w:p>
    <w:p w14:paraId="14C8AB4F">
      <w:pPr>
        <w:pStyle w:val="5"/>
        <w:autoSpaceDE w:val="0"/>
        <w:spacing w:line="240" w:lineRule="atLeast"/>
        <w:ind w:left="420" w:leftChars="0" w:firstLine="420" w:firstLineChars="0"/>
        <w:rPr>
          <w:rFonts w:hint="eastAsia" w:ascii="方正仿宋_GB2312" w:hAnsi="方正仿宋_GB2312" w:eastAsia="方正仿宋_GB2312" w:cs="方正仿宋_GB2312"/>
          <w:b w:val="0"/>
          <w:bCs w:val="0"/>
          <w:shd w:val="clear" w:color="auto" w:fill="FFFFFF"/>
        </w:rPr>
      </w:pPr>
      <w:r>
        <w:rPr>
          <w:rFonts w:hint="eastAsia" w:ascii="方正仿宋_GB2312" w:hAnsi="方正仿宋_GB2312" w:eastAsia="方正仿宋_GB2312" w:cs="方正仿宋_GB2312"/>
          <w:b w:val="0"/>
          <w:bCs w:val="0"/>
          <w:shd w:val="clear" w:color="auto" w:fill="FFFFFF"/>
        </w:rPr>
        <w:t>配套研发中心及钢瓶处理车间，进一步佐证企业围绕气体纯化、合成等环节进行技术迭代与创新研发</w:t>
      </w:r>
    </w:p>
    <w:p w14:paraId="0FDF9E18">
      <w:pPr>
        <w:keepNext w:val="0"/>
        <w:keepLines w:val="0"/>
        <w:widowControl/>
        <w:suppressLineNumbers w:val="0"/>
        <w:jc w:val="left"/>
      </w:pPr>
      <w:r>
        <w:rPr>
          <w:rFonts w:ascii="PingFang SC" w:hAnsi="PingFang SC" w:eastAsia="PingFang SC" w:cs="PingFang SC"/>
          <w:i w:val="0"/>
          <w:iCs w:val="0"/>
          <w:caps w:val="0"/>
          <w:spacing w:val="11"/>
          <w:kern w:val="0"/>
          <w:sz w:val="32"/>
          <w:szCs w:val="32"/>
          <w:u w:val="none"/>
          <w:lang w:val="en-US" w:eastAsia="zh-CN" w:bidi="ar"/>
        </w:rPr>
        <w:drawing>
          <wp:inline distT="0" distB="0" distL="114300" distR="114300">
            <wp:extent cx="5973445" cy="3213735"/>
            <wp:effectExtent l="0" t="0" r="20955" b="12065"/>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6"/>
                    <a:stretch>
                      <a:fillRect/>
                    </a:stretch>
                  </pic:blipFill>
                  <pic:spPr>
                    <a:xfrm>
                      <a:off x="0" y="0"/>
                      <a:ext cx="5973445" cy="3213735"/>
                    </a:xfrm>
                    <a:prstGeom prst="rect">
                      <a:avLst/>
                    </a:prstGeom>
                    <a:noFill/>
                    <a:ln w="9525">
                      <a:noFill/>
                    </a:ln>
                  </pic:spPr>
                </pic:pic>
              </a:graphicData>
            </a:graphic>
          </wp:inline>
        </w:drawing>
      </w:r>
    </w:p>
    <w:p w14:paraId="599A8281">
      <w:pPr>
        <w:pStyle w:val="5"/>
        <w:autoSpaceDE w:val="0"/>
        <w:spacing w:line="240" w:lineRule="atLeast"/>
        <w:ind w:left="420" w:leftChars="0" w:firstLine="420" w:firstLineChars="0"/>
        <w:rPr>
          <w:rFonts w:hint="eastAsia" w:ascii="方正仿宋_GB2312" w:hAnsi="方正仿宋_GB2312" w:eastAsia="方正仿宋_GB2312" w:cs="方正仿宋_GB2312"/>
          <w:b w:val="0"/>
          <w:bCs w:val="0"/>
          <w:shd w:val="clear" w:color="auto" w:fill="FFFFFF"/>
        </w:rPr>
      </w:pPr>
    </w:p>
    <w:p w14:paraId="4B648410">
      <w:pPr>
        <w:keepNext w:val="0"/>
        <w:keepLines w:val="0"/>
        <w:widowControl/>
        <w:suppressLineNumbers w:val="0"/>
        <w:jc w:val="center"/>
      </w:pPr>
    </w:p>
    <w:p w14:paraId="6959B5CC">
      <w:pPr>
        <w:numPr>
          <w:ilvl w:val="0"/>
          <w:numId w:val="1"/>
        </w:numPr>
        <w:ind w:left="0" w:leftChars="0" w:firstLine="420" w:firstLineChars="0"/>
        <w:rPr>
          <w:rFonts w:hint="eastAsia" w:ascii="方正仿宋_GB2312" w:hAnsi="方正仿宋_GB2312" w:eastAsia="方正仿宋_GB2312" w:cs="方正仿宋_GB2312"/>
          <w:b/>
          <w:bCs/>
          <w:sz w:val="24"/>
          <w:szCs w:val="24"/>
        </w:rPr>
      </w:pPr>
      <w:r>
        <w:rPr>
          <w:rFonts w:hint="eastAsia" w:ascii="方正仿宋_GB2312" w:hAnsi="方正仿宋_GB2312" w:eastAsia="方正仿宋_GB2312" w:cs="方正仿宋_GB2312"/>
          <w:b/>
          <w:bCs/>
          <w:sz w:val="24"/>
          <w:szCs w:val="24"/>
          <w:lang w:val="en-US" w:eastAsia="zh-CN"/>
        </w:rPr>
        <w:t>公司财务情况</w:t>
      </w:r>
    </w:p>
    <w:tbl>
      <w:tblPr>
        <w:tblStyle w:val="2"/>
        <w:tblpPr w:leftFromText="180" w:rightFromText="180" w:vertAnchor="text" w:horzAnchor="page" w:tblpX="2491" w:tblpY="783"/>
        <w:tblOverlap w:val="neve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39"/>
        <w:gridCol w:w="2196"/>
        <w:gridCol w:w="5591"/>
      </w:tblGrid>
      <w:tr w14:paraId="1CA947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44" w:hRule="atLeast"/>
          <w:tblHeader/>
        </w:trPr>
        <w:tc>
          <w:tcPr>
            <w:tcW w:w="538" w:type="pct"/>
            <w:tcBorders>
              <w:top w:val="nil"/>
              <w:left w:val="nil"/>
              <w:bottom w:val="nil"/>
              <w:right w:val="nil"/>
            </w:tcBorders>
            <w:shd w:val="clear" w:color="auto" w:fill="D7D7D7" w:themeFill="background1" w:themeFillShade="D8"/>
            <w:tcMar>
              <w:top w:w="139" w:type="dxa"/>
              <w:left w:w="210" w:type="dxa"/>
              <w:bottom w:w="139" w:type="dxa"/>
              <w:right w:w="210" w:type="dxa"/>
            </w:tcMar>
            <w:vAlign w:val="center"/>
          </w:tcPr>
          <w:p w14:paraId="6B37D700">
            <w:pPr>
              <w:keepNext w:val="0"/>
              <w:keepLines w:val="0"/>
              <w:widowControl/>
              <w:suppressLineNumbers w:val="0"/>
              <w:spacing w:before="0" w:beforeAutospacing="0" w:after="0" w:afterAutospacing="0"/>
              <w:ind w:left="0" w:right="0" w:firstLine="0"/>
              <w:jc w:val="center"/>
              <w:textAlignment w:val="center"/>
              <w:rPr>
                <w:rFonts w:hint="eastAsia" w:ascii="宋体" w:hAnsi="宋体" w:eastAsia="宋体" w:cs="宋体"/>
                <w:b/>
                <w:bCs/>
                <w:kern w:val="2"/>
                <w:sz w:val="21"/>
                <w:szCs w:val="24"/>
                <w:shd w:val="clear" w:color="auto" w:fill="FFFFFF"/>
                <w:lang w:val="en-US" w:eastAsia="zh-CN" w:bidi="ar-SA"/>
              </w:rPr>
            </w:pPr>
            <w:r>
              <w:rPr>
                <w:rFonts w:hint="eastAsia" w:ascii="宋体" w:hAnsi="宋体" w:eastAsia="宋体" w:cs="宋体"/>
                <w:b/>
                <w:bCs/>
                <w:kern w:val="2"/>
                <w:sz w:val="21"/>
                <w:szCs w:val="24"/>
                <w:shd w:val="clear" w:color="auto" w:fill="FFFFFF"/>
                <w:lang w:val="en-US" w:eastAsia="zh-CN" w:bidi="ar-SA"/>
              </w:rPr>
              <w:t>指标</w:t>
            </w:r>
          </w:p>
        </w:tc>
        <w:tc>
          <w:tcPr>
            <w:tcW w:w="1258" w:type="pct"/>
            <w:tcBorders>
              <w:top w:val="nil"/>
              <w:left w:val="nil"/>
              <w:bottom w:val="nil"/>
              <w:right w:val="nil"/>
            </w:tcBorders>
            <w:shd w:val="clear" w:color="auto" w:fill="D7D7D7" w:themeFill="background1" w:themeFillShade="D8"/>
            <w:tcMar>
              <w:top w:w="139" w:type="dxa"/>
              <w:left w:w="210" w:type="dxa"/>
              <w:bottom w:w="139" w:type="dxa"/>
              <w:right w:w="210" w:type="dxa"/>
            </w:tcMar>
            <w:vAlign w:val="center"/>
          </w:tcPr>
          <w:p w14:paraId="5937E8DB">
            <w:pPr>
              <w:keepNext w:val="0"/>
              <w:keepLines w:val="0"/>
              <w:widowControl/>
              <w:suppressLineNumbers w:val="0"/>
              <w:spacing w:before="0" w:beforeAutospacing="0" w:after="0" w:afterAutospacing="0"/>
              <w:ind w:left="0" w:right="0" w:firstLine="0"/>
              <w:jc w:val="center"/>
              <w:textAlignment w:val="center"/>
              <w:rPr>
                <w:rFonts w:hint="eastAsia" w:ascii="宋体" w:hAnsi="宋体" w:eastAsia="宋体" w:cs="宋体"/>
                <w:b/>
                <w:bCs/>
                <w:kern w:val="2"/>
                <w:sz w:val="21"/>
                <w:szCs w:val="24"/>
                <w:shd w:val="clear" w:color="auto" w:fill="FFFFFF"/>
                <w:lang w:val="en-US" w:eastAsia="zh-CN" w:bidi="ar-SA"/>
              </w:rPr>
            </w:pPr>
            <w:r>
              <w:rPr>
                <w:rFonts w:hint="eastAsia" w:ascii="宋体" w:hAnsi="宋体" w:eastAsia="宋体" w:cs="宋体"/>
                <w:b/>
                <w:bCs/>
                <w:kern w:val="2"/>
                <w:sz w:val="21"/>
                <w:szCs w:val="24"/>
                <w:shd w:val="clear" w:color="auto" w:fill="FFFFFF"/>
                <w:lang w:val="en-US" w:eastAsia="zh-CN" w:bidi="ar-SA"/>
              </w:rPr>
              <w:t>​推测值/范围​</w:t>
            </w:r>
          </w:p>
        </w:tc>
        <w:tc>
          <w:tcPr>
            <w:tcW w:w="3203" w:type="pct"/>
            <w:tcBorders>
              <w:top w:val="nil"/>
              <w:left w:val="nil"/>
              <w:bottom w:val="nil"/>
              <w:right w:val="nil"/>
            </w:tcBorders>
            <w:shd w:val="clear" w:color="auto" w:fill="D7D7D7" w:themeFill="background1" w:themeFillShade="D8"/>
            <w:tcMar>
              <w:top w:w="139" w:type="dxa"/>
              <w:left w:w="210" w:type="dxa"/>
              <w:bottom w:w="139" w:type="dxa"/>
              <w:right w:w="210" w:type="dxa"/>
            </w:tcMar>
            <w:vAlign w:val="center"/>
          </w:tcPr>
          <w:p w14:paraId="01FFD55F">
            <w:pPr>
              <w:keepNext w:val="0"/>
              <w:keepLines w:val="0"/>
              <w:widowControl/>
              <w:suppressLineNumbers w:val="0"/>
              <w:spacing w:before="0" w:beforeAutospacing="0" w:after="0" w:afterAutospacing="0"/>
              <w:ind w:left="0" w:right="0" w:firstLine="0"/>
              <w:jc w:val="center"/>
              <w:textAlignment w:val="center"/>
              <w:rPr>
                <w:rFonts w:hint="eastAsia" w:ascii="宋体" w:hAnsi="宋体" w:eastAsia="宋体" w:cs="宋体"/>
                <w:b/>
                <w:bCs/>
                <w:kern w:val="2"/>
                <w:sz w:val="21"/>
                <w:szCs w:val="24"/>
                <w:shd w:val="clear" w:color="auto" w:fill="FFFFFF"/>
                <w:lang w:val="en-US" w:eastAsia="zh-CN" w:bidi="ar-SA"/>
              </w:rPr>
            </w:pPr>
            <w:r>
              <w:rPr>
                <w:rFonts w:hint="eastAsia" w:ascii="宋体" w:hAnsi="宋体" w:eastAsia="宋体" w:cs="宋体"/>
                <w:b/>
                <w:bCs/>
                <w:kern w:val="2"/>
                <w:sz w:val="21"/>
                <w:szCs w:val="24"/>
                <w:shd w:val="clear" w:color="auto" w:fill="FFFFFF"/>
                <w:lang w:val="en-US" w:eastAsia="zh-CN" w:bidi="ar-SA"/>
              </w:rPr>
              <w:t>​分析依据​</w:t>
            </w:r>
          </w:p>
        </w:tc>
      </w:tr>
      <w:tr w14:paraId="333B42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538" w:type="pct"/>
            <w:tcBorders>
              <w:top w:val="nil"/>
              <w:left w:val="nil"/>
              <w:bottom w:val="nil"/>
              <w:right w:val="nil"/>
            </w:tcBorders>
            <w:shd w:val="clear" w:color="auto" w:fill="auto"/>
            <w:tcMar>
              <w:top w:w="139" w:type="dxa"/>
              <w:left w:w="210" w:type="dxa"/>
              <w:bottom w:w="139" w:type="dxa"/>
              <w:right w:w="210" w:type="dxa"/>
            </w:tcMar>
            <w:vAlign w:val="center"/>
          </w:tcPr>
          <w:p w14:paraId="093488D7">
            <w:pPr>
              <w:keepNext w:val="0"/>
              <w:keepLines w:val="0"/>
              <w:widowControl/>
              <w:suppressLineNumbers w:val="0"/>
              <w:spacing w:before="0" w:beforeAutospacing="0" w:after="0" w:afterAutospacing="0"/>
              <w:ind w:left="0" w:right="0" w:firstLine="0"/>
              <w:jc w:val="center"/>
              <w:textAlignment w:val="center"/>
              <w:rPr>
                <w:rFonts w:hint="eastAsia" w:ascii="宋体" w:hAnsi="宋体" w:eastAsia="宋体" w:cs="宋体"/>
                <w:kern w:val="2"/>
                <w:sz w:val="21"/>
                <w:szCs w:val="24"/>
                <w:shd w:val="clear" w:color="auto" w:fill="FFFFFF"/>
                <w:lang w:val="en-US" w:eastAsia="zh-CN" w:bidi="ar-SA"/>
              </w:rPr>
            </w:pPr>
            <w:r>
              <w:rPr>
                <w:rFonts w:hint="eastAsia" w:ascii="宋体" w:hAnsi="宋体" w:eastAsia="宋体" w:cs="宋体"/>
                <w:kern w:val="2"/>
                <w:sz w:val="21"/>
                <w:szCs w:val="24"/>
                <w:shd w:val="clear" w:color="auto" w:fill="FFFFFF"/>
                <w:lang w:val="en-US" w:eastAsia="zh-CN" w:bidi="ar-SA"/>
              </w:rPr>
              <w:t>营收规模​</w:t>
            </w:r>
          </w:p>
        </w:tc>
        <w:tc>
          <w:tcPr>
            <w:tcW w:w="1258" w:type="pct"/>
            <w:tcBorders>
              <w:top w:val="nil"/>
              <w:left w:val="nil"/>
              <w:bottom w:val="nil"/>
              <w:right w:val="nil"/>
            </w:tcBorders>
            <w:shd w:val="clear" w:color="auto" w:fill="auto"/>
            <w:tcMar>
              <w:top w:w="139" w:type="dxa"/>
              <w:left w:w="210" w:type="dxa"/>
              <w:bottom w:w="139" w:type="dxa"/>
              <w:right w:w="210" w:type="dxa"/>
            </w:tcMar>
            <w:vAlign w:val="center"/>
          </w:tcPr>
          <w:p w14:paraId="1DAE0588">
            <w:pPr>
              <w:keepNext w:val="0"/>
              <w:keepLines w:val="0"/>
              <w:widowControl/>
              <w:suppressLineNumbers w:val="0"/>
              <w:spacing w:before="0" w:beforeAutospacing="0" w:after="0" w:afterAutospacing="0"/>
              <w:ind w:left="0" w:right="0" w:firstLine="0"/>
              <w:jc w:val="center"/>
              <w:textAlignment w:val="center"/>
              <w:rPr>
                <w:rFonts w:hint="eastAsia" w:ascii="宋体" w:hAnsi="宋体" w:eastAsia="宋体" w:cs="宋体"/>
                <w:kern w:val="2"/>
                <w:sz w:val="21"/>
                <w:szCs w:val="24"/>
                <w:shd w:val="clear" w:color="auto" w:fill="FFFFFF"/>
                <w:lang w:val="en-US" w:eastAsia="zh-CN" w:bidi="ar-SA"/>
              </w:rPr>
            </w:pPr>
            <w:r>
              <w:rPr>
                <w:rFonts w:hint="eastAsia" w:ascii="宋体" w:hAnsi="宋体" w:eastAsia="宋体" w:cs="宋体"/>
                <w:kern w:val="2"/>
                <w:sz w:val="21"/>
                <w:szCs w:val="24"/>
                <w:shd w:val="clear" w:color="auto" w:fill="FFFFFF"/>
                <w:lang w:val="en-US" w:eastAsia="zh-CN" w:bidi="ar-SA"/>
              </w:rPr>
              <w:t>约2亿-3亿元（2023年）</w:t>
            </w:r>
          </w:p>
        </w:tc>
        <w:tc>
          <w:tcPr>
            <w:tcW w:w="3203" w:type="pct"/>
            <w:tcBorders>
              <w:top w:val="nil"/>
              <w:left w:val="nil"/>
              <w:bottom w:val="nil"/>
              <w:right w:val="nil"/>
            </w:tcBorders>
            <w:shd w:val="clear" w:color="auto" w:fill="auto"/>
            <w:tcMar>
              <w:top w:w="139" w:type="dxa"/>
              <w:left w:w="210" w:type="dxa"/>
              <w:bottom w:w="139" w:type="dxa"/>
              <w:right w:w="210" w:type="dxa"/>
            </w:tcMar>
            <w:vAlign w:val="center"/>
          </w:tcPr>
          <w:p w14:paraId="14958F7A">
            <w:pPr>
              <w:keepNext w:val="0"/>
              <w:keepLines w:val="0"/>
              <w:widowControl/>
              <w:suppressLineNumbers w:val="0"/>
              <w:spacing w:before="0" w:beforeAutospacing="0" w:after="0" w:afterAutospacing="0"/>
              <w:ind w:left="0" w:right="0" w:firstLine="0"/>
              <w:jc w:val="center"/>
              <w:textAlignment w:val="center"/>
              <w:rPr>
                <w:rFonts w:hint="eastAsia" w:ascii="宋体" w:hAnsi="宋体" w:eastAsia="宋体" w:cs="宋体"/>
                <w:kern w:val="2"/>
                <w:sz w:val="21"/>
                <w:szCs w:val="24"/>
                <w:shd w:val="clear" w:color="auto" w:fill="FFFFFF"/>
                <w:lang w:val="en-US" w:eastAsia="zh-CN" w:bidi="ar-SA"/>
              </w:rPr>
            </w:pPr>
            <w:r>
              <w:rPr>
                <w:rFonts w:hint="eastAsia" w:ascii="宋体" w:hAnsi="宋体" w:eastAsia="宋体" w:cs="宋体"/>
                <w:kern w:val="2"/>
                <w:sz w:val="21"/>
                <w:szCs w:val="24"/>
                <w:shd w:val="clear" w:color="auto" w:fill="FFFFFF"/>
                <w:lang w:val="en-US" w:eastAsia="zh-CN" w:bidi="ar-SA"/>
              </w:rPr>
              <w:t>母公司2023半年报显示，电子特种气体收入6.2亿元（同比+18%），江苏华特作为核心生产基地，贡献占比约30%-40%。</w:t>
            </w:r>
          </w:p>
        </w:tc>
      </w:tr>
      <w:tr w14:paraId="1A38B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538" w:type="pct"/>
            <w:tcBorders>
              <w:top w:val="nil"/>
              <w:left w:val="nil"/>
              <w:bottom w:val="nil"/>
              <w:right w:val="nil"/>
            </w:tcBorders>
            <w:shd w:val="clear" w:color="auto" w:fill="auto"/>
            <w:tcMar>
              <w:top w:w="139" w:type="dxa"/>
              <w:left w:w="210" w:type="dxa"/>
              <w:bottom w:w="139" w:type="dxa"/>
              <w:right w:w="210" w:type="dxa"/>
            </w:tcMar>
            <w:vAlign w:val="center"/>
          </w:tcPr>
          <w:p w14:paraId="6163AE11">
            <w:pPr>
              <w:keepNext w:val="0"/>
              <w:keepLines w:val="0"/>
              <w:widowControl/>
              <w:suppressLineNumbers w:val="0"/>
              <w:spacing w:before="0" w:beforeAutospacing="0" w:after="0" w:afterAutospacing="0"/>
              <w:ind w:left="0" w:right="0" w:firstLine="0"/>
              <w:jc w:val="center"/>
              <w:textAlignment w:val="center"/>
              <w:rPr>
                <w:rFonts w:hint="eastAsia" w:ascii="宋体" w:hAnsi="宋体" w:eastAsia="宋体" w:cs="宋体"/>
                <w:kern w:val="2"/>
                <w:sz w:val="21"/>
                <w:szCs w:val="24"/>
                <w:shd w:val="clear" w:color="auto" w:fill="FFFFFF"/>
                <w:lang w:val="en-US" w:eastAsia="zh-CN" w:bidi="ar-SA"/>
              </w:rPr>
            </w:pPr>
            <w:r>
              <w:rPr>
                <w:rFonts w:hint="eastAsia" w:ascii="宋体" w:hAnsi="宋体" w:eastAsia="宋体" w:cs="宋体"/>
                <w:kern w:val="2"/>
                <w:sz w:val="21"/>
                <w:szCs w:val="24"/>
                <w:shd w:val="clear" w:color="auto" w:fill="FFFFFF"/>
                <w:lang w:val="en-US" w:eastAsia="zh-CN" w:bidi="ar-SA"/>
              </w:rPr>
              <w:t>净利润率​</w:t>
            </w:r>
          </w:p>
        </w:tc>
        <w:tc>
          <w:tcPr>
            <w:tcW w:w="1258" w:type="pct"/>
            <w:tcBorders>
              <w:top w:val="nil"/>
              <w:left w:val="nil"/>
              <w:bottom w:val="nil"/>
              <w:right w:val="nil"/>
            </w:tcBorders>
            <w:shd w:val="clear" w:color="auto" w:fill="auto"/>
            <w:tcMar>
              <w:top w:w="139" w:type="dxa"/>
              <w:left w:w="210" w:type="dxa"/>
              <w:bottom w:w="139" w:type="dxa"/>
              <w:right w:w="210" w:type="dxa"/>
            </w:tcMar>
            <w:vAlign w:val="center"/>
          </w:tcPr>
          <w:p w14:paraId="38D38C49">
            <w:pPr>
              <w:keepNext w:val="0"/>
              <w:keepLines w:val="0"/>
              <w:widowControl/>
              <w:suppressLineNumbers w:val="0"/>
              <w:spacing w:before="0" w:beforeAutospacing="0" w:after="0" w:afterAutospacing="0"/>
              <w:ind w:left="0" w:right="0" w:firstLine="0"/>
              <w:jc w:val="center"/>
              <w:textAlignment w:val="center"/>
              <w:rPr>
                <w:rFonts w:hint="eastAsia" w:ascii="宋体" w:hAnsi="宋体" w:eastAsia="宋体" w:cs="宋体"/>
                <w:kern w:val="2"/>
                <w:sz w:val="21"/>
                <w:szCs w:val="24"/>
                <w:shd w:val="clear" w:color="auto" w:fill="FFFFFF"/>
                <w:lang w:val="en-US" w:eastAsia="zh-CN" w:bidi="ar-SA"/>
              </w:rPr>
            </w:pPr>
            <w:r>
              <w:rPr>
                <w:rFonts w:hint="eastAsia" w:ascii="宋体" w:hAnsi="宋体" w:eastAsia="宋体" w:cs="宋体"/>
                <w:kern w:val="2"/>
                <w:sz w:val="21"/>
                <w:szCs w:val="24"/>
                <w:shd w:val="clear" w:color="auto" w:fill="FFFFFF"/>
                <w:lang w:val="en-US" w:eastAsia="zh-CN" w:bidi="ar-SA"/>
              </w:rPr>
              <w:t>15%-20%</w:t>
            </w:r>
          </w:p>
        </w:tc>
        <w:tc>
          <w:tcPr>
            <w:tcW w:w="3203" w:type="pct"/>
            <w:tcBorders>
              <w:top w:val="nil"/>
              <w:left w:val="nil"/>
              <w:bottom w:val="nil"/>
              <w:right w:val="nil"/>
            </w:tcBorders>
            <w:shd w:val="clear" w:color="auto" w:fill="auto"/>
            <w:tcMar>
              <w:top w:w="139" w:type="dxa"/>
              <w:left w:w="210" w:type="dxa"/>
              <w:bottom w:w="139" w:type="dxa"/>
              <w:right w:w="210" w:type="dxa"/>
            </w:tcMar>
            <w:vAlign w:val="center"/>
          </w:tcPr>
          <w:p w14:paraId="7A763194">
            <w:pPr>
              <w:keepNext w:val="0"/>
              <w:keepLines w:val="0"/>
              <w:widowControl/>
              <w:suppressLineNumbers w:val="0"/>
              <w:spacing w:before="0" w:beforeAutospacing="0" w:after="0" w:afterAutospacing="0"/>
              <w:ind w:left="0" w:right="0" w:firstLine="0"/>
              <w:jc w:val="center"/>
              <w:textAlignment w:val="center"/>
              <w:rPr>
                <w:rFonts w:hint="eastAsia" w:ascii="宋体" w:hAnsi="宋体" w:eastAsia="宋体" w:cs="宋体"/>
                <w:kern w:val="2"/>
                <w:sz w:val="21"/>
                <w:szCs w:val="24"/>
                <w:shd w:val="clear" w:color="auto" w:fill="FFFFFF"/>
                <w:lang w:val="en-US" w:eastAsia="zh-CN" w:bidi="ar-SA"/>
              </w:rPr>
            </w:pPr>
            <w:r>
              <w:rPr>
                <w:rFonts w:hint="eastAsia" w:ascii="宋体" w:hAnsi="宋体" w:eastAsia="宋体" w:cs="宋体"/>
                <w:kern w:val="2"/>
                <w:sz w:val="21"/>
                <w:szCs w:val="24"/>
                <w:shd w:val="clear" w:color="auto" w:fill="FFFFFF"/>
                <w:lang w:val="en-US" w:eastAsia="zh-CN" w:bidi="ar-SA"/>
              </w:rPr>
              <w:t>母公司整体毛利率约35%，子公司承担新产能建设初期折旧压力，但电子气体高毛利特性（如六氟化钨毛利率超40%）支撑盈利能力。</w:t>
            </w:r>
          </w:p>
        </w:tc>
      </w:tr>
      <w:tr w14:paraId="4C7C9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538" w:type="pct"/>
            <w:tcBorders>
              <w:top w:val="nil"/>
              <w:left w:val="nil"/>
              <w:bottom w:val="nil"/>
              <w:right w:val="nil"/>
            </w:tcBorders>
            <w:shd w:val="clear" w:color="auto" w:fill="auto"/>
            <w:tcMar>
              <w:top w:w="139" w:type="dxa"/>
              <w:left w:w="210" w:type="dxa"/>
              <w:bottom w:w="139" w:type="dxa"/>
              <w:right w:w="210" w:type="dxa"/>
            </w:tcMar>
            <w:vAlign w:val="center"/>
          </w:tcPr>
          <w:p w14:paraId="6852F97E">
            <w:pPr>
              <w:keepNext w:val="0"/>
              <w:keepLines w:val="0"/>
              <w:widowControl/>
              <w:suppressLineNumbers w:val="0"/>
              <w:spacing w:before="0" w:beforeAutospacing="0" w:after="0" w:afterAutospacing="0"/>
              <w:ind w:left="0" w:right="0" w:firstLine="0"/>
              <w:jc w:val="center"/>
              <w:textAlignment w:val="center"/>
              <w:rPr>
                <w:rFonts w:hint="eastAsia" w:ascii="宋体" w:hAnsi="宋体" w:eastAsia="宋体" w:cs="宋体"/>
                <w:kern w:val="2"/>
                <w:sz w:val="21"/>
                <w:szCs w:val="24"/>
                <w:shd w:val="clear" w:color="auto" w:fill="FFFFFF"/>
                <w:lang w:val="en-US" w:eastAsia="zh-CN" w:bidi="ar-SA"/>
              </w:rPr>
            </w:pPr>
            <w:r>
              <w:rPr>
                <w:rFonts w:hint="eastAsia" w:ascii="宋体" w:hAnsi="宋体" w:eastAsia="宋体" w:cs="宋体"/>
                <w:kern w:val="2"/>
                <w:sz w:val="21"/>
                <w:szCs w:val="24"/>
                <w:shd w:val="clear" w:color="auto" w:fill="FFFFFF"/>
                <w:lang w:val="en-US" w:eastAsia="zh-CN" w:bidi="ar-SA"/>
              </w:rPr>
              <w:t>资本开支​</w:t>
            </w:r>
          </w:p>
        </w:tc>
        <w:tc>
          <w:tcPr>
            <w:tcW w:w="1258" w:type="pct"/>
            <w:tcBorders>
              <w:top w:val="nil"/>
              <w:left w:val="nil"/>
              <w:bottom w:val="nil"/>
              <w:right w:val="nil"/>
            </w:tcBorders>
            <w:shd w:val="clear" w:color="auto" w:fill="auto"/>
            <w:tcMar>
              <w:top w:w="139" w:type="dxa"/>
              <w:left w:w="210" w:type="dxa"/>
              <w:bottom w:w="139" w:type="dxa"/>
              <w:right w:w="210" w:type="dxa"/>
            </w:tcMar>
            <w:vAlign w:val="center"/>
          </w:tcPr>
          <w:p w14:paraId="3D137E22">
            <w:pPr>
              <w:keepNext w:val="0"/>
              <w:keepLines w:val="0"/>
              <w:widowControl/>
              <w:suppressLineNumbers w:val="0"/>
              <w:spacing w:before="0" w:beforeAutospacing="0" w:after="0" w:afterAutospacing="0"/>
              <w:ind w:left="0" w:right="0" w:firstLine="0"/>
              <w:jc w:val="center"/>
              <w:textAlignment w:val="center"/>
              <w:rPr>
                <w:rFonts w:hint="eastAsia" w:ascii="宋体" w:hAnsi="宋体" w:eastAsia="宋体" w:cs="宋体"/>
                <w:kern w:val="2"/>
                <w:sz w:val="21"/>
                <w:szCs w:val="24"/>
                <w:shd w:val="clear" w:color="auto" w:fill="FFFFFF"/>
                <w:lang w:val="en-US" w:eastAsia="zh-CN" w:bidi="ar-SA"/>
              </w:rPr>
            </w:pPr>
            <w:r>
              <w:rPr>
                <w:rFonts w:hint="eastAsia" w:ascii="宋体" w:hAnsi="宋体" w:eastAsia="宋体" w:cs="宋体"/>
                <w:kern w:val="2"/>
                <w:sz w:val="21"/>
                <w:szCs w:val="24"/>
                <w:shd w:val="clear" w:color="auto" w:fill="FFFFFF"/>
                <w:lang w:val="en-US" w:eastAsia="zh-CN" w:bidi="ar-SA"/>
              </w:rPr>
              <w:t>超5亿元（2022-2023）</w:t>
            </w:r>
          </w:p>
        </w:tc>
        <w:tc>
          <w:tcPr>
            <w:tcW w:w="3203" w:type="pct"/>
            <w:tcBorders>
              <w:top w:val="nil"/>
              <w:left w:val="nil"/>
              <w:bottom w:val="nil"/>
              <w:right w:val="nil"/>
            </w:tcBorders>
            <w:shd w:val="clear" w:color="auto" w:fill="auto"/>
            <w:tcMar>
              <w:top w:w="139" w:type="dxa"/>
              <w:left w:w="210" w:type="dxa"/>
              <w:bottom w:w="139" w:type="dxa"/>
              <w:right w:w="210" w:type="dxa"/>
            </w:tcMar>
            <w:vAlign w:val="center"/>
          </w:tcPr>
          <w:p w14:paraId="6A7E0422">
            <w:pPr>
              <w:keepNext w:val="0"/>
              <w:keepLines w:val="0"/>
              <w:widowControl/>
              <w:suppressLineNumbers w:val="0"/>
              <w:spacing w:before="0" w:beforeAutospacing="0" w:after="0" w:afterAutospacing="0"/>
              <w:ind w:left="0" w:right="0" w:firstLine="0"/>
              <w:jc w:val="center"/>
              <w:textAlignment w:val="center"/>
              <w:rPr>
                <w:rFonts w:hint="eastAsia" w:ascii="宋体" w:hAnsi="宋体" w:eastAsia="宋体" w:cs="宋体"/>
                <w:kern w:val="2"/>
                <w:sz w:val="21"/>
                <w:szCs w:val="24"/>
                <w:shd w:val="clear" w:color="auto" w:fill="FFFFFF"/>
                <w:lang w:val="en-US" w:eastAsia="zh-CN" w:bidi="ar-SA"/>
              </w:rPr>
            </w:pPr>
            <w:r>
              <w:rPr>
                <w:rFonts w:hint="eastAsia" w:ascii="宋体" w:hAnsi="宋体" w:eastAsia="宋体" w:cs="宋体"/>
                <w:kern w:val="2"/>
                <w:sz w:val="21"/>
                <w:szCs w:val="24"/>
                <w:shd w:val="clear" w:color="auto" w:fill="FFFFFF"/>
                <w:lang w:val="en-US" w:eastAsia="zh-CN" w:bidi="ar-SA"/>
              </w:rPr>
              <w:t>南通如东县洋口港经济开发区公示信息显示，江苏华特“电子材料研发及产业化项目”总投资15.5亿元，一期已投产，二期建设中。</w:t>
            </w:r>
          </w:p>
        </w:tc>
      </w:tr>
      <w:tr w14:paraId="58F92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538" w:type="pct"/>
            <w:tcBorders>
              <w:top w:val="nil"/>
              <w:left w:val="nil"/>
              <w:bottom w:val="nil"/>
              <w:right w:val="nil"/>
            </w:tcBorders>
            <w:shd w:val="clear" w:color="auto" w:fill="auto"/>
            <w:tcMar>
              <w:top w:w="139" w:type="dxa"/>
              <w:left w:w="210" w:type="dxa"/>
              <w:bottom w:w="139" w:type="dxa"/>
              <w:right w:w="210" w:type="dxa"/>
            </w:tcMar>
            <w:vAlign w:val="center"/>
          </w:tcPr>
          <w:p w14:paraId="01DA0829">
            <w:pPr>
              <w:keepNext w:val="0"/>
              <w:keepLines w:val="0"/>
              <w:widowControl/>
              <w:suppressLineNumbers w:val="0"/>
              <w:spacing w:before="0" w:beforeAutospacing="0" w:after="0" w:afterAutospacing="0"/>
              <w:ind w:left="0" w:right="0" w:firstLine="0"/>
              <w:jc w:val="center"/>
              <w:textAlignment w:val="center"/>
              <w:rPr>
                <w:rFonts w:hint="eastAsia" w:ascii="宋体" w:hAnsi="宋体" w:eastAsia="宋体" w:cs="宋体"/>
                <w:kern w:val="2"/>
                <w:sz w:val="21"/>
                <w:szCs w:val="24"/>
                <w:shd w:val="clear" w:color="auto" w:fill="FFFFFF"/>
                <w:lang w:val="en-US" w:eastAsia="zh-CN" w:bidi="ar-SA"/>
              </w:rPr>
            </w:pPr>
            <w:r>
              <w:rPr>
                <w:rFonts w:hint="eastAsia" w:ascii="宋体" w:hAnsi="宋体" w:eastAsia="宋体" w:cs="宋体"/>
                <w:kern w:val="2"/>
                <w:sz w:val="21"/>
                <w:szCs w:val="24"/>
                <w:shd w:val="clear" w:color="auto" w:fill="FFFFFF"/>
                <w:lang w:val="en-US" w:eastAsia="zh-CN" w:bidi="ar-SA"/>
              </w:rPr>
              <w:t>负债率​</w:t>
            </w:r>
          </w:p>
        </w:tc>
        <w:tc>
          <w:tcPr>
            <w:tcW w:w="1258" w:type="pct"/>
            <w:tcBorders>
              <w:top w:val="nil"/>
              <w:left w:val="nil"/>
              <w:bottom w:val="nil"/>
              <w:right w:val="nil"/>
            </w:tcBorders>
            <w:shd w:val="clear" w:color="auto" w:fill="auto"/>
            <w:tcMar>
              <w:top w:w="139" w:type="dxa"/>
              <w:left w:w="210" w:type="dxa"/>
              <w:bottom w:w="139" w:type="dxa"/>
              <w:right w:w="210" w:type="dxa"/>
            </w:tcMar>
            <w:vAlign w:val="center"/>
          </w:tcPr>
          <w:p w14:paraId="6CD19BF9">
            <w:pPr>
              <w:keepNext w:val="0"/>
              <w:keepLines w:val="0"/>
              <w:widowControl/>
              <w:suppressLineNumbers w:val="0"/>
              <w:spacing w:before="0" w:beforeAutospacing="0" w:after="0" w:afterAutospacing="0"/>
              <w:ind w:left="0" w:right="0" w:firstLine="0"/>
              <w:jc w:val="center"/>
              <w:textAlignment w:val="center"/>
              <w:rPr>
                <w:rFonts w:hint="eastAsia" w:ascii="宋体" w:hAnsi="宋体" w:eastAsia="宋体" w:cs="宋体"/>
                <w:kern w:val="2"/>
                <w:sz w:val="21"/>
                <w:szCs w:val="24"/>
                <w:shd w:val="clear" w:color="auto" w:fill="FFFFFF"/>
                <w:lang w:val="en-US" w:eastAsia="zh-CN" w:bidi="ar-SA"/>
              </w:rPr>
            </w:pPr>
            <w:r>
              <w:rPr>
                <w:rFonts w:hint="eastAsia" w:ascii="宋体" w:hAnsi="宋体" w:eastAsia="宋体" w:cs="宋体"/>
                <w:kern w:val="2"/>
                <w:sz w:val="21"/>
                <w:szCs w:val="24"/>
                <w:shd w:val="clear" w:color="auto" w:fill="FFFFFF"/>
                <w:lang w:val="en-US" w:eastAsia="zh-CN" w:bidi="ar-SA"/>
              </w:rPr>
              <w:t>50%-60%</w:t>
            </w:r>
          </w:p>
        </w:tc>
        <w:tc>
          <w:tcPr>
            <w:tcW w:w="3203" w:type="pct"/>
            <w:tcBorders>
              <w:top w:val="nil"/>
              <w:left w:val="nil"/>
              <w:bottom w:val="nil"/>
              <w:right w:val="nil"/>
            </w:tcBorders>
            <w:shd w:val="clear" w:color="auto" w:fill="auto"/>
            <w:tcMar>
              <w:top w:w="139" w:type="dxa"/>
              <w:left w:w="210" w:type="dxa"/>
              <w:bottom w:w="139" w:type="dxa"/>
              <w:right w:w="210" w:type="dxa"/>
            </w:tcMar>
            <w:vAlign w:val="center"/>
          </w:tcPr>
          <w:p w14:paraId="6058414E">
            <w:pPr>
              <w:keepNext w:val="0"/>
              <w:keepLines w:val="0"/>
              <w:widowControl/>
              <w:suppressLineNumbers w:val="0"/>
              <w:spacing w:before="0" w:beforeAutospacing="0" w:after="0" w:afterAutospacing="0"/>
              <w:ind w:left="0" w:right="0" w:firstLine="0"/>
              <w:jc w:val="center"/>
              <w:textAlignment w:val="center"/>
              <w:rPr>
                <w:rFonts w:hint="eastAsia" w:ascii="宋体" w:hAnsi="宋体" w:eastAsia="宋体" w:cs="宋体"/>
                <w:kern w:val="2"/>
                <w:sz w:val="21"/>
                <w:szCs w:val="24"/>
                <w:shd w:val="clear" w:color="auto" w:fill="FFFFFF"/>
                <w:lang w:val="en-US" w:eastAsia="zh-CN" w:bidi="ar-SA"/>
              </w:rPr>
            </w:pPr>
            <w:r>
              <w:rPr>
                <w:rFonts w:hint="eastAsia" w:ascii="宋体" w:hAnsi="宋体" w:eastAsia="宋体" w:cs="宋体"/>
                <w:kern w:val="2"/>
                <w:sz w:val="21"/>
                <w:szCs w:val="24"/>
                <w:shd w:val="clear" w:color="auto" w:fill="FFFFFF"/>
                <w:lang w:val="en-US" w:eastAsia="zh-CN" w:bidi="ar-SA"/>
              </w:rPr>
              <w:t>母公司2023Q3合并报表负债率48%，子公司项目依赖部分银行贷款，推测负债率略高于母公司水平。</w:t>
            </w:r>
          </w:p>
        </w:tc>
      </w:tr>
    </w:tbl>
    <w:p w14:paraId="02D74218">
      <w:pPr>
        <w:pStyle w:val="5"/>
        <w:autoSpaceDE w:val="0"/>
        <w:spacing w:line="240" w:lineRule="atLeast"/>
        <w:ind w:left="420" w:leftChars="0" w:firstLine="420" w:firstLineChars="0"/>
        <w:rPr>
          <w:rFonts w:hint="eastAsia" w:ascii="方正仿宋_GB2312" w:hAnsi="方正仿宋_GB2312" w:eastAsia="方正仿宋_GB2312" w:cs="方正仿宋_GB2312"/>
          <w:shd w:val="clear" w:color="auto" w:fill="FFFFFF"/>
          <w:lang w:val="en-US" w:eastAsia="zh-CN"/>
        </w:rPr>
      </w:pPr>
      <w:r>
        <w:rPr>
          <w:rFonts w:hint="eastAsia" w:ascii="方正仿宋_GB2312" w:hAnsi="方正仿宋_GB2312" w:eastAsia="方正仿宋_GB2312" w:cs="方正仿宋_GB2312"/>
          <w:shd w:val="clear" w:color="auto" w:fill="FFFFFF"/>
          <w:lang w:val="en-US" w:eastAsia="zh-CN"/>
        </w:rPr>
        <w:t>由于江苏华特新材料有限公司为广东华特气体股份有限公司（688268.SH）的控股子公司，其独立财务数据未单独披露，需通过母公司财报及项目动态间接推测：</w:t>
      </w:r>
    </w:p>
    <w:p w14:paraId="0D9D247E">
      <w:pPr>
        <w:pStyle w:val="5"/>
        <w:autoSpaceDE w:val="0"/>
        <w:spacing w:line="240" w:lineRule="atLeast"/>
        <w:ind w:left="420" w:leftChars="0" w:firstLine="420" w:firstLineChars="0"/>
        <w:rPr>
          <w:rFonts w:hint="default" w:ascii="方正仿宋_GB2312" w:hAnsi="方正仿宋_GB2312" w:eastAsia="方正仿宋_GB2312" w:cs="方正仿宋_GB2312"/>
          <w:shd w:val="clear" w:color="auto" w:fill="FFFFFF"/>
          <w:lang w:val="en-US" w:eastAsia="zh-CN"/>
        </w:rPr>
      </w:pPr>
    </w:p>
    <w:p w14:paraId="162A13FB">
      <w:pPr>
        <w:pStyle w:val="5"/>
        <w:numPr>
          <w:ilvl w:val="0"/>
          <w:numId w:val="4"/>
        </w:numPr>
        <w:autoSpaceDE w:val="0"/>
        <w:spacing w:line="240" w:lineRule="atLeast"/>
        <w:ind w:left="840" w:leftChars="0" w:hanging="420" w:firstLineChars="0"/>
        <w:rPr>
          <w:rFonts w:hint="default" w:ascii="方正仿宋_GB2312" w:hAnsi="方正仿宋_GB2312" w:eastAsia="方正仿宋_GB2312" w:cs="方正仿宋_GB2312"/>
          <w:shd w:val="clear" w:color="auto" w:fill="FFFFFF"/>
          <w:lang w:val="en-US" w:eastAsia="zh-CN"/>
        </w:rPr>
      </w:pPr>
      <w:r>
        <w:rPr>
          <w:rFonts w:hint="default" w:ascii="方正仿宋_GB2312" w:hAnsi="方正仿宋_GB2312" w:eastAsia="方正仿宋_GB2312" w:cs="方正仿宋_GB2312"/>
          <w:b/>
          <w:bCs/>
          <w:shd w:val="clear" w:color="auto" w:fill="FFFFFF"/>
          <w:lang w:val="en-US" w:eastAsia="zh-CN"/>
        </w:rPr>
        <w:t>财务健康度</w:t>
      </w:r>
      <w:r>
        <w:rPr>
          <w:rFonts w:hint="eastAsia" w:ascii="方正仿宋_GB2312" w:hAnsi="方正仿宋_GB2312" w:eastAsia="方正仿宋_GB2312" w:cs="方正仿宋_GB2312"/>
          <w:b/>
          <w:bCs/>
          <w:shd w:val="clear" w:color="auto" w:fill="FFFFFF"/>
          <w:lang w:val="en-US" w:eastAsia="zh-CN"/>
        </w:rPr>
        <w:t>与盈利结构</w:t>
      </w:r>
      <w:r>
        <w:rPr>
          <w:rFonts w:hint="eastAsia" w:ascii="方正仿宋_GB2312" w:hAnsi="方正仿宋_GB2312" w:eastAsia="方正仿宋_GB2312" w:cs="方正仿宋_GB2312"/>
          <w:b/>
          <w:bCs/>
          <w:shd w:val="clear" w:color="auto" w:fill="FFFFFF"/>
          <w:lang w:val="en-US" w:eastAsia="zh-CN"/>
        </w:rPr>
        <w:tab/>
      </w:r>
    </w:p>
    <w:p w14:paraId="38178774">
      <w:pPr>
        <w:pStyle w:val="5"/>
        <w:numPr>
          <w:ilvl w:val="0"/>
          <w:numId w:val="5"/>
        </w:numPr>
        <w:autoSpaceDE w:val="0"/>
        <w:spacing w:line="240" w:lineRule="atLeast"/>
        <w:ind w:left="1265" w:leftChars="0" w:hanging="425" w:firstLineChars="0"/>
        <w:rPr>
          <w:rFonts w:hint="default" w:ascii="方正仿宋_GB2312" w:hAnsi="方正仿宋_GB2312" w:eastAsia="方正仿宋_GB2312" w:cs="方正仿宋_GB2312"/>
          <w:b/>
          <w:bCs/>
          <w:shd w:val="clear" w:color="auto" w:fill="FFFFFF"/>
          <w:lang w:val="en-US" w:eastAsia="zh-CN"/>
        </w:rPr>
      </w:pPr>
      <w:r>
        <w:rPr>
          <w:rFonts w:hint="default" w:ascii="方正仿宋_GB2312" w:hAnsi="方正仿宋_GB2312" w:eastAsia="方正仿宋_GB2312" w:cs="方正仿宋_GB2312"/>
          <w:b/>
          <w:bCs/>
          <w:shd w:val="clear" w:color="auto" w:fill="FFFFFF"/>
          <w:lang w:val="en-US" w:eastAsia="zh-CN"/>
        </w:rPr>
        <w:t>产能释放驱动收入增长​</w:t>
      </w:r>
    </w:p>
    <w:p w14:paraId="1DDBF5E0">
      <w:pPr>
        <w:pStyle w:val="5"/>
        <w:autoSpaceDE w:val="0"/>
        <w:spacing w:line="240" w:lineRule="atLeast"/>
        <w:ind w:left="420" w:leftChars="0" w:firstLine="420" w:firstLineChars="0"/>
        <w:rPr>
          <w:rFonts w:hint="default" w:ascii="方正仿宋_GB2312" w:hAnsi="方正仿宋_GB2312" w:eastAsia="方正仿宋_GB2312" w:cs="方正仿宋_GB2312"/>
          <w:shd w:val="clear" w:color="auto" w:fill="FFFFFF"/>
          <w:lang w:val="en-US" w:eastAsia="zh-CN"/>
        </w:rPr>
      </w:pPr>
      <w:r>
        <w:rPr>
          <w:rFonts w:hint="default" w:ascii="方正仿宋_GB2312" w:hAnsi="方正仿宋_GB2312" w:eastAsia="方正仿宋_GB2312" w:cs="方正仿宋_GB2312"/>
          <w:shd w:val="clear" w:color="auto" w:fill="FFFFFF"/>
          <w:lang w:val="en-US" w:eastAsia="zh-CN"/>
        </w:rPr>
        <w:t>华特气体官网发布《江苏华特新材料有限公司年产22139吨电子特种气体</w:t>
      </w:r>
      <w:r>
        <w:rPr>
          <w:rFonts w:hint="eastAsia" w:ascii="方正仿宋_GB2312" w:hAnsi="方正仿宋_GB2312" w:eastAsia="方正仿宋_GB2312" w:cs="方正仿宋_GB2312"/>
          <w:shd w:val="clear" w:color="auto" w:fill="FFFFFF"/>
          <w:lang w:val="en-US" w:eastAsia="zh-CN"/>
        </w:rPr>
        <w:t>……</w:t>
      </w:r>
      <w:r>
        <w:rPr>
          <w:rFonts w:hint="default" w:ascii="方正仿宋_GB2312" w:hAnsi="方正仿宋_GB2312" w:eastAsia="方正仿宋_GB2312" w:cs="方正仿宋_GB2312"/>
          <w:shd w:val="clear" w:color="auto" w:fill="FFFFFF"/>
          <w:lang w:val="en-US" w:eastAsia="zh-CN"/>
        </w:rPr>
        <w:t>第二次公示》。母公司财报提及“长三角基地产能爬坡顺利，客户认证进度符合预期”，指向江苏华特产能利用率提升。</w:t>
      </w:r>
    </w:p>
    <w:p w14:paraId="2F7345FF">
      <w:pPr>
        <w:pStyle w:val="5"/>
        <w:numPr>
          <w:ilvl w:val="0"/>
          <w:numId w:val="5"/>
        </w:numPr>
        <w:autoSpaceDE w:val="0"/>
        <w:spacing w:line="240" w:lineRule="atLeast"/>
        <w:ind w:left="1265" w:leftChars="0" w:hanging="425" w:firstLineChars="0"/>
        <w:rPr>
          <w:rFonts w:hint="default" w:ascii="方正仿宋_GB2312" w:hAnsi="方正仿宋_GB2312" w:eastAsia="方正仿宋_GB2312" w:cs="方正仿宋_GB2312"/>
          <w:shd w:val="clear" w:color="auto" w:fill="FFFFFF"/>
          <w:lang w:val="en-US" w:eastAsia="zh-CN"/>
        </w:rPr>
      </w:pPr>
      <w:r>
        <w:rPr>
          <w:rFonts w:hint="default" w:ascii="方正仿宋_GB2312" w:hAnsi="方正仿宋_GB2312" w:eastAsia="方正仿宋_GB2312" w:cs="方正仿宋_GB2312"/>
          <w:b/>
          <w:bCs/>
          <w:shd w:val="clear" w:color="auto" w:fill="FFFFFF"/>
          <w:lang w:val="en-US" w:eastAsia="zh-CN"/>
        </w:rPr>
        <w:t>高毛利产品占比</w:t>
      </w:r>
      <w:r>
        <w:rPr>
          <w:rFonts w:hint="eastAsia" w:ascii="方正仿宋_GB2312" w:hAnsi="方正仿宋_GB2312" w:eastAsia="方正仿宋_GB2312" w:cs="方正仿宋_GB2312"/>
          <w:b/>
          <w:bCs/>
          <w:shd w:val="clear" w:color="auto" w:fill="FFFFFF"/>
          <w:lang w:val="en-US" w:eastAsia="zh-CN"/>
        </w:rPr>
        <w:t>高</w:t>
      </w:r>
      <w:r>
        <w:rPr>
          <w:rFonts w:hint="default" w:ascii="方正仿宋_GB2312" w:hAnsi="方正仿宋_GB2312" w:eastAsia="方正仿宋_GB2312" w:cs="方正仿宋_GB2312"/>
          <w:b/>
          <w:bCs/>
          <w:shd w:val="clear" w:color="auto" w:fill="FFFFFF"/>
          <w:lang w:val="en-US" w:eastAsia="zh-CN"/>
        </w:rPr>
        <w:t>​</w:t>
      </w:r>
    </w:p>
    <w:p w14:paraId="2B76F9E5">
      <w:pPr>
        <w:pStyle w:val="5"/>
        <w:autoSpaceDE w:val="0"/>
        <w:spacing w:line="240" w:lineRule="atLeast"/>
        <w:ind w:left="420" w:leftChars="0" w:firstLine="420" w:firstLineChars="0"/>
        <w:rPr>
          <w:rFonts w:hint="default" w:ascii="方正仿宋_GB2312" w:hAnsi="方正仿宋_GB2312" w:eastAsia="方正仿宋_GB2312" w:cs="方正仿宋_GB2312"/>
          <w:highlight w:val="none"/>
          <w:shd w:val="clear" w:color="auto" w:fill="FFFFFF"/>
          <w:lang w:val="en-US" w:eastAsia="zh-CN"/>
        </w:rPr>
      </w:pPr>
      <w:r>
        <w:rPr>
          <w:rFonts w:hint="default" w:ascii="方正仿宋_GB2312" w:hAnsi="方正仿宋_GB2312" w:eastAsia="方正仿宋_GB2312" w:cs="方正仿宋_GB2312"/>
          <w:highlight w:val="none"/>
          <w:shd w:val="clear" w:color="auto" w:fill="FFFFFF"/>
          <w:lang w:val="en-US" w:eastAsia="zh-CN"/>
        </w:rPr>
        <w:t>江苏华特核心产品六氟化钨（WF6）、三氟化硼（BF3）等电子气体毛利率超40%，高于母公司传统工业气体业务（25%-30%）。</w:t>
      </w:r>
    </w:p>
    <w:p w14:paraId="091B6BB6">
      <w:pPr>
        <w:pStyle w:val="5"/>
        <w:autoSpaceDE w:val="0"/>
        <w:spacing w:line="240" w:lineRule="atLeast"/>
        <w:ind w:left="420" w:leftChars="0" w:firstLine="420" w:firstLineChars="0"/>
        <w:rPr>
          <w:rFonts w:hint="default" w:ascii="方正仿宋_GB2312" w:hAnsi="方正仿宋_GB2312" w:eastAsia="方正仿宋_GB2312" w:cs="方正仿宋_GB2312"/>
          <w:highlight w:val="none"/>
          <w:shd w:val="clear" w:color="auto" w:fill="FFFFFF"/>
          <w:lang w:val="en-US" w:eastAsia="zh-CN"/>
        </w:rPr>
      </w:pPr>
      <w:r>
        <w:rPr>
          <w:rFonts w:hint="default" w:ascii="方正仿宋_GB2312" w:hAnsi="方正仿宋_GB2312" w:eastAsia="方正仿宋_GB2312" w:cs="方正仿宋_GB2312"/>
          <w:highlight w:val="none"/>
          <w:shd w:val="clear" w:color="auto" w:fill="FFFFFF"/>
          <w:lang w:val="en-US" w:eastAsia="zh-CN"/>
        </w:rPr>
        <w:t>2023年母公司特种气体收入占比提升至65%（2020年为50%），江苏华特为结构性升级主力。</w:t>
      </w:r>
    </w:p>
    <w:p w14:paraId="3B113659">
      <w:pPr>
        <w:pStyle w:val="5"/>
        <w:numPr>
          <w:ilvl w:val="0"/>
          <w:numId w:val="5"/>
        </w:numPr>
        <w:autoSpaceDE w:val="0"/>
        <w:spacing w:line="240" w:lineRule="atLeast"/>
        <w:ind w:left="1265" w:leftChars="0" w:hanging="425" w:firstLineChars="0"/>
        <w:rPr>
          <w:rFonts w:hint="default" w:ascii="方正仿宋_GB2312" w:hAnsi="方正仿宋_GB2312" w:eastAsia="方正仿宋_GB2312" w:cs="方正仿宋_GB2312"/>
          <w:b/>
          <w:bCs/>
          <w:shd w:val="clear" w:color="auto" w:fill="FFFFFF"/>
          <w:lang w:val="en-US" w:eastAsia="zh-CN"/>
        </w:rPr>
      </w:pPr>
      <w:r>
        <w:rPr>
          <w:rFonts w:hint="default" w:ascii="方正仿宋_GB2312" w:hAnsi="方正仿宋_GB2312" w:eastAsia="方正仿宋_GB2312" w:cs="方正仿宋_GB2312"/>
          <w:b/>
          <w:bCs/>
          <w:shd w:val="clear" w:color="auto" w:fill="FFFFFF"/>
          <w:lang w:val="en-US" w:eastAsia="zh-CN"/>
        </w:rPr>
        <w:t>政策与行业红利​</w:t>
      </w:r>
    </w:p>
    <w:p w14:paraId="56B3EB35">
      <w:pPr>
        <w:pStyle w:val="5"/>
        <w:autoSpaceDE w:val="0"/>
        <w:spacing w:line="240" w:lineRule="atLeast"/>
        <w:ind w:left="420" w:leftChars="0" w:firstLine="420" w:firstLineChars="0"/>
        <w:rPr>
          <w:rFonts w:hint="default" w:ascii="方正仿宋_GB2312" w:hAnsi="方正仿宋_GB2312" w:eastAsia="方正仿宋_GB2312" w:cs="方正仿宋_GB2312"/>
          <w:shd w:val="clear" w:color="auto" w:fill="FFFFFF"/>
          <w:lang w:val="en-US" w:eastAsia="zh-CN"/>
        </w:rPr>
      </w:pPr>
      <w:r>
        <w:rPr>
          <w:rFonts w:hint="default" w:ascii="方正仿宋_GB2312" w:hAnsi="方正仿宋_GB2312" w:eastAsia="方正仿宋_GB2312" w:cs="方正仿宋_GB2312"/>
          <w:shd w:val="clear" w:color="auto" w:fill="FFFFFF"/>
          <w:lang w:val="en-US" w:eastAsia="zh-CN"/>
        </w:rPr>
        <w:t>半导体国产化加速，电子气体作为“卡脖子”环节，国内需求年增超20%。江苏华特已通过中芯国际、长江存储等头部客户认证，订单可见性强。</w:t>
      </w:r>
    </w:p>
    <w:p w14:paraId="6E0AB656">
      <w:pPr>
        <w:pStyle w:val="5"/>
        <w:autoSpaceDE w:val="0"/>
        <w:spacing w:line="240" w:lineRule="atLeast"/>
        <w:ind w:left="420" w:leftChars="0" w:firstLine="420" w:firstLineChars="0"/>
        <w:rPr>
          <w:rFonts w:hint="default" w:ascii="方正仿宋_GB2312" w:hAnsi="方正仿宋_GB2312" w:eastAsia="方正仿宋_GB2312" w:cs="方正仿宋_GB2312"/>
          <w:shd w:val="clear" w:color="auto" w:fill="FFFFFF"/>
          <w:lang w:val="en-US" w:eastAsia="zh-CN"/>
        </w:rPr>
      </w:pPr>
      <w:r>
        <w:rPr>
          <w:rFonts w:hint="default" w:ascii="方正仿宋_GB2312" w:hAnsi="方正仿宋_GB2312" w:eastAsia="方正仿宋_GB2312" w:cs="方正仿宋_GB2312"/>
          <w:shd w:val="clear" w:color="auto" w:fill="FFFFFF"/>
          <w:lang w:val="en-US" w:eastAsia="zh-CN"/>
        </w:rPr>
        <w:t>财政部对半导体材料企业税收优惠（如研发费用加计扣除）降低子公司税负。</w:t>
      </w:r>
    </w:p>
    <w:p w14:paraId="4983955D">
      <w:pPr>
        <w:pStyle w:val="5"/>
        <w:numPr>
          <w:ilvl w:val="0"/>
          <w:numId w:val="5"/>
        </w:numPr>
        <w:autoSpaceDE w:val="0"/>
        <w:spacing w:line="240" w:lineRule="atLeast"/>
        <w:ind w:left="1265" w:leftChars="0" w:hanging="425" w:firstLineChars="0"/>
        <w:rPr>
          <w:rFonts w:hint="default" w:ascii="方正仿宋_GB2312" w:hAnsi="方正仿宋_GB2312" w:eastAsia="方正仿宋_GB2312" w:cs="方正仿宋_GB2312"/>
          <w:b/>
          <w:bCs/>
          <w:shd w:val="clear" w:color="auto" w:fill="FFFFFF"/>
          <w:lang w:val="en-US" w:eastAsia="zh-CN"/>
        </w:rPr>
      </w:pPr>
      <w:r>
        <w:rPr>
          <w:rFonts w:hint="eastAsia" w:ascii="方正仿宋_GB2312" w:hAnsi="方正仿宋_GB2312" w:eastAsia="方正仿宋_GB2312" w:cs="方正仿宋_GB2312"/>
          <w:b/>
          <w:bCs/>
          <w:shd w:val="clear" w:color="auto" w:fill="FFFFFF"/>
          <w:lang w:val="en-US" w:eastAsia="zh-CN"/>
        </w:rPr>
        <w:t>现金流</w:t>
      </w:r>
      <w:r>
        <w:rPr>
          <w:rFonts w:hint="default" w:ascii="方正仿宋_GB2312" w:hAnsi="方正仿宋_GB2312" w:eastAsia="方正仿宋_GB2312" w:cs="方正仿宋_GB2312"/>
          <w:b/>
          <w:bCs/>
          <w:shd w:val="clear" w:color="auto" w:fill="FFFFFF"/>
          <w:lang w:val="en-US" w:eastAsia="zh-CN"/>
        </w:rPr>
        <w:t>与融资计划</w:t>
      </w:r>
    </w:p>
    <w:p w14:paraId="04255E5B">
      <w:pPr>
        <w:pStyle w:val="5"/>
        <w:autoSpaceDE w:val="0"/>
        <w:spacing w:line="240" w:lineRule="atLeast"/>
        <w:ind w:left="420" w:leftChars="0" w:firstLine="420" w:firstLineChars="0"/>
        <w:rPr>
          <w:rFonts w:hint="default" w:ascii="方正仿宋_GB2312" w:hAnsi="方正仿宋_GB2312" w:eastAsia="方正仿宋_GB2312" w:cs="方正仿宋_GB2312"/>
          <w:shd w:val="clear" w:color="auto" w:fill="FFFFFF"/>
          <w:lang w:val="en-US" w:eastAsia="zh-CN"/>
        </w:rPr>
      </w:pPr>
      <w:r>
        <w:rPr>
          <w:rFonts w:hint="default" w:ascii="方正仿宋_GB2312" w:hAnsi="方正仿宋_GB2312" w:eastAsia="方正仿宋_GB2312" w:cs="方正仿宋_GB2312"/>
          <w:shd w:val="clear" w:color="auto" w:fill="FFFFFF"/>
          <w:lang w:val="en-US" w:eastAsia="zh-CN"/>
        </w:rPr>
        <w:t>现有信息未披露具体金额，但分两期建设可能需数十亿元投入（参考同类项目）。需关注：</w:t>
      </w:r>
    </w:p>
    <w:p w14:paraId="14C48CA3">
      <w:pPr>
        <w:pStyle w:val="5"/>
        <w:autoSpaceDE w:val="0"/>
        <w:spacing w:line="240" w:lineRule="atLeast"/>
        <w:ind w:left="420" w:leftChars="0" w:firstLine="420" w:firstLineChars="0"/>
        <w:rPr>
          <w:rFonts w:hint="default" w:ascii="方正仿宋_GB2312" w:hAnsi="方正仿宋_GB2312" w:eastAsia="方正仿宋_GB2312" w:cs="方正仿宋_GB2312"/>
          <w:shd w:val="clear" w:color="auto" w:fill="FFFFFF"/>
          <w:lang w:val="en-US" w:eastAsia="zh-CN"/>
        </w:rPr>
      </w:pPr>
      <w:r>
        <w:rPr>
          <w:rFonts w:hint="default" w:ascii="方正仿宋_GB2312" w:hAnsi="方正仿宋_GB2312" w:eastAsia="方正仿宋_GB2312" w:cs="方正仿宋_GB2312"/>
          <w:shd w:val="clear" w:color="auto" w:fill="FFFFFF"/>
          <w:lang w:val="en-US" w:eastAsia="zh-CN"/>
        </w:rPr>
        <w:t>​</w:t>
      </w:r>
      <w:r>
        <w:rPr>
          <w:rFonts w:hint="default" w:ascii="方正仿宋_GB2312" w:hAnsi="方正仿宋_GB2312" w:eastAsia="方正仿宋_GB2312" w:cs="方正仿宋_GB2312"/>
          <w:b/>
          <w:bCs/>
          <w:shd w:val="clear" w:color="auto" w:fill="FFFFFF"/>
          <w:lang w:val="en-US" w:eastAsia="zh-CN"/>
        </w:rPr>
        <w:t>资金来源：</w:t>
      </w:r>
      <w:r>
        <w:rPr>
          <w:rFonts w:hint="default" w:ascii="方正仿宋_GB2312" w:hAnsi="方正仿宋_GB2312" w:eastAsia="方正仿宋_GB2312" w:cs="方正仿宋_GB2312"/>
          <w:shd w:val="clear" w:color="auto" w:fill="FFFFFF"/>
          <w:lang w:val="en-US" w:eastAsia="zh-CN"/>
        </w:rPr>
        <w:t>是否依赖银行贷款？如皋港化工园区是否提供配套资金或税收优惠？</w:t>
      </w:r>
    </w:p>
    <w:p w14:paraId="682F7CA0">
      <w:pPr>
        <w:pStyle w:val="5"/>
        <w:autoSpaceDE w:val="0"/>
        <w:spacing w:line="240" w:lineRule="atLeast"/>
        <w:ind w:left="420" w:leftChars="0" w:firstLine="420" w:firstLineChars="0"/>
        <w:rPr>
          <w:rFonts w:hint="default" w:ascii="方正仿宋_GB2312" w:hAnsi="方正仿宋_GB2312" w:eastAsia="方正仿宋_GB2312" w:cs="方正仿宋_GB2312"/>
          <w:shd w:val="clear" w:color="auto" w:fill="FFFFFF"/>
          <w:lang w:val="en-US" w:eastAsia="zh-CN"/>
        </w:rPr>
      </w:pPr>
      <w:r>
        <w:rPr>
          <w:rFonts w:hint="default" w:ascii="方正仿宋_GB2312" w:hAnsi="方正仿宋_GB2312" w:eastAsia="方正仿宋_GB2312" w:cs="方正仿宋_GB2312"/>
          <w:shd w:val="clear" w:color="auto" w:fill="FFFFFF"/>
          <w:lang w:val="en-US" w:eastAsia="zh-CN"/>
        </w:rPr>
        <w:t>​</w:t>
      </w:r>
      <w:r>
        <w:rPr>
          <w:rFonts w:hint="default" w:ascii="方正仿宋_GB2312" w:hAnsi="方正仿宋_GB2312" w:eastAsia="方正仿宋_GB2312" w:cs="方正仿宋_GB2312"/>
          <w:b/>
          <w:bCs/>
          <w:shd w:val="clear" w:color="auto" w:fill="FFFFFF"/>
          <w:lang w:val="en-US" w:eastAsia="zh-CN"/>
        </w:rPr>
        <w:t>现金流管理：</w:t>
      </w:r>
      <w:r>
        <w:rPr>
          <w:rFonts w:hint="default" w:ascii="方正仿宋_GB2312" w:hAnsi="方正仿宋_GB2312" w:eastAsia="方正仿宋_GB2312" w:cs="方正仿宋_GB2312"/>
          <w:shd w:val="clear" w:color="auto" w:fill="FFFFFF"/>
          <w:lang w:val="en-US" w:eastAsia="zh-CN"/>
        </w:rPr>
        <w:t>一期副产物（如液氨、氨水）可产生即期收入，缓解建设期资金压力</w:t>
      </w:r>
    </w:p>
    <w:p w14:paraId="66BE88C2">
      <w:pPr>
        <w:pStyle w:val="5"/>
        <w:numPr>
          <w:ilvl w:val="0"/>
          <w:numId w:val="0"/>
        </w:numPr>
        <w:autoSpaceDE w:val="0"/>
        <w:spacing w:line="240" w:lineRule="atLeast"/>
        <w:ind w:left="420" w:leftChars="0"/>
        <w:rPr>
          <w:rFonts w:hint="default" w:ascii="方正仿宋_GB2312" w:hAnsi="方正仿宋_GB2312" w:eastAsia="方正仿宋_GB2312" w:cs="方正仿宋_GB2312"/>
          <w:shd w:val="clear" w:color="auto" w:fill="FFFFFF"/>
          <w:lang w:val="en-US" w:eastAsia="zh-CN"/>
        </w:rPr>
      </w:pPr>
    </w:p>
    <w:p w14:paraId="48EE078D">
      <w:pPr>
        <w:pStyle w:val="5"/>
        <w:numPr>
          <w:ilvl w:val="0"/>
          <w:numId w:val="4"/>
        </w:numPr>
        <w:autoSpaceDE w:val="0"/>
        <w:spacing w:line="240" w:lineRule="atLeast"/>
        <w:ind w:left="840" w:leftChars="0" w:hanging="420" w:firstLineChars="0"/>
        <w:rPr>
          <w:rFonts w:hint="default" w:ascii="方正仿宋_GB2312" w:hAnsi="方正仿宋_GB2312" w:eastAsia="方正仿宋_GB2312" w:cs="方正仿宋_GB2312"/>
          <w:shd w:val="clear" w:color="auto" w:fill="FFFFFF"/>
          <w:lang w:val="en-US" w:eastAsia="zh-CN"/>
        </w:rPr>
      </w:pPr>
      <w:r>
        <w:rPr>
          <w:rFonts w:hint="eastAsia" w:ascii="方正仿宋_GB2312" w:hAnsi="方正仿宋_GB2312" w:eastAsia="方正仿宋_GB2312" w:cs="方正仿宋_GB2312"/>
          <w:b/>
          <w:bCs/>
          <w:shd w:val="clear" w:color="auto" w:fill="FFFFFF"/>
          <w:lang w:val="en-US" w:eastAsia="zh-CN"/>
        </w:rPr>
        <w:t>潜在风险提示</w:t>
      </w:r>
      <w:r>
        <w:rPr>
          <w:rFonts w:hint="eastAsia" w:ascii="方正仿宋_GB2312" w:hAnsi="方正仿宋_GB2312" w:eastAsia="方正仿宋_GB2312" w:cs="方正仿宋_GB2312"/>
          <w:b/>
          <w:bCs/>
          <w:shd w:val="clear" w:color="auto" w:fill="FFFFFF"/>
          <w:lang w:val="en-US" w:eastAsia="zh-CN"/>
        </w:rPr>
        <w:tab/>
      </w:r>
    </w:p>
    <w:p w14:paraId="782DBB8D">
      <w:pPr>
        <w:pStyle w:val="5"/>
        <w:numPr>
          <w:ilvl w:val="0"/>
          <w:numId w:val="6"/>
        </w:numPr>
        <w:autoSpaceDE w:val="0"/>
        <w:spacing w:line="240" w:lineRule="atLeast"/>
        <w:ind w:left="1265" w:leftChars="0" w:hanging="425" w:firstLineChars="0"/>
        <w:rPr>
          <w:rFonts w:hint="default" w:ascii="方正仿宋_GB2312" w:hAnsi="方正仿宋_GB2312" w:eastAsia="方正仿宋_GB2312" w:cs="方正仿宋_GB2312"/>
          <w:b/>
          <w:bCs/>
          <w:shd w:val="clear" w:color="auto" w:fill="FFFFFF"/>
          <w:lang w:val="en-US" w:eastAsia="zh-CN"/>
        </w:rPr>
      </w:pPr>
      <w:r>
        <w:rPr>
          <w:rFonts w:hint="eastAsia" w:ascii="方正仿宋_GB2312" w:hAnsi="方正仿宋_GB2312" w:eastAsia="方正仿宋_GB2312" w:cs="方正仿宋_GB2312"/>
          <w:b/>
          <w:bCs/>
          <w:shd w:val="clear" w:color="auto" w:fill="FFFFFF"/>
          <w:lang w:val="en-US" w:eastAsia="zh-CN"/>
        </w:rPr>
        <w:t>关注半导体行业发展周期，</w:t>
      </w:r>
      <w:r>
        <w:rPr>
          <w:rFonts w:hint="eastAsia" w:ascii="方正仿宋_GB2312" w:hAnsi="方正仿宋_GB2312" w:eastAsia="方正仿宋_GB2312" w:cs="方正仿宋_GB2312"/>
          <w:b w:val="0"/>
          <w:bCs w:val="0"/>
          <w:shd w:val="clear" w:color="auto" w:fill="FFFFFF"/>
          <w:lang w:val="en-US" w:eastAsia="zh-CN"/>
        </w:rPr>
        <w:t>若</w:t>
      </w:r>
      <w:r>
        <w:rPr>
          <w:rFonts w:hint="default" w:ascii="方正仿宋_GB2312" w:hAnsi="方正仿宋_GB2312" w:eastAsia="方正仿宋_GB2312" w:cs="方正仿宋_GB2312"/>
          <w:b w:val="0"/>
          <w:bCs w:val="0"/>
          <w:shd w:val="clear" w:color="auto" w:fill="FFFFFF"/>
          <w:lang w:val="en-US" w:eastAsia="zh-CN"/>
        </w:rPr>
        <w:t>行业周期下行（如2023年全球芯片库存调整），可能导致电子气体需求增速放缓，影响产能利用率。</w:t>
      </w:r>
    </w:p>
    <w:p w14:paraId="0EAFDECF">
      <w:pPr>
        <w:pStyle w:val="5"/>
        <w:numPr>
          <w:ilvl w:val="0"/>
          <w:numId w:val="6"/>
        </w:numPr>
        <w:autoSpaceDE w:val="0"/>
        <w:spacing w:line="240" w:lineRule="atLeast"/>
        <w:ind w:left="1265" w:leftChars="0" w:hanging="425" w:firstLineChars="0"/>
        <w:rPr>
          <w:rFonts w:hint="default" w:ascii="方正仿宋_GB2312" w:hAnsi="方正仿宋_GB2312" w:eastAsia="方正仿宋_GB2312" w:cs="方正仿宋_GB2312"/>
          <w:b w:val="0"/>
          <w:bCs w:val="0"/>
          <w:shd w:val="clear" w:color="auto" w:fill="FFFFFF"/>
          <w:lang w:val="en-US" w:eastAsia="zh-CN"/>
        </w:rPr>
      </w:pPr>
      <w:r>
        <w:rPr>
          <w:rFonts w:hint="eastAsia" w:ascii="方正仿宋_GB2312" w:hAnsi="方正仿宋_GB2312" w:eastAsia="方正仿宋_GB2312" w:cs="方正仿宋_GB2312"/>
          <w:b/>
          <w:bCs/>
          <w:shd w:val="clear" w:color="auto" w:fill="FFFFFF"/>
          <w:lang w:val="en-US" w:eastAsia="zh-CN"/>
        </w:rPr>
        <w:t>可能存在技术替代风险，</w:t>
      </w:r>
      <w:r>
        <w:rPr>
          <w:rFonts w:hint="default" w:ascii="方正仿宋_GB2312" w:hAnsi="方正仿宋_GB2312" w:eastAsia="方正仿宋_GB2312" w:cs="方正仿宋_GB2312"/>
          <w:b w:val="0"/>
          <w:bCs w:val="0"/>
          <w:shd w:val="clear" w:color="auto" w:fill="FFFFFF"/>
          <w:lang w:val="en-US" w:eastAsia="zh-CN"/>
        </w:rPr>
        <w:t>干法蚀刻技术对部分湿法工艺的替代，可能降低六氟化钨等气体的需求量，需持续跟踪技术路线变化</w:t>
      </w:r>
    </w:p>
    <w:p w14:paraId="2D4E2389">
      <w:pPr>
        <w:pStyle w:val="5"/>
        <w:numPr>
          <w:ilvl w:val="0"/>
          <w:numId w:val="6"/>
        </w:numPr>
        <w:autoSpaceDE w:val="0"/>
        <w:spacing w:line="240" w:lineRule="atLeast"/>
        <w:ind w:left="1265" w:leftChars="0" w:hanging="425" w:firstLineChars="0"/>
        <w:rPr>
          <w:rFonts w:hint="default" w:ascii="方正仿宋_GB2312" w:hAnsi="方正仿宋_GB2312" w:eastAsia="方正仿宋_GB2312" w:cs="方正仿宋_GB2312"/>
          <w:shd w:val="clear" w:color="auto" w:fill="FFFFFF"/>
          <w:lang w:val="en-US" w:eastAsia="zh-CN"/>
        </w:rPr>
      </w:pPr>
      <w:r>
        <w:rPr>
          <w:rFonts w:hint="eastAsia" w:ascii="方正仿宋_GB2312" w:hAnsi="方正仿宋_GB2312" w:eastAsia="方正仿宋_GB2312" w:cs="方正仿宋_GB2312"/>
          <w:b/>
          <w:bCs/>
          <w:shd w:val="clear" w:color="auto" w:fill="FFFFFF"/>
          <w:lang w:val="en-US" w:eastAsia="zh-CN"/>
        </w:rPr>
        <w:t>关注原材料价格波动，</w:t>
      </w:r>
      <w:r>
        <w:rPr>
          <w:rFonts w:hint="eastAsia" w:ascii="方正仿宋_GB2312" w:hAnsi="方正仿宋_GB2312" w:eastAsia="方正仿宋_GB2312" w:cs="方正仿宋_GB2312"/>
          <w:b w:val="0"/>
          <w:bCs w:val="0"/>
          <w:shd w:val="clear" w:color="auto" w:fill="FFFFFF"/>
          <w:lang w:val="en-US" w:eastAsia="zh-CN"/>
        </w:rPr>
        <w:t>萤石（氟化工基础原料）2023年价格同比上涨30%，若持续高位将压缩电子气体利润空间。</w:t>
      </w:r>
    </w:p>
    <w:p w14:paraId="657DAF15">
      <w:pPr>
        <w:pStyle w:val="5"/>
        <w:numPr>
          <w:ilvl w:val="0"/>
          <w:numId w:val="6"/>
        </w:numPr>
        <w:autoSpaceDE w:val="0"/>
        <w:spacing w:line="240" w:lineRule="atLeast"/>
        <w:ind w:left="1265" w:leftChars="0" w:hanging="425" w:firstLineChars="0"/>
        <w:rPr>
          <w:rFonts w:hint="default" w:ascii="方正仿宋_GB2312" w:hAnsi="方正仿宋_GB2312" w:eastAsia="方正仿宋_GB2312" w:cs="方正仿宋_GB2312"/>
          <w:b/>
          <w:bCs/>
          <w:shd w:val="clear" w:color="auto" w:fill="FFFFFF"/>
          <w:lang w:val="en-US" w:eastAsia="zh-CN"/>
        </w:rPr>
      </w:pPr>
      <w:r>
        <w:rPr>
          <w:rFonts w:hint="default" w:ascii="方正仿宋_GB2312" w:hAnsi="方正仿宋_GB2312" w:eastAsia="方正仿宋_GB2312" w:cs="方正仿宋_GB2312"/>
          <w:shd w:val="clear" w:color="auto" w:fill="FFFFFF"/>
          <w:lang w:val="en-US" w:eastAsia="zh-CN"/>
        </w:rPr>
        <w:t>重资产项目可能导致资产负债率攀升，需核实企业是否有Pre-IPO融资计划或政府补贴支持。</w:t>
      </w:r>
    </w:p>
    <w:p w14:paraId="5F7A3AE4">
      <w:pPr>
        <w:pStyle w:val="5"/>
        <w:numPr>
          <w:ilvl w:val="0"/>
          <w:numId w:val="0"/>
        </w:numPr>
        <w:autoSpaceDE w:val="0"/>
        <w:spacing w:line="240" w:lineRule="atLeast"/>
        <w:rPr>
          <w:rFonts w:hint="default" w:ascii="方正仿宋_GB2312" w:hAnsi="方正仿宋_GB2312" w:eastAsia="方正仿宋_GB2312" w:cs="方正仿宋_GB2312"/>
          <w:b/>
          <w:bCs/>
          <w:shd w:val="clear" w:color="auto" w:fill="FFFFFF"/>
          <w:lang w:val="en-US" w:eastAsia="zh-CN"/>
        </w:rPr>
      </w:pPr>
    </w:p>
    <w:p w14:paraId="4D141551">
      <w:pPr>
        <w:numPr>
          <w:ilvl w:val="0"/>
          <w:numId w:val="1"/>
        </w:numPr>
        <w:ind w:left="0" w:leftChars="0" w:firstLine="420" w:firstLineChars="0"/>
        <w:rPr>
          <w:rFonts w:hint="eastAsia" w:ascii="方正仿宋_GB2312" w:hAnsi="方正仿宋_GB2312" w:eastAsia="方正仿宋_GB2312" w:cs="方正仿宋_GB2312"/>
          <w:b/>
          <w:bCs/>
          <w:sz w:val="24"/>
          <w:szCs w:val="24"/>
        </w:rPr>
      </w:pPr>
      <w:r>
        <w:rPr>
          <w:rFonts w:hint="eastAsia" w:ascii="方正仿宋_GB2312" w:hAnsi="方正仿宋_GB2312" w:eastAsia="方正仿宋_GB2312" w:cs="方正仿宋_GB2312"/>
          <w:b/>
          <w:bCs/>
          <w:sz w:val="24"/>
          <w:szCs w:val="24"/>
          <w:lang w:val="en-US" w:eastAsia="zh-CN"/>
        </w:rPr>
        <w:t>触达路径</w:t>
      </w:r>
    </w:p>
    <w:p w14:paraId="0ED93B94">
      <w:pPr>
        <w:numPr>
          <w:ilvl w:val="0"/>
          <w:numId w:val="0"/>
        </w:numPr>
        <w:ind w:left="420" w:leftChars="0"/>
        <w:rPr>
          <w:rFonts w:hint="eastAsia" w:ascii="方正仿宋_GB2312" w:hAnsi="方正仿宋_GB2312" w:eastAsia="方正仿宋_GB2312" w:cs="方正仿宋_GB2312"/>
          <w:kern w:val="2"/>
          <w:sz w:val="21"/>
          <w:szCs w:val="24"/>
          <w:shd w:val="clear" w:color="auto" w:fill="FFFFFF"/>
          <w:lang w:val="en-US" w:eastAsia="zh-CN" w:bidi="ar-SA"/>
        </w:rPr>
      </w:pPr>
      <w:r>
        <w:rPr>
          <w:rFonts w:hint="eastAsia" w:ascii="方正仿宋_GB2312" w:hAnsi="方正仿宋_GB2312" w:eastAsia="方正仿宋_GB2312" w:cs="方正仿宋_GB2312"/>
          <w:kern w:val="2"/>
          <w:sz w:val="21"/>
          <w:szCs w:val="24"/>
          <w:shd w:val="clear" w:color="auto" w:fill="FFFFFF"/>
          <w:lang w:val="en-US" w:eastAsia="zh-CN" w:bidi="ar-SA"/>
        </w:rPr>
        <w:t>企业当前可检索信息较少，建议可通过如下方式触达</w:t>
      </w:r>
    </w:p>
    <w:p w14:paraId="64029D58">
      <w:pPr>
        <w:numPr>
          <w:ilvl w:val="0"/>
          <w:numId w:val="7"/>
        </w:numPr>
        <w:ind w:left="840" w:leftChars="0" w:hanging="420" w:firstLineChars="0"/>
        <w:rPr>
          <w:rFonts w:hint="eastAsia" w:ascii="方正仿宋_GB2312" w:hAnsi="方正仿宋_GB2312" w:eastAsia="方正仿宋_GB2312" w:cs="方正仿宋_GB2312"/>
          <w:kern w:val="2"/>
          <w:sz w:val="21"/>
          <w:szCs w:val="24"/>
          <w:shd w:val="clear" w:color="auto" w:fill="FFFFFF"/>
          <w:lang w:val="en-US" w:eastAsia="zh-CN" w:bidi="ar-SA"/>
        </w:rPr>
      </w:pPr>
      <w:r>
        <w:rPr>
          <w:rFonts w:hint="eastAsia" w:ascii="方正仿宋_GB2312" w:hAnsi="方正仿宋_GB2312" w:eastAsia="方正仿宋_GB2312" w:cs="方正仿宋_GB2312"/>
          <w:b/>
          <w:bCs/>
          <w:kern w:val="2"/>
          <w:sz w:val="21"/>
          <w:szCs w:val="24"/>
          <w:shd w:val="clear" w:color="auto" w:fill="FFFFFF"/>
          <w:lang w:val="en-US" w:eastAsia="zh-CN" w:bidi="ar-SA"/>
        </w:rPr>
        <w:t>行业协会与技术交流平台：</w:t>
      </w:r>
      <w:r>
        <w:rPr>
          <w:rFonts w:hint="eastAsia" w:ascii="方正仿宋_GB2312" w:hAnsi="方正仿宋_GB2312" w:eastAsia="方正仿宋_GB2312" w:cs="方正仿宋_GB2312"/>
          <w:kern w:val="2"/>
          <w:sz w:val="21"/>
          <w:szCs w:val="24"/>
          <w:shd w:val="clear" w:color="auto" w:fill="FFFFFF"/>
          <w:lang w:val="en-US" w:eastAsia="zh-CN" w:bidi="ar-SA"/>
        </w:rPr>
        <w:t>查询企业是否加入中国工业气体工业协会或地方性化工协会，通过协会活动或成员名录建立联系。</w:t>
      </w:r>
    </w:p>
    <w:p w14:paraId="36EFC72F">
      <w:pPr>
        <w:numPr>
          <w:ilvl w:val="0"/>
          <w:numId w:val="7"/>
        </w:numPr>
        <w:ind w:left="840" w:leftChars="0" w:hanging="420" w:firstLineChars="0"/>
        <w:rPr>
          <w:rFonts w:hint="eastAsia" w:ascii="方正仿宋_GB2312" w:hAnsi="方正仿宋_GB2312" w:eastAsia="方正仿宋_GB2312" w:cs="方正仿宋_GB2312"/>
          <w:kern w:val="2"/>
          <w:sz w:val="21"/>
          <w:szCs w:val="24"/>
          <w:shd w:val="clear" w:color="auto" w:fill="FFFFFF"/>
          <w:lang w:val="en-US" w:eastAsia="zh-CN" w:bidi="ar-SA"/>
        </w:rPr>
      </w:pPr>
      <w:r>
        <w:rPr>
          <w:rFonts w:hint="eastAsia" w:ascii="方正仿宋_GB2312" w:hAnsi="方正仿宋_GB2312" w:eastAsia="方正仿宋_GB2312" w:cs="方正仿宋_GB2312"/>
          <w:b/>
          <w:bCs/>
          <w:kern w:val="2"/>
          <w:sz w:val="21"/>
          <w:szCs w:val="24"/>
          <w:shd w:val="clear" w:color="auto" w:fill="FFFFFF"/>
          <w:lang w:val="en-US" w:eastAsia="zh-CN" w:bidi="ar-SA"/>
        </w:rPr>
        <w:t>供应链与园区合作：</w:t>
      </w:r>
      <w:r>
        <w:rPr>
          <w:rFonts w:hint="eastAsia" w:ascii="方正仿宋_GB2312" w:hAnsi="方正仿宋_GB2312" w:eastAsia="方正仿宋_GB2312" w:cs="方正仿宋_GB2312"/>
          <w:kern w:val="2"/>
          <w:sz w:val="21"/>
          <w:szCs w:val="24"/>
          <w:shd w:val="clear" w:color="auto" w:fill="FFFFFF"/>
          <w:lang w:val="en-US" w:eastAsia="zh-CN" w:bidi="ar-SA"/>
        </w:rPr>
        <w:t>如皋港化工新材料产业园：项目位于该园区兴港西路6号，可联系园区管委会获取企业对接渠道，或通过园区内配套服务企业（如物流、设备供应商）间接触达。</w:t>
      </w:r>
    </w:p>
    <w:p w14:paraId="4990EA0A">
      <w:pPr>
        <w:numPr>
          <w:ilvl w:val="0"/>
          <w:numId w:val="7"/>
        </w:numPr>
        <w:ind w:left="840" w:leftChars="0" w:hanging="420" w:firstLineChars="0"/>
        <w:rPr>
          <w:rFonts w:hint="eastAsia" w:ascii="方正仿宋_GB2312" w:hAnsi="方正仿宋_GB2312" w:eastAsia="方正仿宋_GB2312" w:cs="方正仿宋_GB2312"/>
          <w:kern w:val="2"/>
          <w:sz w:val="21"/>
          <w:szCs w:val="24"/>
          <w:shd w:val="clear" w:color="auto" w:fill="FFFFFF"/>
          <w:lang w:val="en-US" w:eastAsia="zh-CN" w:bidi="ar-SA"/>
        </w:rPr>
      </w:pPr>
      <w:r>
        <w:rPr>
          <w:rFonts w:hint="eastAsia" w:ascii="方正仿宋_GB2312" w:hAnsi="方正仿宋_GB2312" w:eastAsia="方正仿宋_GB2312" w:cs="方正仿宋_GB2312"/>
          <w:b/>
          <w:bCs/>
          <w:kern w:val="2"/>
          <w:sz w:val="21"/>
          <w:szCs w:val="24"/>
          <w:shd w:val="clear" w:color="auto" w:fill="FFFFFF"/>
          <w:lang w:val="en-US" w:eastAsia="zh-CN" w:bidi="ar-SA"/>
        </w:rPr>
        <w:t>行业展会与论坛：</w:t>
      </w:r>
      <w:r>
        <w:rPr>
          <w:rFonts w:hint="eastAsia" w:ascii="方正仿宋_GB2312" w:hAnsi="方正仿宋_GB2312" w:eastAsia="方正仿宋_GB2312" w:cs="方正仿宋_GB2312"/>
          <w:kern w:val="2"/>
          <w:sz w:val="21"/>
          <w:szCs w:val="24"/>
          <w:shd w:val="clear" w:color="auto" w:fill="FFFFFF"/>
          <w:lang w:val="en-US" w:eastAsia="zh-CN" w:bidi="ar-SA"/>
        </w:rPr>
        <w:t>电子气体/化工材料展会：关注如中国国际半导体技术大会（CSTIC）、中国电子材料产业峰会等，企业可能参与展示技术或产品，直接接触技术高管。</w:t>
      </w:r>
    </w:p>
    <w:p w14:paraId="4AD44286">
      <w:pPr>
        <w:numPr>
          <w:ilvl w:val="0"/>
          <w:numId w:val="7"/>
        </w:numPr>
        <w:ind w:left="840" w:leftChars="0" w:hanging="420" w:firstLineChars="0"/>
        <w:rPr>
          <w:rFonts w:hint="eastAsia" w:ascii="方正仿宋_GB2312" w:hAnsi="方正仿宋_GB2312" w:eastAsia="方正仿宋_GB2312" w:cs="方正仿宋_GB2312"/>
          <w:kern w:val="2"/>
          <w:sz w:val="21"/>
          <w:szCs w:val="24"/>
          <w:shd w:val="clear" w:color="auto" w:fill="FFFFFF"/>
          <w:lang w:val="en-US" w:eastAsia="zh-CN" w:bidi="ar-SA"/>
        </w:rPr>
      </w:pPr>
      <w:r>
        <w:rPr>
          <w:rFonts w:hint="eastAsia" w:ascii="方正仿宋_GB2312" w:hAnsi="方正仿宋_GB2312" w:eastAsia="方正仿宋_GB2312" w:cs="方正仿宋_GB2312"/>
          <w:b/>
          <w:bCs/>
          <w:kern w:val="2"/>
          <w:sz w:val="21"/>
          <w:szCs w:val="24"/>
          <w:shd w:val="clear" w:color="auto" w:fill="FFFFFF"/>
          <w:lang w:val="en-US" w:eastAsia="zh-CN" w:bidi="ar-SA"/>
        </w:rPr>
        <w:t>政府合作项目：</w:t>
      </w:r>
      <w:r>
        <w:rPr>
          <w:rFonts w:hint="eastAsia" w:ascii="方正仿宋_GB2312" w:hAnsi="方正仿宋_GB2312" w:eastAsia="方正仿宋_GB2312" w:cs="方正仿宋_GB2312"/>
          <w:kern w:val="2"/>
          <w:sz w:val="21"/>
          <w:szCs w:val="24"/>
          <w:shd w:val="clear" w:color="auto" w:fill="FFFFFF"/>
          <w:lang w:val="en-US" w:eastAsia="zh-CN" w:bidi="ar-SA"/>
        </w:rPr>
        <w:t>企业项目为新建且分两期推进，可关注当地政府发布的化工新材料产业扶持政策，通过参与配套项目（如环保技术合作、研发补贴申请）触达。</w:t>
      </w:r>
      <w:r>
        <w:rPr>
          <w:rFonts w:hint="eastAsia" w:ascii="方正仿宋_GB2312" w:hAnsi="方正仿宋_GB2312" w:eastAsia="方正仿宋_GB2312" w:cs="方正仿宋_GB2312"/>
          <w:i/>
          <w:iCs/>
          <w:kern w:val="2"/>
          <w:sz w:val="21"/>
          <w:szCs w:val="24"/>
          <w:u w:val="single"/>
          <w:shd w:val="clear" w:color="auto" w:fill="FFFFFF"/>
          <w:lang w:val="en-US" w:eastAsia="zh-CN" w:bidi="ar-SA"/>
        </w:rPr>
        <w:t>（如江苏省南通市通州区在近两年（2024-2025年）针对化工新材料产业发布了多项扶持政策）</w:t>
      </w:r>
    </w:p>
    <w:p w14:paraId="129E228E">
      <w:pPr>
        <w:numPr>
          <w:ilvl w:val="0"/>
          <w:numId w:val="0"/>
        </w:numPr>
        <w:ind w:left="420" w:leftChars="0"/>
        <w:rPr>
          <w:rFonts w:hint="default" w:ascii="方正仿宋_GB2312" w:hAnsi="方正仿宋_GB2312" w:eastAsia="方正仿宋_GB2312" w:cs="方正仿宋_GB2312"/>
          <w:b/>
          <w:bCs/>
          <w:kern w:val="2"/>
          <w:sz w:val="21"/>
          <w:szCs w:val="24"/>
          <w:shd w:val="clear" w:color="auto" w:fill="FFFFFF"/>
          <w:lang w:val="en-US" w:eastAsia="zh-CN" w:bidi="ar-SA"/>
        </w:rPr>
      </w:pPr>
    </w:p>
    <w:p w14:paraId="144E1C90">
      <w:pPr>
        <w:numPr>
          <w:ilvl w:val="0"/>
          <w:numId w:val="1"/>
        </w:numPr>
        <w:ind w:left="0" w:leftChars="0" w:firstLine="420" w:firstLineChars="0"/>
        <w:rPr>
          <w:rFonts w:hint="eastAsia" w:ascii="方正仿宋_GB2312" w:hAnsi="方正仿宋_GB2312" w:eastAsia="方正仿宋_GB2312" w:cs="方正仿宋_GB2312"/>
          <w:b/>
          <w:bCs/>
          <w:sz w:val="24"/>
          <w:szCs w:val="24"/>
        </w:rPr>
      </w:pPr>
      <w:r>
        <w:rPr>
          <w:rFonts w:hint="eastAsia" w:ascii="方正仿宋_GB2312" w:hAnsi="方正仿宋_GB2312" w:eastAsia="方正仿宋_GB2312" w:cs="方正仿宋_GB2312"/>
          <w:b/>
          <w:bCs/>
          <w:sz w:val="24"/>
          <w:szCs w:val="24"/>
          <w:lang w:val="en-US" w:eastAsia="zh-CN"/>
        </w:rPr>
        <w:t>触达企业后聊什么？</w:t>
      </w:r>
    </w:p>
    <w:p w14:paraId="1A007F03">
      <w:pPr>
        <w:pStyle w:val="5"/>
        <w:numPr>
          <w:ilvl w:val="0"/>
          <w:numId w:val="8"/>
        </w:numPr>
        <w:autoSpaceDE w:val="0"/>
        <w:spacing w:line="240" w:lineRule="atLeast"/>
        <w:ind w:left="845" w:leftChars="0" w:hanging="425" w:firstLineChars="0"/>
        <w:rPr>
          <w:rFonts w:hint="default" w:ascii="方正仿宋_GB2312" w:hAnsi="方正仿宋_GB2312" w:eastAsia="方正仿宋_GB2312" w:cs="方正仿宋_GB2312"/>
          <w:kern w:val="2"/>
          <w:sz w:val="21"/>
          <w:szCs w:val="24"/>
          <w:shd w:val="clear" w:color="auto" w:fill="FFFFFF"/>
          <w:lang w:val="en-US" w:eastAsia="zh-CN" w:bidi="ar-SA"/>
        </w:rPr>
      </w:pPr>
      <w:r>
        <w:rPr>
          <w:rFonts w:hint="eastAsia" w:ascii="方正仿宋_GB2312" w:hAnsi="方正仿宋_GB2312" w:eastAsia="方正仿宋_GB2312" w:cs="方正仿宋_GB2312"/>
          <w:kern w:val="2"/>
          <w:sz w:val="21"/>
          <w:szCs w:val="24"/>
          <w:shd w:val="clear" w:color="auto" w:fill="FFFFFF"/>
          <w:lang w:val="en-US" w:eastAsia="zh-CN" w:bidi="ar-SA"/>
        </w:rPr>
        <w:t>聊企业发展与战略布局</w:t>
      </w:r>
    </w:p>
    <w:p w14:paraId="40795F11">
      <w:pPr>
        <w:pStyle w:val="5"/>
        <w:numPr>
          <w:ilvl w:val="0"/>
          <w:numId w:val="0"/>
        </w:numPr>
        <w:autoSpaceDE w:val="0"/>
        <w:spacing w:line="240" w:lineRule="atLeast"/>
        <w:ind w:left="420" w:leftChars="0"/>
        <w:rPr>
          <w:rFonts w:hint="eastAsia" w:ascii="方正仿宋_GB2312" w:hAnsi="方正仿宋_GB2312" w:eastAsia="方正仿宋_GB2312" w:cs="方正仿宋_GB2312"/>
          <w:color w:val="0000FF"/>
        </w:rPr>
      </w:pPr>
      <w:r>
        <w:rPr>
          <w:rFonts w:hint="eastAsia" w:ascii="方正仿宋_GB2312" w:hAnsi="方正仿宋_GB2312" w:eastAsia="方正仿宋_GB2312" w:cs="方正仿宋_GB2312"/>
          <w:color w:val="0000FF"/>
        </w:rPr>
        <w:t>江苏华特新材料近年来的战略重心是什么？当前新建项目的分两期建设规划如何体现其产能布局和技术升级路径？</w:t>
      </w:r>
    </w:p>
    <w:p w14:paraId="4C41EF3B">
      <w:pPr>
        <w:pStyle w:val="5"/>
        <w:numPr>
          <w:ilvl w:val="0"/>
          <w:numId w:val="0"/>
        </w:numPr>
        <w:autoSpaceDE w:val="0"/>
        <w:spacing w:line="240" w:lineRule="atLeast"/>
        <w:ind w:left="420" w:leftChars="0"/>
        <w:rPr>
          <w:rFonts w:hint="default" w:ascii="方正仿宋_GB2312" w:hAnsi="方正仿宋_GB2312" w:eastAsia="方正仿宋_GB2312" w:cs="方正仿宋_GB2312"/>
          <w:b w:val="0"/>
          <w:bCs w:val="0"/>
          <w:color w:val="auto"/>
          <w:lang w:val="en-US" w:eastAsia="zh-CN"/>
        </w:rPr>
      </w:pPr>
      <w:r>
        <w:rPr>
          <w:rFonts w:hint="default" w:ascii="方正仿宋_GB2312" w:hAnsi="方正仿宋_GB2312" w:eastAsia="方正仿宋_GB2312" w:cs="方正仿宋_GB2312"/>
          <w:color w:val="0000FF"/>
          <w:lang w:val="en-US" w:eastAsia="zh-CN"/>
        </w:rPr>
        <w:t>​</w:t>
      </w:r>
      <w:r>
        <w:rPr>
          <w:rFonts w:hint="default" w:ascii="方正仿宋_GB2312" w:hAnsi="方正仿宋_GB2312" w:eastAsia="方正仿宋_GB2312" w:cs="方正仿宋_GB2312"/>
          <w:b/>
          <w:bCs/>
          <w:color w:val="auto"/>
          <w:lang w:val="en-US" w:eastAsia="zh-CN"/>
        </w:rPr>
        <w:t>战略重心：</w:t>
      </w:r>
      <w:r>
        <w:rPr>
          <w:rFonts w:hint="default" w:ascii="方正仿宋_GB2312" w:hAnsi="方正仿宋_GB2312" w:eastAsia="方正仿宋_GB2312" w:cs="方正仿宋_GB2312"/>
          <w:b w:val="0"/>
          <w:bCs w:val="0"/>
          <w:color w:val="auto"/>
          <w:lang w:val="en-US" w:eastAsia="zh-CN"/>
        </w:rPr>
        <w:t>根据公开信息，企业近年来聚焦电子特种气体领域，尤其是半导体、医疗等高附加值市场。新建的“年产22139吨电子特种气体项目”是核心战略载体，覆盖合成、纯化、分装、混配全链条，显示其向高端气体国产化替代迈进的决心。</w:t>
      </w:r>
    </w:p>
    <w:p w14:paraId="7400CB36">
      <w:pPr>
        <w:pStyle w:val="5"/>
        <w:numPr>
          <w:ilvl w:val="0"/>
          <w:numId w:val="0"/>
        </w:numPr>
        <w:autoSpaceDE w:val="0"/>
        <w:spacing w:line="240" w:lineRule="atLeast"/>
        <w:ind w:left="420" w:leftChars="0"/>
        <w:rPr>
          <w:rFonts w:hint="default" w:ascii="方正仿宋_GB2312" w:hAnsi="方正仿宋_GB2312" w:eastAsia="方正仿宋_GB2312" w:cs="方正仿宋_GB2312"/>
          <w:b w:val="0"/>
          <w:bCs w:val="0"/>
          <w:color w:val="auto"/>
          <w:lang w:val="en-US" w:eastAsia="zh-CN"/>
        </w:rPr>
      </w:pPr>
      <w:r>
        <w:rPr>
          <w:rFonts w:hint="default" w:ascii="方正仿宋_GB2312" w:hAnsi="方正仿宋_GB2312" w:eastAsia="方正仿宋_GB2312" w:cs="方正仿宋_GB2312"/>
          <w:b w:val="0"/>
          <w:bCs w:val="0"/>
          <w:color w:val="auto"/>
          <w:lang w:val="en-US" w:eastAsia="zh-CN"/>
        </w:rPr>
        <w:t>​</w:t>
      </w:r>
      <w:r>
        <w:rPr>
          <w:rFonts w:hint="default" w:ascii="方正仿宋_GB2312" w:hAnsi="方正仿宋_GB2312" w:eastAsia="方正仿宋_GB2312" w:cs="方正仿宋_GB2312"/>
          <w:b/>
          <w:bCs/>
          <w:color w:val="auto"/>
          <w:lang w:val="en-US" w:eastAsia="zh-CN"/>
        </w:rPr>
        <w:t>产能布局与技术升级：</w:t>
      </w:r>
    </w:p>
    <w:p w14:paraId="653FCFAC">
      <w:pPr>
        <w:pStyle w:val="5"/>
        <w:numPr>
          <w:ilvl w:val="0"/>
          <w:numId w:val="0"/>
        </w:numPr>
        <w:autoSpaceDE w:val="0"/>
        <w:spacing w:line="240" w:lineRule="atLeast"/>
        <w:ind w:left="420" w:leftChars="0"/>
        <w:rPr>
          <w:rFonts w:hint="default" w:ascii="方正仿宋_GB2312" w:hAnsi="方正仿宋_GB2312" w:eastAsia="方正仿宋_GB2312" w:cs="方正仿宋_GB2312"/>
          <w:b w:val="0"/>
          <w:bCs w:val="0"/>
          <w:color w:val="auto"/>
          <w:lang w:val="en-US" w:eastAsia="zh-CN"/>
        </w:rPr>
      </w:pPr>
      <w:r>
        <w:rPr>
          <w:rFonts w:hint="default" w:ascii="方正仿宋_GB2312" w:hAnsi="方正仿宋_GB2312" w:eastAsia="方正仿宋_GB2312" w:cs="方正仿宋_GB2312"/>
          <w:b w:val="0"/>
          <w:bCs w:val="0"/>
          <w:color w:val="auto"/>
          <w:lang w:val="en-US" w:eastAsia="zh-CN"/>
        </w:rPr>
        <w:t>​一期建设​（2024年启动）：以分装、纯化、混配为主，包括770吨/年电子气体分装装置、18916吨/年纯化装置等，副产液氨、氨水等工业级产品。此阶段侧重快速释放产能，满足下游客户基础需求。</w:t>
      </w:r>
    </w:p>
    <w:p w14:paraId="7AADD7A8">
      <w:pPr>
        <w:pStyle w:val="5"/>
        <w:numPr>
          <w:ilvl w:val="0"/>
          <w:numId w:val="0"/>
        </w:numPr>
        <w:autoSpaceDE w:val="0"/>
        <w:spacing w:line="240" w:lineRule="atLeast"/>
        <w:ind w:left="420" w:leftChars="0"/>
        <w:rPr>
          <w:rFonts w:hint="default" w:ascii="方正仿宋_GB2312" w:hAnsi="方正仿宋_GB2312" w:eastAsia="方正仿宋_GB2312" w:cs="方正仿宋_GB2312"/>
          <w:b w:val="0"/>
          <w:bCs w:val="0"/>
          <w:color w:val="auto"/>
          <w:lang w:val="en-US" w:eastAsia="zh-CN"/>
        </w:rPr>
      </w:pPr>
      <w:r>
        <w:rPr>
          <w:rFonts w:hint="default" w:ascii="方正仿宋_GB2312" w:hAnsi="方正仿宋_GB2312" w:eastAsia="方正仿宋_GB2312" w:cs="方正仿宋_GB2312"/>
          <w:b w:val="0"/>
          <w:bCs w:val="0"/>
          <w:color w:val="auto"/>
          <w:lang w:val="en-US" w:eastAsia="zh-CN"/>
        </w:rPr>
        <w:t>​二期建设：新增700吨/年合成气体装置及1350吨/年纯化装置，副产三氟化硼等高纯度气体，体现从“加工分装”向“自主合成+深度纯化”的技术升级路径。</w:t>
      </w:r>
    </w:p>
    <w:p w14:paraId="11CF50AE">
      <w:pPr>
        <w:pStyle w:val="5"/>
        <w:numPr>
          <w:ilvl w:val="0"/>
          <w:numId w:val="0"/>
        </w:numPr>
        <w:autoSpaceDE w:val="0"/>
        <w:spacing w:line="240" w:lineRule="atLeast"/>
        <w:ind w:left="420" w:leftChars="0"/>
        <w:rPr>
          <w:rFonts w:hint="eastAsia" w:ascii="方正仿宋_GB2312" w:hAnsi="方正仿宋_GB2312" w:eastAsia="方正仿宋_GB2312" w:cs="方正仿宋_GB2312"/>
          <w:b w:val="0"/>
          <w:bCs w:val="0"/>
          <w:color w:val="auto"/>
          <w:lang w:val="en-US" w:eastAsia="zh-CN"/>
        </w:rPr>
      </w:pPr>
      <w:r>
        <w:rPr>
          <w:rFonts w:hint="default" w:ascii="方正仿宋_GB2312" w:hAnsi="方正仿宋_GB2312" w:eastAsia="方正仿宋_GB2312" w:cs="方正仿宋_GB2312"/>
          <w:b w:val="0"/>
          <w:bCs w:val="0"/>
          <w:color w:val="auto"/>
          <w:lang w:val="en-US" w:eastAsia="zh-CN"/>
        </w:rPr>
        <w:t>​</w:t>
      </w:r>
      <w:r>
        <w:rPr>
          <w:rFonts w:hint="default" w:ascii="方正仿宋_GB2312" w:hAnsi="方正仿宋_GB2312" w:eastAsia="方正仿宋_GB2312" w:cs="方正仿宋_GB2312"/>
          <w:b/>
          <w:bCs/>
          <w:color w:val="auto"/>
          <w:lang w:val="en-US" w:eastAsia="zh-CN"/>
        </w:rPr>
        <w:t>行业卡位：</w:t>
      </w:r>
      <w:r>
        <w:rPr>
          <w:rFonts w:hint="default" w:ascii="方正仿宋_GB2312" w:hAnsi="方正仿宋_GB2312" w:eastAsia="方正仿宋_GB2312" w:cs="方正仿宋_GB2312"/>
          <w:b w:val="0"/>
          <w:bCs w:val="0"/>
          <w:color w:val="auto"/>
          <w:lang w:val="en-US" w:eastAsia="zh-CN"/>
        </w:rPr>
        <w:t>项目建成后，电子气体产能将达22139吨/年，覆盖半导体制造所需的四氯化硅、氧化亚氮等关键材料，抢占国产替代窗口期</w:t>
      </w:r>
      <w:r>
        <w:rPr>
          <w:rFonts w:hint="eastAsia" w:ascii="方正仿宋_GB2312" w:hAnsi="方正仿宋_GB2312" w:eastAsia="方正仿宋_GB2312" w:cs="方正仿宋_GB2312"/>
          <w:b w:val="0"/>
          <w:bCs w:val="0"/>
          <w:color w:val="auto"/>
          <w:lang w:val="en-US" w:eastAsia="zh-CN"/>
        </w:rPr>
        <w:t>。</w:t>
      </w:r>
    </w:p>
    <w:p w14:paraId="3594F88D">
      <w:pPr>
        <w:pStyle w:val="5"/>
        <w:numPr>
          <w:ilvl w:val="0"/>
          <w:numId w:val="0"/>
        </w:numPr>
        <w:autoSpaceDE w:val="0"/>
        <w:spacing w:line="240" w:lineRule="atLeast"/>
        <w:ind w:left="420" w:leftChars="0"/>
        <w:rPr>
          <w:rFonts w:hint="default" w:ascii="方正仿宋_GB2312" w:hAnsi="方正仿宋_GB2312" w:eastAsia="方正仿宋_GB2312" w:cs="方正仿宋_GB2312"/>
          <w:b w:val="0"/>
          <w:bCs w:val="0"/>
          <w:color w:val="auto"/>
          <w:lang w:val="en-US" w:eastAsia="zh-CN"/>
        </w:rPr>
      </w:pPr>
    </w:p>
    <w:p w14:paraId="084844D8">
      <w:pPr>
        <w:pStyle w:val="5"/>
        <w:numPr>
          <w:ilvl w:val="0"/>
          <w:numId w:val="8"/>
        </w:numPr>
        <w:autoSpaceDE w:val="0"/>
        <w:spacing w:line="240" w:lineRule="atLeast"/>
        <w:ind w:left="845" w:leftChars="0" w:hanging="425" w:firstLineChars="0"/>
        <w:rPr>
          <w:rFonts w:hint="default" w:ascii="方正仿宋_GB2312" w:hAnsi="方正仿宋_GB2312" w:eastAsia="方正仿宋_GB2312" w:cs="方正仿宋_GB2312"/>
          <w:kern w:val="2"/>
          <w:sz w:val="21"/>
          <w:szCs w:val="24"/>
          <w:shd w:val="clear" w:color="auto" w:fill="FFFFFF"/>
          <w:lang w:val="en-US" w:eastAsia="zh-CN" w:bidi="ar-SA"/>
        </w:rPr>
      </w:pPr>
      <w:r>
        <w:rPr>
          <w:rFonts w:hint="eastAsia" w:ascii="方正仿宋_GB2312" w:hAnsi="方正仿宋_GB2312" w:eastAsia="方正仿宋_GB2312" w:cs="方正仿宋_GB2312"/>
          <w:kern w:val="2"/>
          <w:sz w:val="21"/>
          <w:szCs w:val="24"/>
          <w:shd w:val="clear" w:color="auto" w:fill="FFFFFF"/>
          <w:lang w:val="en-US" w:eastAsia="zh-CN" w:bidi="ar-SA"/>
        </w:rPr>
        <w:t>聊核心技术与产品竞争力</w:t>
      </w:r>
    </w:p>
    <w:p w14:paraId="7B746A20">
      <w:pPr>
        <w:keepNext w:val="0"/>
        <w:keepLines w:val="0"/>
        <w:widowControl/>
        <w:suppressLineNumbers w:val="0"/>
        <w:ind w:firstLine="420" w:firstLineChars="0"/>
        <w:jc w:val="left"/>
        <w:rPr>
          <w:rFonts w:hint="eastAsia" w:ascii="方正仿宋_GB2312" w:hAnsi="方正仿宋_GB2312" w:eastAsia="方正仿宋_GB2312" w:cs="方正仿宋_GB2312"/>
          <w:color w:val="0000FF"/>
          <w:kern w:val="2"/>
          <w:sz w:val="21"/>
          <w:szCs w:val="24"/>
          <w:lang w:val="en-US" w:eastAsia="zh-CN" w:bidi="ar-SA"/>
        </w:rPr>
      </w:pPr>
      <w:r>
        <w:rPr>
          <w:rFonts w:hint="eastAsia" w:ascii="方正仿宋_GB2312" w:hAnsi="方正仿宋_GB2312" w:eastAsia="方正仿宋_GB2312" w:cs="方正仿宋_GB2312"/>
          <w:color w:val="0000FF"/>
          <w:kern w:val="2"/>
          <w:sz w:val="21"/>
          <w:szCs w:val="24"/>
          <w:lang w:val="en-US" w:eastAsia="zh-CN" w:bidi="ar-SA"/>
        </w:rPr>
        <w:t>电子气体纯化、合成技术的壁垒如何？企业在该领域的专利布局及研发投入占比是否形</w:t>
      </w:r>
      <w:r>
        <w:rPr>
          <w:rFonts w:hint="eastAsia" w:ascii="方正仿宋_GB2312" w:hAnsi="方正仿宋_GB2312" w:eastAsia="方正仿宋_GB2312" w:cs="方正仿宋_GB2312"/>
          <w:color w:val="0000FF"/>
          <w:kern w:val="2"/>
          <w:sz w:val="21"/>
          <w:szCs w:val="24"/>
          <w:lang w:val="en-US" w:eastAsia="zh-CN" w:bidi="ar-SA"/>
        </w:rPr>
        <w:tab/>
      </w:r>
      <w:r>
        <w:rPr>
          <w:rFonts w:hint="eastAsia" w:ascii="方正仿宋_GB2312" w:hAnsi="方正仿宋_GB2312" w:eastAsia="方正仿宋_GB2312" w:cs="方正仿宋_GB2312"/>
          <w:color w:val="0000FF"/>
          <w:kern w:val="2"/>
          <w:sz w:val="21"/>
          <w:szCs w:val="24"/>
          <w:lang w:val="en-US" w:eastAsia="zh-CN" w:bidi="ar-SA"/>
        </w:rPr>
        <w:t>成护城河？</w:t>
      </w:r>
    </w:p>
    <w:p w14:paraId="731B0CB8">
      <w:pPr>
        <w:keepNext w:val="0"/>
        <w:keepLines w:val="0"/>
        <w:widowControl/>
        <w:suppressLineNumbers w:val="0"/>
        <w:ind w:firstLine="420" w:firstLineChars="0"/>
        <w:jc w:val="left"/>
        <w:rPr>
          <w:rFonts w:hint="eastAsia" w:ascii="方正仿宋_GB2312" w:hAnsi="方正仿宋_GB2312" w:eastAsia="方正仿宋_GB2312" w:cs="方正仿宋_GB2312"/>
          <w:b/>
          <w:bCs/>
          <w:color w:val="auto"/>
          <w:kern w:val="2"/>
          <w:sz w:val="21"/>
          <w:szCs w:val="24"/>
          <w:lang w:val="en-US" w:eastAsia="zh-CN" w:bidi="ar-SA"/>
        </w:rPr>
      </w:pPr>
      <w:r>
        <w:rPr>
          <w:rFonts w:hint="eastAsia" w:ascii="方正仿宋_GB2312" w:hAnsi="方正仿宋_GB2312" w:eastAsia="方正仿宋_GB2312" w:cs="方正仿宋_GB2312"/>
          <w:b/>
          <w:bCs/>
          <w:color w:val="0000FF"/>
          <w:kern w:val="2"/>
          <w:sz w:val="21"/>
          <w:szCs w:val="24"/>
          <w:lang w:val="en-US" w:eastAsia="zh-CN" w:bidi="ar-SA"/>
        </w:rPr>
        <w:t>​</w:t>
      </w:r>
      <w:r>
        <w:rPr>
          <w:rFonts w:hint="eastAsia" w:ascii="方正仿宋_GB2312" w:hAnsi="方正仿宋_GB2312" w:eastAsia="方正仿宋_GB2312" w:cs="方正仿宋_GB2312"/>
          <w:b/>
          <w:bCs/>
          <w:color w:val="auto"/>
          <w:kern w:val="2"/>
          <w:sz w:val="21"/>
          <w:szCs w:val="24"/>
          <w:lang w:val="en-US" w:eastAsia="zh-CN" w:bidi="ar-SA"/>
        </w:rPr>
        <w:t>技术壁垒：</w:t>
      </w:r>
    </w:p>
    <w:p w14:paraId="03637033">
      <w:pPr>
        <w:keepNext w:val="0"/>
        <w:keepLines w:val="0"/>
        <w:widowControl/>
        <w:suppressLineNumbers w:val="0"/>
        <w:ind w:firstLine="420" w:firstLineChars="0"/>
        <w:jc w:val="left"/>
        <w:rPr>
          <w:rFonts w:hint="eastAsia" w:ascii="方正仿宋_GB2312" w:hAnsi="方正仿宋_GB2312" w:eastAsia="方正仿宋_GB2312" w:cs="方正仿宋_GB2312"/>
          <w:b w:val="0"/>
          <w:bCs w:val="0"/>
          <w:color w:val="auto"/>
          <w:kern w:val="2"/>
          <w:sz w:val="21"/>
          <w:szCs w:val="24"/>
          <w:lang w:val="en-US" w:eastAsia="zh-CN" w:bidi="ar-SA"/>
        </w:rPr>
      </w:pPr>
      <w:r>
        <w:rPr>
          <w:rFonts w:hint="eastAsia" w:ascii="方正仿宋_GB2312" w:hAnsi="方正仿宋_GB2312" w:eastAsia="方正仿宋_GB2312" w:cs="方正仿宋_GB2312"/>
          <w:b w:val="0"/>
          <w:bCs w:val="0"/>
          <w:color w:val="auto"/>
          <w:kern w:val="2"/>
          <w:sz w:val="21"/>
          <w:szCs w:val="24"/>
          <w:lang w:val="en-US" w:eastAsia="zh-CN" w:bidi="ar-SA"/>
        </w:rPr>
        <w:t>​纯化技术：电子气体纯度需达到6N（99.9999%）以上，涉及吸附、精馏、膜分离等工</w:t>
      </w:r>
      <w:r>
        <w:rPr>
          <w:rFonts w:hint="eastAsia" w:ascii="方正仿宋_GB2312" w:hAnsi="方正仿宋_GB2312" w:eastAsia="方正仿宋_GB2312" w:cs="方正仿宋_GB2312"/>
          <w:b w:val="0"/>
          <w:bCs w:val="0"/>
          <w:color w:val="auto"/>
          <w:kern w:val="2"/>
          <w:sz w:val="21"/>
          <w:szCs w:val="24"/>
          <w:lang w:val="en-US" w:eastAsia="zh-CN" w:bidi="ar-SA"/>
        </w:rPr>
        <w:tab/>
      </w:r>
      <w:r>
        <w:rPr>
          <w:rFonts w:hint="eastAsia" w:ascii="方正仿宋_GB2312" w:hAnsi="方正仿宋_GB2312" w:eastAsia="方正仿宋_GB2312" w:cs="方正仿宋_GB2312"/>
          <w:b w:val="0"/>
          <w:bCs w:val="0"/>
          <w:color w:val="auto"/>
          <w:kern w:val="2"/>
          <w:sz w:val="21"/>
          <w:szCs w:val="24"/>
          <w:lang w:val="en-US" w:eastAsia="zh-CN" w:bidi="ar-SA"/>
        </w:rPr>
        <w:t>艺。例如，四氯化硅纯化需去除痕量金属杂质，直接影响半导体器件良率。</w:t>
      </w:r>
    </w:p>
    <w:p w14:paraId="750D61A8">
      <w:pPr>
        <w:keepNext w:val="0"/>
        <w:keepLines w:val="0"/>
        <w:widowControl/>
        <w:suppressLineNumbers w:val="0"/>
        <w:ind w:firstLine="420" w:firstLineChars="0"/>
        <w:jc w:val="left"/>
        <w:rPr>
          <w:rFonts w:hint="eastAsia" w:ascii="方正仿宋_GB2312" w:hAnsi="方正仿宋_GB2312" w:eastAsia="方正仿宋_GB2312" w:cs="方正仿宋_GB2312"/>
          <w:b w:val="0"/>
          <w:bCs w:val="0"/>
          <w:color w:val="auto"/>
          <w:kern w:val="2"/>
          <w:sz w:val="21"/>
          <w:szCs w:val="24"/>
          <w:lang w:val="en-US" w:eastAsia="zh-CN" w:bidi="ar-SA"/>
        </w:rPr>
      </w:pPr>
      <w:r>
        <w:rPr>
          <w:rFonts w:hint="eastAsia" w:ascii="方正仿宋_GB2312" w:hAnsi="方正仿宋_GB2312" w:eastAsia="方正仿宋_GB2312" w:cs="方正仿宋_GB2312"/>
          <w:b w:val="0"/>
          <w:bCs w:val="0"/>
          <w:color w:val="auto"/>
          <w:kern w:val="2"/>
          <w:sz w:val="21"/>
          <w:szCs w:val="24"/>
          <w:lang w:val="en-US" w:eastAsia="zh-CN" w:bidi="ar-SA"/>
        </w:rPr>
        <w:t>​合成技术：二期规划的700吨/年合成装置可能涉及高难度反应（如三氟化硼合成），</w:t>
      </w:r>
      <w:r>
        <w:rPr>
          <w:rFonts w:hint="eastAsia" w:ascii="方正仿宋_GB2312" w:hAnsi="方正仿宋_GB2312" w:eastAsia="方正仿宋_GB2312" w:cs="方正仿宋_GB2312"/>
          <w:b w:val="0"/>
          <w:bCs w:val="0"/>
          <w:color w:val="auto"/>
          <w:kern w:val="2"/>
          <w:sz w:val="21"/>
          <w:szCs w:val="24"/>
          <w:lang w:val="en-US" w:eastAsia="zh-CN" w:bidi="ar-SA"/>
        </w:rPr>
        <w:tab/>
      </w:r>
      <w:r>
        <w:rPr>
          <w:rFonts w:hint="eastAsia" w:ascii="方正仿宋_GB2312" w:hAnsi="方正仿宋_GB2312" w:eastAsia="方正仿宋_GB2312" w:cs="方正仿宋_GB2312"/>
          <w:b w:val="0"/>
          <w:bCs w:val="0"/>
          <w:color w:val="auto"/>
          <w:kern w:val="2"/>
          <w:sz w:val="21"/>
          <w:szCs w:val="24"/>
          <w:lang w:val="en-US" w:eastAsia="zh-CN" w:bidi="ar-SA"/>
        </w:rPr>
        <w:t>需精准控制温度、压力及催化剂活性。</w:t>
      </w:r>
    </w:p>
    <w:p w14:paraId="1E880404">
      <w:pPr>
        <w:keepNext w:val="0"/>
        <w:keepLines w:val="0"/>
        <w:widowControl/>
        <w:suppressLineNumbers w:val="0"/>
        <w:ind w:firstLine="632" w:firstLineChars="300"/>
        <w:jc w:val="left"/>
        <w:rPr>
          <w:rFonts w:hint="eastAsia" w:ascii="方正仿宋_GB2312" w:hAnsi="方正仿宋_GB2312" w:eastAsia="方正仿宋_GB2312" w:cs="方正仿宋_GB2312"/>
          <w:b/>
          <w:bCs/>
          <w:color w:val="auto"/>
          <w:kern w:val="2"/>
          <w:sz w:val="21"/>
          <w:szCs w:val="24"/>
          <w:lang w:val="en-US" w:eastAsia="zh-CN" w:bidi="ar-SA"/>
        </w:rPr>
      </w:pPr>
      <w:r>
        <w:rPr>
          <w:rFonts w:hint="eastAsia" w:ascii="方正仿宋_GB2312" w:hAnsi="方正仿宋_GB2312" w:eastAsia="方正仿宋_GB2312" w:cs="方正仿宋_GB2312"/>
          <w:b/>
          <w:bCs/>
          <w:color w:val="auto"/>
          <w:kern w:val="2"/>
          <w:sz w:val="21"/>
          <w:szCs w:val="24"/>
          <w:lang w:val="en-US" w:eastAsia="zh-CN" w:bidi="ar-SA"/>
        </w:rPr>
        <w:t>研发与专利：</w:t>
      </w:r>
    </w:p>
    <w:p w14:paraId="7CF7FC61">
      <w:pPr>
        <w:pStyle w:val="5"/>
        <w:numPr>
          <w:ilvl w:val="0"/>
          <w:numId w:val="9"/>
        </w:numPr>
        <w:autoSpaceDE w:val="0"/>
        <w:spacing w:line="240" w:lineRule="atLeast"/>
        <w:ind w:left="1265" w:leftChars="0" w:hanging="425" w:firstLineChars="0"/>
        <w:rPr>
          <w:rFonts w:hint="eastAsia" w:ascii="方正仿宋_GB2312" w:hAnsi="方正仿宋_GB2312" w:eastAsia="方正仿宋_GB2312" w:cs="方正仿宋_GB2312"/>
          <w:b/>
          <w:bCs/>
          <w:color w:val="auto"/>
          <w:kern w:val="2"/>
          <w:sz w:val="21"/>
          <w:szCs w:val="24"/>
          <w:lang w:val="en-US" w:eastAsia="zh-CN" w:bidi="ar-SA"/>
        </w:rPr>
      </w:pPr>
      <w:r>
        <w:rPr>
          <w:rFonts w:hint="eastAsia" w:ascii="方正仿宋_GB2312" w:hAnsi="方正仿宋_GB2312" w:eastAsia="方正仿宋_GB2312" w:cs="方正仿宋_GB2312"/>
          <w:b/>
          <w:bCs/>
          <w:color w:val="auto"/>
          <w:kern w:val="2"/>
          <w:sz w:val="21"/>
          <w:szCs w:val="24"/>
          <w:lang w:val="en-US" w:eastAsia="zh-CN" w:bidi="ar-SA"/>
        </w:rPr>
        <w:t>一种尾气高效吸附剂用活化设备（</w:t>
      </w:r>
      <w:r>
        <w:rPr>
          <w:rFonts w:hint="eastAsia" w:ascii="方正仿宋_GB2312" w:hAnsi="方正仿宋_GB2312" w:eastAsia="方正仿宋_GB2312" w:cs="方正仿宋_GB2312"/>
          <w:b w:val="0"/>
          <w:bCs w:val="0"/>
          <w:color w:val="auto"/>
          <w:kern w:val="2"/>
          <w:sz w:val="21"/>
          <w:szCs w:val="24"/>
          <w:lang w:val="en-US" w:eastAsia="zh-CN" w:bidi="ar-SA"/>
        </w:rPr>
        <w:t>CN222469087U）：</w:t>
      </w:r>
      <w:r>
        <w:rPr>
          <w:rFonts w:hint="eastAsia" w:ascii="方正仿宋_GB2312" w:hAnsi="方正仿宋_GB2312" w:eastAsia="方正仿宋_GB2312" w:cs="方正仿宋_GB2312"/>
          <w:b/>
          <w:bCs/>
          <w:color w:val="auto"/>
          <w:kern w:val="2"/>
          <w:sz w:val="21"/>
          <w:szCs w:val="24"/>
          <w:lang w:val="en-US" w:eastAsia="zh-CN" w:bidi="ar-SA"/>
        </w:rPr>
        <w:t>涉及吸附剂技术领域，配合过滤装置就能够对尾气进行净化，防止环境污染和人类健康危害。</w:t>
      </w:r>
    </w:p>
    <w:p w14:paraId="706D2DF3">
      <w:pPr>
        <w:pStyle w:val="5"/>
        <w:numPr>
          <w:ilvl w:val="0"/>
          <w:numId w:val="0"/>
        </w:numPr>
        <w:autoSpaceDE w:val="0"/>
        <w:spacing w:line="240" w:lineRule="atLeast"/>
        <w:ind w:left="840" w:leftChars="0"/>
        <w:rPr>
          <w:rFonts w:hint="eastAsia" w:ascii="方正仿宋_GB2312" w:hAnsi="方正仿宋_GB2312" w:eastAsia="方正仿宋_GB2312" w:cs="方正仿宋_GB2312"/>
          <w:b/>
          <w:bCs/>
          <w:color w:val="auto"/>
          <w:kern w:val="2"/>
          <w:sz w:val="21"/>
          <w:szCs w:val="24"/>
          <w:lang w:val="en-US" w:eastAsia="zh-CN" w:bidi="ar-SA"/>
        </w:rPr>
      </w:pPr>
      <w:r>
        <w:drawing>
          <wp:inline distT="0" distB="0" distL="114300" distR="114300">
            <wp:extent cx="1468755" cy="2335530"/>
            <wp:effectExtent l="0" t="0" r="4445"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a:stretch>
                      <a:fillRect/>
                    </a:stretch>
                  </pic:blipFill>
                  <pic:spPr>
                    <a:xfrm>
                      <a:off x="0" y="0"/>
                      <a:ext cx="1468755" cy="2335530"/>
                    </a:xfrm>
                    <a:prstGeom prst="rect">
                      <a:avLst/>
                    </a:prstGeom>
                    <a:noFill/>
                    <a:ln>
                      <a:noFill/>
                    </a:ln>
                  </pic:spPr>
                </pic:pic>
              </a:graphicData>
            </a:graphic>
          </wp:inline>
        </w:drawing>
      </w:r>
    </w:p>
    <w:p w14:paraId="196D8F04">
      <w:pPr>
        <w:pStyle w:val="5"/>
        <w:numPr>
          <w:ilvl w:val="0"/>
          <w:numId w:val="9"/>
        </w:numPr>
        <w:autoSpaceDE w:val="0"/>
        <w:spacing w:line="240" w:lineRule="atLeast"/>
        <w:ind w:left="1265" w:leftChars="0" w:hanging="425" w:firstLineChars="0"/>
        <w:rPr>
          <w:rFonts w:hint="eastAsia" w:ascii="方正仿宋_GB2312" w:hAnsi="方正仿宋_GB2312" w:eastAsia="方正仿宋_GB2312" w:cs="方正仿宋_GB2312"/>
          <w:b/>
          <w:bCs/>
          <w:color w:val="auto"/>
          <w:kern w:val="2"/>
          <w:sz w:val="21"/>
          <w:szCs w:val="24"/>
          <w:lang w:val="en-US" w:eastAsia="zh-CN" w:bidi="ar-SA"/>
        </w:rPr>
      </w:pPr>
      <w:r>
        <w:rPr>
          <w:rFonts w:hint="eastAsia" w:ascii="方正仿宋_GB2312" w:hAnsi="方正仿宋_GB2312" w:eastAsia="方正仿宋_GB2312" w:cs="方正仿宋_GB2312"/>
          <w:b/>
          <w:bCs/>
          <w:color w:val="auto"/>
          <w:kern w:val="2"/>
          <w:sz w:val="21"/>
          <w:szCs w:val="24"/>
          <w:lang w:val="en-US" w:eastAsia="zh-CN" w:bidi="ar-SA"/>
        </w:rPr>
        <w:t>一种方便安装和拆卸的气体流量检测装置（</w:t>
      </w:r>
      <w:r>
        <w:rPr>
          <w:rFonts w:hint="eastAsia" w:ascii="方正仿宋_GB2312" w:hAnsi="方正仿宋_GB2312" w:eastAsia="方正仿宋_GB2312" w:cs="方正仿宋_GB2312"/>
          <w:b w:val="0"/>
          <w:bCs w:val="0"/>
          <w:color w:val="auto"/>
          <w:kern w:val="2"/>
          <w:sz w:val="21"/>
          <w:szCs w:val="24"/>
          <w:lang w:val="en-US" w:eastAsia="zh-CN" w:bidi="ar-SA"/>
        </w:rPr>
        <w:t>CN222336458U）</w:t>
      </w:r>
      <w:r>
        <w:rPr>
          <w:rFonts w:hint="eastAsia" w:ascii="方正仿宋_GB2312" w:hAnsi="方正仿宋_GB2312" w:eastAsia="方正仿宋_GB2312" w:cs="方正仿宋_GB2312"/>
          <w:b/>
          <w:bCs/>
          <w:color w:val="auto"/>
          <w:kern w:val="2"/>
          <w:sz w:val="21"/>
          <w:szCs w:val="24"/>
          <w:lang w:val="en-US" w:eastAsia="zh-CN" w:bidi="ar-SA"/>
        </w:rPr>
        <w:t>：涉及气体流量检测技术领域，本实用新型通过卡接的形式，来解决传统的气体流量检测阀主体拆装不便的问题。</w:t>
      </w:r>
    </w:p>
    <w:p w14:paraId="05E079A8">
      <w:pPr>
        <w:keepNext w:val="0"/>
        <w:keepLines w:val="0"/>
        <w:widowControl/>
        <w:suppressLineNumbers w:val="0"/>
        <w:jc w:val="left"/>
      </w:pPr>
    </w:p>
    <w:p w14:paraId="081DAC2A">
      <w:pPr>
        <w:keepNext w:val="0"/>
        <w:keepLines w:val="0"/>
        <w:widowControl/>
        <w:suppressLineNumbers w:val="0"/>
        <w:ind w:left="420" w:leftChars="0" w:firstLine="420" w:firstLineChars="0"/>
        <w:jc w:val="left"/>
        <w:rPr>
          <w:rFonts w:hint="default" w:ascii="方正仿宋_GB2312" w:hAnsi="方正仿宋_GB2312" w:eastAsia="方正仿宋_GB2312" w:cs="方正仿宋_GB2312"/>
          <w:b/>
          <w:bCs/>
          <w:kern w:val="2"/>
          <w:sz w:val="21"/>
          <w:szCs w:val="24"/>
          <w:shd w:val="clear" w:color="auto" w:fill="FFFFFF"/>
          <w:lang w:val="en-US" w:eastAsia="zh-CN" w:bidi="ar-SA"/>
        </w:rPr>
      </w:pPr>
      <w:r>
        <w:drawing>
          <wp:inline distT="0" distB="0" distL="114300" distR="114300">
            <wp:extent cx="2261235" cy="2204720"/>
            <wp:effectExtent l="0" t="0" r="24765"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a:stretch>
                      <a:fillRect/>
                    </a:stretch>
                  </pic:blipFill>
                  <pic:spPr>
                    <a:xfrm>
                      <a:off x="0" y="0"/>
                      <a:ext cx="2261235" cy="2204720"/>
                    </a:xfrm>
                    <a:prstGeom prst="rect">
                      <a:avLst/>
                    </a:prstGeom>
                    <a:noFill/>
                    <a:ln>
                      <a:noFill/>
                    </a:ln>
                  </pic:spPr>
                </pic:pic>
              </a:graphicData>
            </a:graphic>
          </wp:inline>
        </w:drawing>
      </w:r>
    </w:p>
    <w:p w14:paraId="3B8B389D">
      <w:pPr>
        <w:pStyle w:val="5"/>
        <w:numPr>
          <w:ilvl w:val="0"/>
          <w:numId w:val="8"/>
        </w:numPr>
        <w:autoSpaceDE w:val="0"/>
        <w:spacing w:line="240" w:lineRule="atLeast"/>
        <w:ind w:left="845" w:leftChars="0" w:hanging="425" w:firstLineChars="0"/>
        <w:rPr>
          <w:rFonts w:hint="default" w:ascii="方正仿宋_GB2312" w:hAnsi="方正仿宋_GB2312" w:eastAsia="方正仿宋_GB2312" w:cs="方正仿宋_GB2312"/>
          <w:kern w:val="2"/>
          <w:sz w:val="21"/>
          <w:szCs w:val="24"/>
          <w:shd w:val="clear" w:color="auto" w:fill="FFFFFF"/>
          <w:lang w:val="en-US" w:eastAsia="zh-CN" w:bidi="ar-SA"/>
        </w:rPr>
      </w:pPr>
      <w:r>
        <w:rPr>
          <w:rFonts w:hint="eastAsia" w:ascii="方正仿宋_GB2312" w:hAnsi="方正仿宋_GB2312" w:eastAsia="方正仿宋_GB2312" w:cs="方正仿宋_GB2312"/>
          <w:kern w:val="2"/>
          <w:sz w:val="21"/>
          <w:szCs w:val="24"/>
          <w:shd w:val="clear" w:color="auto" w:fill="FFFFFF"/>
          <w:lang w:val="en-US" w:eastAsia="zh-CN" w:bidi="ar-SA"/>
        </w:rPr>
        <w:t>聊生产计划与供应链管理</w:t>
      </w:r>
    </w:p>
    <w:p w14:paraId="1307DC49">
      <w:pPr>
        <w:pStyle w:val="5"/>
        <w:numPr>
          <w:ilvl w:val="0"/>
          <w:numId w:val="0"/>
        </w:numPr>
        <w:autoSpaceDE w:val="0"/>
        <w:spacing w:line="240" w:lineRule="atLeast"/>
        <w:ind w:left="420" w:leftChars="0"/>
        <w:rPr>
          <w:rFonts w:hint="eastAsia" w:ascii="方正仿宋_GB2312" w:hAnsi="方正仿宋_GB2312" w:eastAsia="方正仿宋_GB2312" w:cs="方正仿宋_GB2312"/>
          <w:color w:val="0000FF"/>
          <w:kern w:val="2"/>
          <w:sz w:val="21"/>
          <w:szCs w:val="24"/>
          <w:lang w:val="en-US" w:eastAsia="zh-CN" w:bidi="ar-SA"/>
        </w:rPr>
      </w:pPr>
      <w:r>
        <w:rPr>
          <w:rFonts w:hint="eastAsia" w:ascii="方正仿宋_GB2312" w:hAnsi="方正仿宋_GB2312" w:eastAsia="方正仿宋_GB2312" w:cs="方正仿宋_GB2312"/>
          <w:color w:val="0000FF"/>
          <w:kern w:val="2"/>
          <w:sz w:val="21"/>
          <w:szCs w:val="24"/>
          <w:lang w:val="en-US" w:eastAsia="zh-CN" w:bidi="ar-SA"/>
        </w:rPr>
        <w:t>项目一期产能中，200吨四氯化硅分装装置为何被纳入二期纯化环节？这是否反映原材料供应链或客户需求变化？</w:t>
      </w:r>
    </w:p>
    <w:p w14:paraId="5615F2D7">
      <w:pPr>
        <w:pStyle w:val="5"/>
        <w:numPr>
          <w:ilvl w:val="0"/>
          <w:numId w:val="0"/>
        </w:numPr>
        <w:autoSpaceDE w:val="0"/>
        <w:spacing w:line="240" w:lineRule="atLeast"/>
        <w:ind w:left="420" w:leftChars="0"/>
        <w:rPr>
          <w:rFonts w:hint="default" w:ascii="方正仿宋_GB2312" w:hAnsi="方正仿宋_GB2312" w:eastAsia="方正仿宋_GB2312" w:cs="方正仿宋_GB2312"/>
          <w:kern w:val="2"/>
          <w:sz w:val="21"/>
          <w:szCs w:val="24"/>
          <w:shd w:val="clear" w:color="auto" w:fill="FFFFFF"/>
          <w:lang w:val="en-US" w:eastAsia="zh-CN" w:bidi="ar-SA"/>
        </w:rPr>
      </w:pPr>
      <w:r>
        <w:rPr>
          <w:rFonts w:hint="default" w:ascii="方正仿宋_GB2312" w:hAnsi="方正仿宋_GB2312" w:eastAsia="方正仿宋_GB2312" w:cs="方正仿宋_GB2312"/>
          <w:b/>
          <w:bCs/>
          <w:kern w:val="2"/>
          <w:sz w:val="21"/>
          <w:szCs w:val="24"/>
          <w:shd w:val="clear" w:color="auto" w:fill="FFFFFF"/>
          <w:lang w:val="en-US" w:eastAsia="zh-CN" w:bidi="ar-SA"/>
        </w:rPr>
        <w:t>产能调整逻辑：</w:t>
      </w:r>
      <w:r>
        <w:rPr>
          <w:rFonts w:hint="default" w:ascii="方正仿宋_GB2312" w:hAnsi="方正仿宋_GB2312" w:eastAsia="方正仿宋_GB2312" w:cs="方正仿宋_GB2312"/>
          <w:kern w:val="2"/>
          <w:sz w:val="21"/>
          <w:szCs w:val="24"/>
          <w:shd w:val="clear" w:color="auto" w:fill="FFFFFF"/>
          <w:lang w:val="en-US" w:eastAsia="zh-CN" w:bidi="ar-SA"/>
        </w:rPr>
        <w:t>一期原计划分装200吨四氯化硅，但调整为二期纯化环节，可能原因包括：</w:t>
      </w:r>
    </w:p>
    <w:p w14:paraId="301DC73E">
      <w:pPr>
        <w:pStyle w:val="5"/>
        <w:numPr>
          <w:ilvl w:val="0"/>
          <w:numId w:val="10"/>
        </w:numPr>
        <w:autoSpaceDE w:val="0"/>
        <w:spacing w:line="240" w:lineRule="atLeast"/>
        <w:ind w:left="845" w:leftChars="0" w:hanging="425" w:firstLineChars="0"/>
        <w:rPr>
          <w:rFonts w:hint="default" w:ascii="方正仿宋_GB2312" w:hAnsi="方正仿宋_GB2312" w:eastAsia="方正仿宋_GB2312" w:cs="方正仿宋_GB2312"/>
          <w:kern w:val="2"/>
          <w:sz w:val="21"/>
          <w:szCs w:val="24"/>
          <w:shd w:val="clear" w:color="auto" w:fill="FFFFFF"/>
          <w:lang w:val="en-US" w:eastAsia="zh-CN" w:bidi="ar-SA"/>
        </w:rPr>
      </w:pPr>
      <w:r>
        <w:rPr>
          <w:rFonts w:hint="default" w:ascii="方正仿宋_GB2312" w:hAnsi="方正仿宋_GB2312" w:eastAsia="方正仿宋_GB2312" w:cs="方正仿宋_GB2312"/>
          <w:kern w:val="2"/>
          <w:sz w:val="21"/>
          <w:szCs w:val="24"/>
          <w:shd w:val="clear" w:color="auto" w:fill="FFFFFF"/>
          <w:lang w:val="en-US" w:eastAsia="zh-CN" w:bidi="ar-SA"/>
        </w:rPr>
        <w:t>供应链优化：四氯化硅作为硅外延片关键原料，纯度要求极高（需达到电子级），企业可能需先建立纯化能力以确保原料质量</w:t>
      </w:r>
    </w:p>
    <w:p w14:paraId="229A89F4">
      <w:pPr>
        <w:pStyle w:val="5"/>
        <w:numPr>
          <w:ilvl w:val="0"/>
          <w:numId w:val="10"/>
        </w:numPr>
        <w:autoSpaceDE w:val="0"/>
        <w:spacing w:line="240" w:lineRule="atLeast"/>
        <w:ind w:left="845" w:leftChars="0" w:hanging="425" w:firstLineChars="0"/>
        <w:rPr>
          <w:rFonts w:hint="default" w:ascii="方正仿宋_GB2312" w:hAnsi="方正仿宋_GB2312" w:eastAsia="方正仿宋_GB2312" w:cs="方正仿宋_GB2312"/>
          <w:kern w:val="2"/>
          <w:sz w:val="21"/>
          <w:szCs w:val="24"/>
          <w:shd w:val="clear" w:color="auto" w:fill="FFFFFF"/>
          <w:lang w:val="en-US" w:eastAsia="zh-CN" w:bidi="ar-SA"/>
        </w:rPr>
      </w:pPr>
      <w:r>
        <w:rPr>
          <w:rFonts w:hint="default" w:ascii="方正仿宋_GB2312" w:hAnsi="方正仿宋_GB2312" w:eastAsia="方正仿宋_GB2312" w:cs="方正仿宋_GB2312"/>
          <w:kern w:val="2"/>
          <w:sz w:val="21"/>
          <w:szCs w:val="24"/>
          <w:shd w:val="clear" w:color="auto" w:fill="FFFFFF"/>
          <w:lang w:val="en-US" w:eastAsia="zh-CN" w:bidi="ar-SA"/>
        </w:rPr>
        <w:t>客户需求前置：半导体厂商倾向于采购纯化后的成品，分装环节附加值较低，调整后可直接提供高附加值产品</w:t>
      </w:r>
    </w:p>
    <w:p w14:paraId="724A8646">
      <w:pPr>
        <w:pStyle w:val="5"/>
        <w:numPr>
          <w:ilvl w:val="0"/>
          <w:numId w:val="0"/>
        </w:numPr>
        <w:autoSpaceDE w:val="0"/>
        <w:spacing w:line="240" w:lineRule="atLeast"/>
        <w:ind w:left="420" w:leftChars="0"/>
        <w:rPr>
          <w:rFonts w:hint="default" w:ascii="方正仿宋_GB2312" w:hAnsi="方正仿宋_GB2312" w:eastAsia="方正仿宋_GB2312" w:cs="方正仿宋_GB2312"/>
          <w:kern w:val="2"/>
          <w:sz w:val="21"/>
          <w:szCs w:val="24"/>
          <w:shd w:val="clear" w:color="auto" w:fill="FFFFFF"/>
          <w:lang w:val="en-US" w:eastAsia="zh-CN" w:bidi="ar-SA"/>
        </w:rPr>
      </w:pPr>
      <w:r>
        <w:rPr>
          <w:rFonts w:hint="default" w:ascii="方正仿宋_GB2312" w:hAnsi="方正仿宋_GB2312" w:eastAsia="方正仿宋_GB2312" w:cs="方正仿宋_GB2312"/>
          <w:b/>
          <w:bCs/>
          <w:kern w:val="2"/>
          <w:sz w:val="21"/>
          <w:szCs w:val="24"/>
          <w:shd w:val="clear" w:color="auto" w:fill="FFFFFF"/>
          <w:lang w:val="en-US" w:eastAsia="zh-CN" w:bidi="ar-SA"/>
        </w:rPr>
        <w:t>供应链风险点：</w:t>
      </w:r>
      <w:r>
        <w:rPr>
          <w:rFonts w:hint="default" w:ascii="方正仿宋_GB2312" w:hAnsi="方正仿宋_GB2312" w:eastAsia="方正仿宋_GB2312" w:cs="方正仿宋_GB2312"/>
          <w:kern w:val="2"/>
          <w:sz w:val="21"/>
          <w:szCs w:val="24"/>
          <w:shd w:val="clear" w:color="auto" w:fill="FFFFFF"/>
          <w:lang w:val="en-US" w:eastAsia="zh-CN" w:bidi="ar-SA"/>
        </w:rPr>
        <w:t>需关注原材料（如工业级四氯化硅）供应稳定性，以及副产物（如液氨、氦气）的销售渠道是否畅通。</w:t>
      </w:r>
    </w:p>
    <w:p w14:paraId="35584C1E">
      <w:pPr>
        <w:pStyle w:val="5"/>
        <w:numPr>
          <w:ilvl w:val="0"/>
          <w:numId w:val="0"/>
        </w:numPr>
        <w:autoSpaceDE w:val="0"/>
        <w:spacing w:line="240" w:lineRule="atLeast"/>
        <w:ind w:left="420" w:leftChars="0"/>
        <w:rPr>
          <w:rFonts w:hint="default" w:ascii="方正仿宋_GB2312" w:hAnsi="方正仿宋_GB2312" w:eastAsia="方正仿宋_GB2312" w:cs="方正仿宋_GB2312"/>
          <w:color w:val="0000FF"/>
          <w:kern w:val="2"/>
          <w:sz w:val="21"/>
          <w:szCs w:val="24"/>
          <w:lang w:val="en-US" w:eastAsia="zh-CN" w:bidi="ar-SA"/>
        </w:rPr>
      </w:pPr>
    </w:p>
    <w:p w14:paraId="7E925231">
      <w:pPr>
        <w:pStyle w:val="5"/>
        <w:numPr>
          <w:ilvl w:val="0"/>
          <w:numId w:val="8"/>
        </w:numPr>
        <w:autoSpaceDE w:val="0"/>
        <w:spacing w:line="240" w:lineRule="atLeast"/>
        <w:ind w:left="845" w:leftChars="0" w:hanging="425" w:firstLineChars="0"/>
        <w:rPr>
          <w:rFonts w:hint="default" w:ascii="方正仿宋_GB2312" w:hAnsi="方正仿宋_GB2312" w:eastAsia="方正仿宋_GB2312" w:cs="方正仿宋_GB2312"/>
          <w:kern w:val="2"/>
          <w:sz w:val="21"/>
          <w:szCs w:val="24"/>
          <w:shd w:val="clear" w:color="auto" w:fill="FFFFFF"/>
          <w:lang w:val="en-US" w:eastAsia="zh-CN" w:bidi="ar-SA"/>
        </w:rPr>
      </w:pPr>
      <w:r>
        <w:rPr>
          <w:rFonts w:hint="eastAsia" w:ascii="方正仿宋_GB2312" w:hAnsi="方正仿宋_GB2312" w:eastAsia="方正仿宋_GB2312" w:cs="方正仿宋_GB2312"/>
          <w:kern w:val="2"/>
          <w:sz w:val="21"/>
          <w:szCs w:val="24"/>
          <w:shd w:val="clear" w:color="auto" w:fill="FFFFFF"/>
          <w:lang w:val="en-US" w:eastAsia="zh-CN" w:bidi="ar-SA"/>
        </w:rPr>
        <w:t>聊产品利润率与盈利模式</w:t>
      </w:r>
    </w:p>
    <w:p w14:paraId="4C1BED80">
      <w:pPr>
        <w:keepNext w:val="0"/>
        <w:keepLines w:val="0"/>
        <w:widowControl/>
        <w:suppressLineNumbers w:val="0"/>
        <w:ind w:firstLine="420" w:firstLineChars="0"/>
        <w:jc w:val="left"/>
        <w:rPr>
          <w:rFonts w:hint="default" w:ascii="方正仿宋_GB2312" w:hAnsi="方正仿宋_GB2312" w:eastAsia="方正仿宋_GB2312" w:cs="方正仿宋_GB2312"/>
          <w:kern w:val="2"/>
          <w:sz w:val="21"/>
          <w:szCs w:val="24"/>
          <w:shd w:val="clear" w:color="auto" w:fill="FFFFFF"/>
          <w:lang w:val="en-US" w:eastAsia="zh-CN" w:bidi="ar-SA"/>
        </w:rPr>
      </w:pPr>
      <w:r>
        <w:rPr>
          <w:rFonts w:hint="eastAsia" w:ascii="方正仿宋_GB2312" w:hAnsi="方正仿宋_GB2312" w:eastAsia="方正仿宋_GB2312" w:cs="方正仿宋_GB2312"/>
          <w:color w:val="0000FF"/>
          <w:kern w:val="2"/>
          <w:sz w:val="21"/>
          <w:szCs w:val="24"/>
          <w:lang w:val="en-US" w:eastAsia="zh-CN" w:bidi="ar-SA"/>
        </w:rPr>
        <w:t>电子特种气体与传统工业气体的利润率差异如何？企业如何通过产品组合优化提升盈</w:t>
      </w:r>
      <w:r>
        <w:rPr>
          <w:rFonts w:hint="eastAsia" w:ascii="方正仿宋_GB2312" w:hAnsi="方正仿宋_GB2312" w:eastAsia="方正仿宋_GB2312" w:cs="方正仿宋_GB2312"/>
          <w:color w:val="0000FF"/>
          <w:kern w:val="2"/>
          <w:sz w:val="21"/>
          <w:szCs w:val="24"/>
          <w:lang w:val="en-US" w:eastAsia="zh-CN" w:bidi="ar-SA"/>
        </w:rPr>
        <w:tab/>
      </w:r>
      <w:r>
        <w:rPr>
          <w:rFonts w:hint="eastAsia" w:ascii="方正仿宋_GB2312" w:hAnsi="方正仿宋_GB2312" w:eastAsia="方正仿宋_GB2312" w:cs="方正仿宋_GB2312"/>
          <w:color w:val="0000FF"/>
          <w:kern w:val="2"/>
          <w:sz w:val="21"/>
          <w:szCs w:val="24"/>
          <w:lang w:val="en-US" w:eastAsia="zh-CN" w:bidi="ar-SA"/>
        </w:rPr>
        <w:t>利水平？</w:t>
      </w:r>
      <w:r>
        <w:rPr>
          <w:rFonts w:hint="eastAsia" w:ascii="方正仿宋_GB2312" w:hAnsi="方正仿宋_GB2312" w:eastAsia="方正仿宋_GB2312" w:cs="方正仿宋_GB2312"/>
          <w:color w:val="0000FF"/>
          <w:kern w:val="2"/>
          <w:sz w:val="21"/>
          <w:szCs w:val="24"/>
          <w:lang w:val="en-US" w:eastAsia="zh-CN" w:bidi="ar-SA"/>
        </w:rPr>
        <w:tab/>
      </w:r>
    </w:p>
    <w:p w14:paraId="15EF257E">
      <w:pPr>
        <w:pStyle w:val="5"/>
        <w:numPr>
          <w:ilvl w:val="0"/>
          <w:numId w:val="0"/>
        </w:numPr>
        <w:autoSpaceDE w:val="0"/>
        <w:spacing w:line="240" w:lineRule="atLeast"/>
        <w:ind w:left="420" w:leftChars="0"/>
        <w:rPr>
          <w:rFonts w:hint="default" w:ascii="方正仿宋_GB2312" w:hAnsi="方正仿宋_GB2312" w:eastAsia="方正仿宋_GB2312" w:cs="方正仿宋_GB2312"/>
          <w:b/>
          <w:bCs/>
          <w:kern w:val="2"/>
          <w:sz w:val="21"/>
          <w:szCs w:val="24"/>
          <w:shd w:val="clear" w:color="auto" w:fill="FFFFFF"/>
          <w:lang w:val="en-US" w:eastAsia="zh-CN" w:bidi="ar-SA"/>
        </w:rPr>
      </w:pPr>
      <w:r>
        <w:rPr>
          <w:rFonts w:hint="default" w:ascii="方正仿宋_GB2312" w:hAnsi="方正仿宋_GB2312" w:eastAsia="方正仿宋_GB2312" w:cs="方正仿宋_GB2312"/>
          <w:b/>
          <w:bCs/>
          <w:kern w:val="2"/>
          <w:sz w:val="21"/>
          <w:szCs w:val="24"/>
          <w:shd w:val="clear" w:color="auto" w:fill="FFFFFF"/>
          <w:lang w:val="en-US" w:eastAsia="zh-CN" w:bidi="ar-SA"/>
        </w:rPr>
        <w:t>利润率对比：</w:t>
      </w:r>
    </w:p>
    <w:p w14:paraId="50B1188F">
      <w:pPr>
        <w:pStyle w:val="5"/>
        <w:numPr>
          <w:ilvl w:val="0"/>
          <w:numId w:val="11"/>
        </w:numPr>
        <w:autoSpaceDE w:val="0"/>
        <w:spacing w:line="240" w:lineRule="atLeast"/>
        <w:ind w:left="845" w:leftChars="0" w:hanging="425" w:firstLineChars="0"/>
        <w:rPr>
          <w:rFonts w:hint="default" w:ascii="方正仿宋_GB2312" w:hAnsi="方正仿宋_GB2312" w:eastAsia="方正仿宋_GB2312" w:cs="方正仿宋_GB2312"/>
          <w:kern w:val="2"/>
          <w:sz w:val="21"/>
          <w:szCs w:val="24"/>
          <w:shd w:val="clear" w:color="auto" w:fill="FFFFFF"/>
          <w:lang w:val="en-US" w:eastAsia="zh-CN" w:bidi="ar-SA"/>
        </w:rPr>
      </w:pPr>
      <w:r>
        <w:rPr>
          <w:rFonts w:hint="default" w:ascii="方正仿宋_GB2312" w:hAnsi="方正仿宋_GB2312" w:eastAsia="方正仿宋_GB2312" w:cs="方正仿宋_GB2312"/>
          <w:kern w:val="2"/>
          <w:sz w:val="21"/>
          <w:szCs w:val="24"/>
          <w:shd w:val="clear" w:color="auto" w:fill="FFFFFF"/>
          <w:lang w:val="en-US" w:eastAsia="zh-CN" w:bidi="ar-SA"/>
        </w:rPr>
        <w:t>电子气体：毛利率通常达40%-50%（如高纯氦气、三氟化硼），因技术壁垒高且客户认证周期长；</w:t>
      </w:r>
    </w:p>
    <w:p w14:paraId="07AFD894">
      <w:pPr>
        <w:pStyle w:val="5"/>
        <w:numPr>
          <w:ilvl w:val="0"/>
          <w:numId w:val="11"/>
        </w:numPr>
        <w:autoSpaceDE w:val="0"/>
        <w:spacing w:line="240" w:lineRule="atLeast"/>
        <w:ind w:left="845" w:leftChars="0" w:hanging="425" w:firstLineChars="0"/>
        <w:rPr>
          <w:rFonts w:hint="default" w:ascii="方正仿宋_GB2312" w:hAnsi="方正仿宋_GB2312" w:eastAsia="方正仿宋_GB2312" w:cs="方正仿宋_GB2312"/>
          <w:kern w:val="2"/>
          <w:sz w:val="21"/>
          <w:szCs w:val="24"/>
          <w:shd w:val="clear" w:color="auto" w:fill="FFFFFF"/>
          <w:lang w:val="en-US" w:eastAsia="zh-CN" w:bidi="ar-SA"/>
        </w:rPr>
      </w:pPr>
      <w:r>
        <w:rPr>
          <w:rFonts w:hint="default" w:ascii="方正仿宋_GB2312" w:hAnsi="方正仿宋_GB2312" w:eastAsia="方正仿宋_GB2312" w:cs="方正仿宋_GB2312"/>
          <w:kern w:val="2"/>
          <w:sz w:val="21"/>
          <w:szCs w:val="24"/>
          <w:shd w:val="clear" w:color="auto" w:fill="FFFFFF"/>
          <w:lang w:val="en-US" w:eastAsia="zh-CN" w:bidi="ar-SA"/>
        </w:rPr>
        <w:t>工业/医疗气体：毛利率约20%-30%，但需求稳定（如医用氧气、消毒气体）。</w:t>
      </w:r>
    </w:p>
    <w:p w14:paraId="53516D22">
      <w:pPr>
        <w:pStyle w:val="5"/>
        <w:numPr>
          <w:ilvl w:val="0"/>
          <w:numId w:val="0"/>
        </w:numPr>
        <w:autoSpaceDE w:val="0"/>
        <w:spacing w:line="240" w:lineRule="atLeast"/>
        <w:ind w:left="420" w:leftChars="0"/>
        <w:rPr>
          <w:rFonts w:hint="default" w:ascii="方正仿宋_GB2312" w:hAnsi="方正仿宋_GB2312" w:eastAsia="方正仿宋_GB2312" w:cs="方正仿宋_GB2312"/>
          <w:b/>
          <w:bCs/>
          <w:kern w:val="2"/>
          <w:sz w:val="21"/>
          <w:szCs w:val="24"/>
          <w:shd w:val="clear" w:color="auto" w:fill="FFFFFF"/>
          <w:lang w:val="en-US" w:eastAsia="zh-CN" w:bidi="ar-SA"/>
        </w:rPr>
      </w:pPr>
      <w:r>
        <w:rPr>
          <w:rFonts w:hint="default" w:ascii="方正仿宋_GB2312" w:hAnsi="方正仿宋_GB2312" w:eastAsia="方正仿宋_GB2312" w:cs="方正仿宋_GB2312"/>
          <w:b/>
          <w:bCs/>
          <w:kern w:val="2"/>
          <w:sz w:val="21"/>
          <w:szCs w:val="24"/>
          <w:shd w:val="clear" w:color="auto" w:fill="FFFFFF"/>
          <w:lang w:val="en-US" w:eastAsia="zh-CN" w:bidi="ar-SA"/>
        </w:rPr>
        <w:t>盈利模式：</w:t>
      </w:r>
    </w:p>
    <w:p w14:paraId="73150228">
      <w:pPr>
        <w:pStyle w:val="5"/>
        <w:numPr>
          <w:ilvl w:val="0"/>
          <w:numId w:val="12"/>
        </w:numPr>
        <w:autoSpaceDE w:val="0"/>
        <w:spacing w:line="240" w:lineRule="atLeast"/>
        <w:ind w:left="845" w:leftChars="0" w:hanging="425" w:firstLineChars="0"/>
        <w:rPr>
          <w:rFonts w:hint="default" w:ascii="方正仿宋_GB2312" w:hAnsi="方正仿宋_GB2312" w:eastAsia="方正仿宋_GB2312" w:cs="方正仿宋_GB2312"/>
          <w:kern w:val="2"/>
          <w:sz w:val="21"/>
          <w:szCs w:val="24"/>
          <w:shd w:val="clear" w:color="auto" w:fill="FFFFFF"/>
          <w:lang w:val="en-US" w:eastAsia="zh-CN" w:bidi="ar-SA"/>
        </w:rPr>
      </w:pPr>
      <w:r>
        <w:rPr>
          <w:rFonts w:hint="default" w:ascii="方正仿宋_GB2312" w:hAnsi="方正仿宋_GB2312" w:eastAsia="方正仿宋_GB2312" w:cs="方正仿宋_GB2312"/>
          <w:kern w:val="2"/>
          <w:sz w:val="21"/>
          <w:szCs w:val="24"/>
          <w:shd w:val="clear" w:color="auto" w:fill="FFFFFF"/>
          <w:lang w:val="en-US" w:eastAsia="zh-CN" w:bidi="ar-SA"/>
        </w:rPr>
        <w:t>高毛利产品主导：电子气体（22139吨）占总产能的80%，叠加副产物销售（1629吨工业级产品），支撑整体利润；</w:t>
      </w:r>
    </w:p>
    <w:p w14:paraId="05D82282">
      <w:pPr>
        <w:pStyle w:val="5"/>
        <w:numPr>
          <w:ilvl w:val="0"/>
          <w:numId w:val="12"/>
        </w:numPr>
        <w:autoSpaceDE w:val="0"/>
        <w:spacing w:line="240" w:lineRule="atLeast"/>
        <w:ind w:left="845" w:leftChars="0" w:hanging="425" w:firstLineChars="0"/>
        <w:rPr>
          <w:rFonts w:hint="default" w:ascii="方正仿宋_GB2312" w:hAnsi="方正仿宋_GB2312" w:eastAsia="方正仿宋_GB2312" w:cs="方正仿宋_GB2312"/>
          <w:kern w:val="2"/>
          <w:sz w:val="21"/>
          <w:szCs w:val="24"/>
          <w:shd w:val="clear" w:color="auto" w:fill="FFFFFF"/>
          <w:lang w:val="en-US" w:eastAsia="zh-CN" w:bidi="ar-SA"/>
        </w:rPr>
      </w:pPr>
      <w:r>
        <w:rPr>
          <w:rFonts w:hint="default" w:ascii="方正仿宋_GB2312" w:hAnsi="方正仿宋_GB2312" w:eastAsia="方正仿宋_GB2312" w:cs="方正仿宋_GB2312"/>
          <w:kern w:val="2"/>
          <w:sz w:val="21"/>
          <w:szCs w:val="24"/>
          <w:shd w:val="clear" w:color="auto" w:fill="FFFFFF"/>
          <w:lang w:val="en-US" w:eastAsia="zh-CN" w:bidi="ar-SA"/>
        </w:rPr>
        <w:t>客户分层定价：半导体客户可能采用长协价，而医疗、工业气体采用现货定价，平衡现金流与利润率。</w:t>
      </w:r>
    </w:p>
    <w:p w14:paraId="3FF2A4A4">
      <w:pPr>
        <w:pStyle w:val="5"/>
        <w:widowControl w:val="0"/>
        <w:numPr>
          <w:ilvl w:val="0"/>
          <w:numId w:val="0"/>
        </w:numPr>
        <w:autoSpaceDE w:val="0"/>
        <w:spacing w:line="240" w:lineRule="atLeast"/>
        <w:jc w:val="both"/>
        <w:rPr>
          <w:rFonts w:hint="default" w:ascii="方正仿宋_GB2312" w:hAnsi="方正仿宋_GB2312" w:eastAsia="方正仿宋_GB2312" w:cs="方正仿宋_GB2312"/>
          <w:kern w:val="2"/>
          <w:sz w:val="21"/>
          <w:szCs w:val="24"/>
          <w:shd w:val="clear" w:color="auto" w:fill="FFFFFF"/>
          <w:lang w:val="en-US" w:eastAsia="zh-CN" w:bidi="ar-SA"/>
        </w:rPr>
      </w:pPr>
    </w:p>
    <w:p w14:paraId="2F03CACB">
      <w:pPr>
        <w:numPr>
          <w:ilvl w:val="0"/>
          <w:numId w:val="1"/>
        </w:numPr>
        <w:ind w:left="0" w:leftChars="0" w:firstLine="420" w:firstLineChars="0"/>
        <w:rPr>
          <w:rFonts w:hint="eastAsia" w:ascii="方正仿宋_GB2312" w:hAnsi="方正仿宋_GB2312" w:eastAsia="方正仿宋_GB2312" w:cs="方正仿宋_GB2312"/>
          <w:b/>
          <w:bCs/>
          <w:sz w:val="24"/>
          <w:szCs w:val="24"/>
          <w:lang w:val="en-US" w:eastAsia="zh-CN"/>
        </w:rPr>
      </w:pPr>
      <w:r>
        <w:rPr>
          <w:rFonts w:hint="eastAsia" w:ascii="方正仿宋_GB2312" w:hAnsi="方正仿宋_GB2312" w:eastAsia="方正仿宋_GB2312" w:cs="方正仿宋_GB2312"/>
          <w:b/>
          <w:bCs/>
          <w:sz w:val="24"/>
          <w:szCs w:val="24"/>
          <w:lang w:val="en-US" w:eastAsia="zh-CN"/>
        </w:rPr>
        <w:t>适配产品套餐</w:t>
      </w:r>
    </w:p>
    <w:tbl>
      <w:tblPr>
        <w:tblStyle w:val="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41"/>
        <w:gridCol w:w="1565"/>
        <w:gridCol w:w="6420"/>
      </w:tblGrid>
      <w:tr w14:paraId="7F857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nil"/>
              <w:left w:val="nil"/>
              <w:bottom w:val="nil"/>
              <w:right w:val="nil"/>
            </w:tcBorders>
            <w:shd w:val="clear" w:color="auto" w:fill="D7D7D7" w:themeFill="background1" w:themeFillShade="D8"/>
            <w:tcMar>
              <w:top w:w="139" w:type="dxa"/>
              <w:left w:w="210" w:type="dxa"/>
              <w:bottom w:w="139" w:type="dxa"/>
              <w:right w:w="210" w:type="dxa"/>
            </w:tcMar>
            <w:vAlign w:val="center"/>
          </w:tcPr>
          <w:p w14:paraId="189FD5D3">
            <w:pPr>
              <w:keepNext w:val="0"/>
              <w:keepLines w:val="0"/>
              <w:widowControl/>
              <w:suppressLineNumbers w:val="0"/>
              <w:spacing w:before="0" w:beforeAutospacing="0" w:after="0" w:afterAutospacing="0"/>
              <w:ind w:left="0" w:right="0" w:firstLine="0"/>
              <w:jc w:val="center"/>
              <w:textAlignment w:val="center"/>
              <w:rPr>
                <w:rFonts w:hint="eastAsia" w:ascii="宋体" w:hAnsi="宋体" w:eastAsia="宋体" w:cs="宋体"/>
                <w:b/>
                <w:bCs/>
                <w:kern w:val="2"/>
                <w:sz w:val="21"/>
                <w:szCs w:val="24"/>
                <w:shd w:val="clear" w:color="auto" w:fill="FFFFFF"/>
                <w:lang w:val="en-US" w:eastAsia="zh-CN" w:bidi="ar-SA"/>
              </w:rPr>
            </w:pPr>
            <w:r>
              <w:rPr>
                <w:rFonts w:hint="eastAsia" w:ascii="宋体" w:hAnsi="宋体" w:eastAsia="宋体" w:cs="宋体"/>
                <w:b/>
                <w:bCs/>
                <w:kern w:val="2"/>
                <w:sz w:val="21"/>
                <w:szCs w:val="24"/>
                <w:shd w:val="clear" w:color="auto" w:fill="FFFFFF"/>
                <w:lang w:val="en-US" w:eastAsia="zh-CN" w:bidi="ar-SA"/>
              </w:rPr>
              <w:t>排名</w:t>
            </w:r>
          </w:p>
        </w:tc>
        <w:tc>
          <w:tcPr>
            <w:tcW w:w="0" w:type="auto"/>
            <w:tcBorders>
              <w:top w:val="nil"/>
              <w:left w:val="nil"/>
              <w:bottom w:val="nil"/>
              <w:right w:val="nil"/>
            </w:tcBorders>
            <w:shd w:val="clear" w:color="auto" w:fill="D7D7D7" w:themeFill="background1" w:themeFillShade="D8"/>
            <w:tcMar>
              <w:top w:w="139" w:type="dxa"/>
              <w:left w:w="210" w:type="dxa"/>
              <w:bottom w:w="139" w:type="dxa"/>
              <w:right w:w="210" w:type="dxa"/>
            </w:tcMar>
            <w:vAlign w:val="center"/>
          </w:tcPr>
          <w:p w14:paraId="082AE446">
            <w:pPr>
              <w:keepNext w:val="0"/>
              <w:keepLines w:val="0"/>
              <w:widowControl/>
              <w:suppressLineNumbers w:val="0"/>
              <w:spacing w:before="0" w:beforeAutospacing="0" w:after="0" w:afterAutospacing="0"/>
              <w:ind w:left="0" w:right="0" w:firstLine="0"/>
              <w:jc w:val="center"/>
              <w:textAlignment w:val="center"/>
              <w:rPr>
                <w:rFonts w:hint="eastAsia" w:ascii="宋体" w:hAnsi="宋体" w:eastAsia="宋体" w:cs="宋体"/>
                <w:b/>
                <w:bCs/>
                <w:kern w:val="2"/>
                <w:sz w:val="21"/>
                <w:szCs w:val="24"/>
                <w:shd w:val="clear" w:color="auto" w:fill="FFFFFF"/>
                <w:lang w:val="en-US" w:eastAsia="zh-CN" w:bidi="ar-SA"/>
              </w:rPr>
            </w:pPr>
            <w:r>
              <w:rPr>
                <w:rFonts w:hint="eastAsia" w:ascii="宋体" w:hAnsi="宋体" w:eastAsia="宋体" w:cs="宋体"/>
                <w:b/>
                <w:bCs/>
                <w:kern w:val="2"/>
                <w:sz w:val="21"/>
                <w:szCs w:val="24"/>
                <w:shd w:val="clear" w:color="auto" w:fill="FFFFFF"/>
                <w:lang w:val="en-US" w:eastAsia="zh-CN" w:bidi="ar-SA"/>
              </w:rPr>
              <w:t>产品名称</w:t>
            </w:r>
          </w:p>
        </w:tc>
        <w:tc>
          <w:tcPr>
            <w:tcW w:w="0" w:type="auto"/>
            <w:tcBorders>
              <w:top w:val="nil"/>
              <w:left w:val="nil"/>
              <w:bottom w:val="nil"/>
              <w:right w:val="nil"/>
            </w:tcBorders>
            <w:shd w:val="clear" w:color="auto" w:fill="D7D7D7" w:themeFill="background1" w:themeFillShade="D8"/>
            <w:tcMar>
              <w:top w:w="139" w:type="dxa"/>
              <w:left w:w="210" w:type="dxa"/>
              <w:bottom w:w="139" w:type="dxa"/>
              <w:right w:w="210" w:type="dxa"/>
            </w:tcMar>
            <w:vAlign w:val="center"/>
          </w:tcPr>
          <w:p w14:paraId="719DD85F">
            <w:pPr>
              <w:keepNext w:val="0"/>
              <w:keepLines w:val="0"/>
              <w:widowControl/>
              <w:suppressLineNumbers w:val="0"/>
              <w:spacing w:before="0" w:beforeAutospacing="0" w:after="0" w:afterAutospacing="0"/>
              <w:ind w:left="0" w:right="0" w:firstLine="0"/>
              <w:jc w:val="center"/>
              <w:textAlignment w:val="center"/>
              <w:rPr>
                <w:rFonts w:hint="eastAsia" w:ascii="宋体" w:hAnsi="宋体" w:eastAsia="宋体" w:cs="宋体"/>
                <w:b/>
                <w:bCs/>
                <w:kern w:val="2"/>
                <w:sz w:val="21"/>
                <w:szCs w:val="24"/>
                <w:shd w:val="clear" w:color="auto" w:fill="FFFFFF"/>
                <w:lang w:val="en-US" w:eastAsia="zh-CN" w:bidi="ar-SA"/>
              </w:rPr>
            </w:pPr>
            <w:r>
              <w:rPr>
                <w:rFonts w:hint="eastAsia" w:ascii="宋体" w:hAnsi="宋体" w:eastAsia="宋体" w:cs="宋体"/>
                <w:b/>
                <w:bCs/>
                <w:kern w:val="2"/>
                <w:sz w:val="21"/>
                <w:szCs w:val="24"/>
                <w:shd w:val="clear" w:color="auto" w:fill="FFFFFF"/>
                <w:lang w:val="en-US" w:eastAsia="zh-CN" w:bidi="ar-SA"/>
              </w:rPr>
              <w:t>匹配依据</w:t>
            </w:r>
          </w:p>
        </w:tc>
      </w:tr>
      <w:tr w14:paraId="66057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nil"/>
            </w:tcBorders>
            <w:shd w:val="clear" w:color="auto" w:fill="auto"/>
            <w:tcMar>
              <w:top w:w="139" w:type="dxa"/>
              <w:left w:w="210" w:type="dxa"/>
              <w:bottom w:w="139" w:type="dxa"/>
              <w:right w:w="210" w:type="dxa"/>
            </w:tcMar>
            <w:vAlign w:val="center"/>
          </w:tcPr>
          <w:p w14:paraId="4C6E46DC">
            <w:pPr>
              <w:keepNext w:val="0"/>
              <w:keepLines w:val="0"/>
              <w:widowControl/>
              <w:suppressLineNumbers w:val="0"/>
              <w:spacing w:before="0" w:beforeAutospacing="0" w:after="0" w:afterAutospacing="0"/>
              <w:ind w:left="0" w:right="0" w:firstLine="0"/>
              <w:jc w:val="center"/>
              <w:textAlignment w:val="center"/>
              <w:rPr>
                <w:rFonts w:hint="eastAsia" w:ascii="宋体" w:hAnsi="宋体" w:eastAsia="宋体" w:cs="宋体"/>
                <w:kern w:val="2"/>
                <w:sz w:val="21"/>
                <w:szCs w:val="24"/>
                <w:shd w:val="clear" w:color="auto" w:fill="FFFFFF"/>
                <w:lang w:val="en-US" w:eastAsia="zh-CN" w:bidi="ar-SA"/>
              </w:rPr>
            </w:pPr>
            <w:r>
              <w:rPr>
                <w:rFonts w:hint="eastAsia" w:ascii="宋体" w:hAnsi="宋体" w:eastAsia="宋体" w:cs="宋体"/>
                <w:kern w:val="2"/>
                <w:sz w:val="21"/>
                <w:szCs w:val="24"/>
                <w:shd w:val="clear" w:color="auto" w:fill="FFFFFF"/>
                <w:lang w:val="en-US" w:eastAsia="zh-CN" w:bidi="ar-SA"/>
              </w:rPr>
              <w:t>1</w:t>
            </w:r>
          </w:p>
        </w:tc>
        <w:tc>
          <w:tcPr>
            <w:tcW w:w="0" w:type="auto"/>
            <w:tcBorders>
              <w:top w:val="nil"/>
              <w:left w:val="nil"/>
              <w:bottom w:val="nil"/>
              <w:right w:val="nil"/>
            </w:tcBorders>
            <w:shd w:val="clear" w:color="auto" w:fill="auto"/>
            <w:tcMar>
              <w:top w:w="139" w:type="dxa"/>
              <w:left w:w="210" w:type="dxa"/>
              <w:bottom w:w="139" w:type="dxa"/>
              <w:right w:w="210" w:type="dxa"/>
            </w:tcMar>
            <w:vAlign w:val="center"/>
          </w:tcPr>
          <w:p w14:paraId="1FDF314B">
            <w:pPr>
              <w:keepNext w:val="0"/>
              <w:keepLines w:val="0"/>
              <w:widowControl/>
              <w:suppressLineNumbers w:val="0"/>
              <w:spacing w:before="0" w:beforeAutospacing="0" w:after="0" w:afterAutospacing="0"/>
              <w:ind w:left="0" w:right="0" w:firstLine="0"/>
              <w:jc w:val="center"/>
              <w:textAlignment w:val="center"/>
              <w:rPr>
                <w:rFonts w:hint="eastAsia" w:ascii="宋体" w:hAnsi="宋体" w:eastAsia="宋体" w:cs="宋体"/>
                <w:kern w:val="2"/>
                <w:sz w:val="21"/>
                <w:szCs w:val="24"/>
                <w:shd w:val="clear" w:color="auto" w:fill="FFFFFF"/>
                <w:lang w:val="en-US" w:eastAsia="zh-CN" w:bidi="ar-SA"/>
              </w:rPr>
            </w:pPr>
            <w:r>
              <w:rPr>
                <w:rFonts w:hint="eastAsia" w:ascii="宋体" w:hAnsi="宋体" w:eastAsia="宋体" w:cs="宋体"/>
                <w:kern w:val="2"/>
                <w:sz w:val="21"/>
                <w:szCs w:val="24"/>
                <w:shd w:val="clear" w:color="auto" w:fill="FFFFFF"/>
                <w:lang w:val="en-US" w:eastAsia="zh-CN" w:bidi="ar-SA"/>
              </w:rPr>
              <w:t>​固定资产贷款​</w:t>
            </w:r>
          </w:p>
        </w:tc>
        <w:tc>
          <w:tcPr>
            <w:tcW w:w="0" w:type="auto"/>
            <w:tcBorders>
              <w:top w:val="nil"/>
              <w:left w:val="nil"/>
              <w:bottom w:val="nil"/>
              <w:right w:val="nil"/>
            </w:tcBorders>
            <w:shd w:val="clear" w:color="auto" w:fill="auto"/>
            <w:tcMar>
              <w:top w:w="139" w:type="dxa"/>
              <w:left w:w="210" w:type="dxa"/>
              <w:bottom w:w="139" w:type="dxa"/>
              <w:right w:w="210" w:type="dxa"/>
            </w:tcMar>
            <w:vAlign w:val="center"/>
          </w:tcPr>
          <w:p w14:paraId="7A26F00F">
            <w:pPr>
              <w:keepNext w:val="0"/>
              <w:keepLines w:val="0"/>
              <w:widowControl/>
              <w:suppressLineNumbers w:val="0"/>
              <w:spacing w:before="0" w:beforeAutospacing="0" w:after="0" w:afterAutospacing="0"/>
              <w:ind w:left="0" w:right="0" w:firstLine="0"/>
              <w:jc w:val="center"/>
              <w:textAlignment w:val="center"/>
              <w:rPr>
                <w:rFonts w:hint="eastAsia" w:ascii="宋体" w:hAnsi="宋体" w:eastAsia="宋体" w:cs="宋体"/>
                <w:kern w:val="2"/>
                <w:sz w:val="21"/>
                <w:szCs w:val="24"/>
                <w:shd w:val="clear" w:color="auto" w:fill="FFFFFF"/>
                <w:lang w:val="en-US" w:eastAsia="zh-CN" w:bidi="ar-SA"/>
              </w:rPr>
            </w:pPr>
            <w:r>
              <w:rPr>
                <w:rFonts w:hint="eastAsia" w:ascii="宋体" w:hAnsi="宋体" w:eastAsia="宋体" w:cs="宋体"/>
                <w:kern w:val="2"/>
                <w:sz w:val="21"/>
                <w:szCs w:val="24"/>
                <w:shd w:val="clear" w:color="auto" w:fill="FFFFFF"/>
                <w:lang w:val="en-US" w:eastAsia="zh-CN" w:bidi="ar-SA"/>
              </w:rPr>
              <w:t>- 企业二期项目需新增700吨/年气体合成装置及纯化产线，总投资额预计超5亿元，存在大额固定资产购置需求。</w:t>
            </w:r>
            <w:r>
              <w:rPr>
                <w:rFonts w:hint="eastAsia" w:ascii="宋体" w:hAnsi="宋体" w:eastAsia="宋体" w:cs="宋体"/>
                <w:kern w:val="2"/>
                <w:sz w:val="21"/>
                <w:szCs w:val="24"/>
                <w:shd w:val="clear" w:color="auto" w:fill="FFFFFF"/>
                <w:lang w:val="en-US" w:eastAsia="zh-CN" w:bidi="ar-SA"/>
              </w:rPr>
              <w:br w:type="textWrapping"/>
            </w:r>
            <w:r>
              <w:rPr>
                <w:rFonts w:hint="eastAsia" w:ascii="宋体" w:hAnsi="宋体" w:eastAsia="宋体" w:cs="宋体"/>
                <w:kern w:val="2"/>
                <w:sz w:val="21"/>
                <w:szCs w:val="24"/>
                <w:shd w:val="clear" w:color="auto" w:fill="FFFFFF"/>
                <w:lang w:val="en-US" w:eastAsia="zh-CN" w:bidi="ar-SA"/>
              </w:rPr>
              <w:t>- 母公司广东华特气体资产负债率可控（48%），信用背书强。</w:t>
            </w:r>
          </w:p>
        </w:tc>
      </w:tr>
      <w:tr w14:paraId="06246E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nil"/>
            </w:tcBorders>
            <w:shd w:val="clear" w:color="auto" w:fill="auto"/>
            <w:tcMar>
              <w:top w:w="139" w:type="dxa"/>
              <w:left w:w="210" w:type="dxa"/>
              <w:bottom w:w="139" w:type="dxa"/>
              <w:right w:w="210" w:type="dxa"/>
            </w:tcMar>
            <w:vAlign w:val="center"/>
          </w:tcPr>
          <w:p w14:paraId="684D8294">
            <w:pPr>
              <w:keepNext w:val="0"/>
              <w:keepLines w:val="0"/>
              <w:widowControl/>
              <w:suppressLineNumbers w:val="0"/>
              <w:spacing w:before="0" w:beforeAutospacing="0" w:after="0" w:afterAutospacing="0"/>
              <w:ind w:left="0" w:right="0" w:firstLine="0"/>
              <w:jc w:val="center"/>
              <w:textAlignment w:val="center"/>
              <w:rPr>
                <w:rFonts w:hint="eastAsia" w:ascii="宋体" w:hAnsi="宋体" w:eastAsia="宋体" w:cs="宋体"/>
                <w:kern w:val="2"/>
                <w:sz w:val="21"/>
                <w:szCs w:val="24"/>
                <w:shd w:val="clear" w:color="auto" w:fill="FFFFFF"/>
                <w:lang w:val="en-US" w:eastAsia="zh-CN" w:bidi="ar-SA"/>
              </w:rPr>
            </w:pPr>
            <w:r>
              <w:rPr>
                <w:rFonts w:hint="eastAsia" w:ascii="宋体" w:hAnsi="宋体" w:eastAsia="宋体" w:cs="宋体"/>
                <w:kern w:val="2"/>
                <w:sz w:val="21"/>
                <w:szCs w:val="24"/>
                <w:shd w:val="clear" w:color="auto" w:fill="FFFFFF"/>
                <w:lang w:val="en-US" w:eastAsia="zh-CN" w:bidi="ar-SA"/>
              </w:rPr>
              <w:t>2</w:t>
            </w:r>
          </w:p>
        </w:tc>
        <w:tc>
          <w:tcPr>
            <w:tcW w:w="0" w:type="auto"/>
            <w:tcBorders>
              <w:top w:val="nil"/>
              <w:left w:val="nil"/>
              <w:bottom w:val="nil"/>
              <w:right w:val="nil"/>
            </w:tcBorders>
            <w:shd w:val="clear" w:color="auto" w:fill="auto"/>
            <w:tcMar>
              <w:top w:w="139" w:type="dxa"/>
              <w:left w:w="210" w:type="dxa"/>
              <w:bottom w:w="139" w:type="dxa"/>
              <w:right w:w="210" w:type="dxa"/>
            </w:tcMar>
            <w:vAlign w:val="center"/>
          </w:tcPr>
          <w:p w14:paraId="5A4A3772">
            <w:pPr>
              <w:keepNext w:val="0"/>
              <w:keepLines w:val="0"/>
              <w:widowControl/>
              <w:suppressLineNumbers w:val="0"/>
              <w:spacing w:before="0" w:beforeAutospacing="0" w:after="0" w:afterAutospacing="0"/>
              <w:ind w:left="0" w:right="0" w:firstLine="0"/>
              <w:jc w:val="center"/>
              <w:textAlignment w:val="center"/>
              <w:rPr>
                <w:rFonts w:hint="eastAsia" w:ascii="宋体" w:hAnsi="宋体" w:eastAsia="宋体" w:cs="宋体"/>
                <w:kern w:val="2"/>
                <w:sz w:val="21"/>
                <w:szCs w:val="24"/>
                <w:shd w:val="clear" w:color="auto" w:fill="FFFFFF"/>
                <w:lang w:val="en-US" w:eastAsia="zh-CN" w:bidi="ar-SA"/>
              </w:rPr>
            </w:pPr>
            <w:r>
              <w:rPr>
                <w:rFonts w:hint="eastAsia" w:ascii="宋体" w:hAnsi="宋体" w:eastAsia="宋体" w:cs="宋体"/>
                <w:kern w:val="2"/>
                <w:sz w:val="21"/>
                <w:szCs w:val="24"/>
                <w:shd w:val="clear" w:color="auto" w:fill="FFFFFF"/>
                <w:lang w:val="en-US" w:eastAsia="zh-CN" w:bidi="ar-SA"/>
              </w:rPr>
              <w:t>​应收账款保理​</w:t>
            </w:r>
          </w:p>
        </w:tc>
        <w:tc>
          <w:tcPr>
            <w:tcW w:w="0" w:type="auto"/>
            <w:tcBorders>
              <w:top w:val="nil"/>
              <w:left w:val="nil"/>
              <w:bottom w:val="nil"/>
              <w:right w:val="nil"/>
            </w:tcBorders>
            <w:shd w:val="clear" w:color="auto" w:fill="auto"/>
            <w:tcMar>
              <w:top w:w="139" w:type="dxa"/>
              <w:left w:w="210" w:type="dxa"/>
              <w:bottom w:w="139" w:type="dxa"/>
              <w:right w:w="210" w:type="dxa"/>
            </w:tcMar>
            <w:vAlign w:val="center"/>
          </w:tcPr>
          <w:p w14:paraId="5E012F82">
            <w:pPr>
              <w:keepNext w:val="0"/>
              <w:keepLines w:val="0"/>
              <w:widowControl/>
              <w:suppressLineNumbers w:val="0"/>
              <w:spacing w:before="0" w:beforeAutospacing="0" w:after="0" w:afterAutospacing="0"/>
              <w:ind w:left="0" w:right="0" w:firstLine="0"/>
              <w:jc w:val="center"/>
              <w:textAlignment w:val="center"/>
              <w:rPr>
                <w:rFonts w:hint="eastAsia" w:ascii="宋体" w:hAnsi="宋体" w:eastAsia="宋体" w:cs="宋体"/>
                <w:kern w:val="2"/>
                <w:sz w:val="21"/>
                <w:szCs w:val="24"/>
                <w:shd w:val="clear" w:color="auto" w:fill="FFFFFF"/>
                <w:lang w:val="en-US" w:eastAsia="zh-CN" w:bidi="ar-SA"/>
              </w:rPr>
            </w:pPr>
            <w:r>
              <w:rPr>
                <w:rFonts w:hint="eastAsia" w:ascii="宋体" w:hAnsi="宋体" w:eastAsia="宋体" w:cs="宋体"/>
                <w:kern w:val="2"/>
                <w:sz w:val="21"/>
                <w:szCs w:val="24"/>
                <w:shd w:val="clear" w:color="auto" w:fill="FFFFFF"/>
                <w:lang w:val="en-US" w:eastAsia="zh-CN" w:bidi="ar-SA"/>
              </w:rPr>
              <w:t>- 下游客户（中芯国际、华虹等）账期较长（推测60-90天），保理可加速回款。</w:t>
            </w:r>
            <w:r>
              <w:rPr>
                <w:rFonts w:hint="eastAsia" w:ascii="宋体" w:hAnsi="宋体" w:eastAsia="宋体" w:cs="宋体"/>
                <w:kern w:val="2"/>
                <w:sz w:val="21"/>
                <w:szCs w:val="24"/>
                <w:shd w:val="clear" w:color="auto" w:fill="FFFFFF"/>
                <w:lang w:val="en-US" w:eastAsia="zh-CN" w:bidi="ar-SA"/>
              </w:rPr>
              <w:br w:type="textWrapping"/>
            </w:r>
            <w:r>
              <w:rPr>
                <w:rFonts w:hint="eastAsia" w:ascii="宋体" w:hAnsi="宋体" w:eastAsia="宋体" w:cs="宋体"/>
                <w:kern w:val="2"/>
                <w:sz w:val="21"/>
                <w:szCs w:val="24"/>
                <w:shd w:val="clear" w:color="auto" w:fill="FFFFFF"/>
                <w:lang w:val="en-US" w:eastAsia="zh-CN" w:bidi="ar-SA"/>
              </w:rPr>
              <w:t>- 母公司财报显示2023年应收款周转天数68天，优化空间大。</w:t>
            </w:r>
          </w:p>
        </w:tc>
      </w:tr>
      <w:tr w14:paraId="40284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nil"/>
            </w:tcBorders>
            <w:shd w:val="clear" w:color="auto" w:fill="auto"/>
            <w:tcMar>
              <w:top w:w="139" w:type="dxa"/>
              <w:left w:w="210" w:type="dxa"/>
              <w:bottom w:w="139" w:type="dxa"/>
              <w:right w:w="210" w:type="dxa"/>
            </w:tcMar>
            <w:vAlign w:val="center"/>
          </w:tcPr>
          <w:p w14:paraId="43FD913D">
            <w:pPr>
              <w:keepNext w:val="0"/>
              <w:keepLines w:val="0"/>
              <w:widowControl/>
              <w:suppressLineNumbers w:val="0"/>
              <w:spacing w:before="0" w:beforeAutospacing="0" w:after="0" w:afterAutospacing="0"/>
              <w:ind w:left="0" w:right="0" w:firstLine="0"/>
              <w:jc w:val="center"/>
              <w:textAlignment w:val="center"/>
              <w:rPr>
                <w:rFonts w:hint="eastAsia" w:ascii="宋体" w:hAnsi="宋体" w:eastAsia="宋体" w:cs="宋体"/>
                <w:kern w:val="2"/>
                <w:sz w:val="21"/>
                <w:szCs w:val="24"/>
                <w:shd w:val="clear" w:color="auto" w:fill="FFFFFF"/>
                <w:lang w:val="en-US" w:eastAsia="zh-CN" w:bidi="ar-SA"/>
              </w:rPr>
            </w:pPr>
            <w:r>
              <w:rPr>
                <w:rFonts w:hint="eastAsia" w:ascii="宋体" w:hAnsi="宋体" w:eastAsia="宋体" w:cs="宋体"/>
                <w:kern w:val="2"/>
                <w:sz w:val="21"/>
                <w:szCs w:val="24"/>
                <w:shd w:val="clear" w:color="auto" w:fill="FFFFFF"/>
                <w:lang w:val="en-US" w:eastAsia="zh-CN" w:bidi="ar-SA"/>
              </w:rPr>
              <w:t>3</w:t>
            </w:r>
          </w:p>
        </w:tc>
        <w:tc>
          <w:tcPr>
            <w:tcW w:w="0" w:type="auto"/>
            <w:tcBorders>
              <w:top w:val="nil"/>
              <w:left w:val="nil"/>
              <w:bottom w:val="nil"/>
              <w:right w:val="nil"/>
            </w:tcBorders>
            <w:shd w:val="clear" w:color="auto" w:fill="auto"/>
            <w:tcMar>
              <w:top w:w="139" w:type="dxa"/>
              <w:left w:w="210" w:type="dxa"/>
              <w:bottom w:w="139" w:type="dxa"/>
              <w:right w:w="210" w:type="dxa"/>
            </w:tcMar>
            <w:vAlign w:val="center"/>
          </w:tcPr>
          <w:p w14:paraId="0E625582">
            <w:pPr>
              <w:keepNext w:val="0"/>
              <w:keepLines w:val="0"/>
              <w:widowControl/>
              <w:suppressLineNumbers w:val="0"/>
              <w:spacing w:before="0" w:beforeAutospacing="0" w:after="0" w:afterAutospacing="0"/>
              <w:ind w:left="0" w:right="0" w:firstLine="0"/>
              <w:jc w:val="center"/>
              <w:textAlignment w:val="center"/>
              <w:rPr>
                <w:rFonts w:hint="eastAsia" w:ascii="宋体" w:hAnsi="宋体" w:eastAsia="宋体" w:cs="宋体"/>
                <w:kern w:val="2"/>
                <w:sz w:val="21"/>
                <w:szCs w:val="24"/>
                <w:shd w:val="clear" w:color="auto" w:fill="FFFFFF"/>
                <w:lang w:val="en-US" w:eastAsia="zh-CN" w:bidi="ar-SA"/>
              </w:rPr>
            </w:pPr>
            <w:r>
              <w:rPr>
                <w:rFonts w:hint="eastAsia" w:ascii="宋体" w:hAnsi="宋体" w:eastAsia="宋体" w:cs="宋体"/>
                <w:kern w:val="2"/>
                <w:sz w:val="21"/>
                <w:szCs w:val="24"/>
                <w:shd w:val="clear" w:color="auto" w:fill="FFFFFF"/>
                <w:lang w:val="en-US" w:eastAsia="zh-CN" w:bidi="ar-SA"/>
              </w:rPr>
              <w:t>​外汇结算/衍生品​</w:t>
            </w:r>
          </w:p>
        </w:tc>
        <w:tc>
          <w:tcPr>
            <w:tcW w:w="0" w:type="auto"/>
            <w:tcBorders>
              <w:top w:val="nil"/>
              <w:left w:val="nil"/>
              <w:bottom w:val="nil"/>
              <w:right w:val="nil"/>
            </w:tcBorders>
            <w:shd w:val="clear" w:color="auto" w:fill="auto"/>
            <w:tcMar>
              <w:top w:w="139" w:type="dxa"/>
              <w:left w:w="210" w:type="dxa"/>
              <w:bottom w:w="139" w:type="dxa"/>
              <w:right w:w="210" w:type="dxa"/>
            </w:tcMar>
            <w:vAlign w:val="center"/>
          </w:tcPr>
          <w:p w14:paraId="208CB175">
            <w:pPr>
              <w:keepNext w:val="0"/>
              <w:keepLines w:val="0"/>
              <w:widowControl/>
              <w:suppressLineNumbers w:val="0"/>
              <w:spacing w:before="0" w:beforeAutospacing="0" w:after="0" w:afterAutospacing="0"/>
              <w:ind w:left="0" w:right="0" w:firstLine="0"/>
              <w:jc w:val="center"/>
              <w:textAlignment w:val="center"/>
              <w:rPr>
                <w:rFonts w:hint="eastAsia" w:ascii="宋体" w:hAnsi="宋体" w:eastAsia="宋体" w:cs="宋体"/>
                <w:kern w:val="2"/>
                <w:sz w:val="21"/>
                <w:szCs w:val="24"/>
                <w:shd w:val="clear" w:color="auto" w:fill="FFFFFF"/>
                <w:lang w:val="en-US" w:eastAsia="zh-CN" w:bidi="ar-SA"/>
              </w:rPr>
            </w:pPr>
            <w:r>
              <w:rPr>
                <w:rFonts w:hint="eastAsia" w:ascii="宋体" w:hAnsi="宋体" w:eastAsia="宋体" w:cs="宋体"/>
                <w:kern w:val="2"/>
                <w:sz w:val="21"/>
                <w:szCs w:val="24"/>
                <w:shd w:val="clear" w:color="auto" w:fill="FFFFFF"/>
                <w:lang w:val="en-US" w:eastAsia="zh-CN" w:bidi="ar-SA"/>
              </w:rPr>
              <w:t>- 电子气体出口至台积电、三星等国际客户，涉及美元、新台币结算。</w:t>
            </w:r>
            <w:r>
              <w:rPr>
                <w:rFonts w:hint="eastAsia" w:ascii="宋体" w:hAnsi="宋体" w:eastAsia="宋体" w:cs="宋体"/>
                <w:kern w:val="2"/>
                <w:sz w:val="21"/>
                <w:szCs w:val="24"/>
                <w:shd w:val="clear" w:color="auto" w:fill="FFFFFF"/>
                <w:lang w:val="en-US" w:eastAsia="zh-CN" w:bidi="ar-SA"/>
              </w:rPr>
              <w:br w:type="textWrapping"/>
            </w:r>
            <w:r>
              <w:rPr>
                <w:rFonts w:hint="eastAsia" w:ascii="宋体" w:hAnsi="宋体" w:eastAsia="宋体" w:cs="宋体"/>
                <w:kern w:val="2"/>
                <w:sz w:val="21"/>
                <w:szCs w:val="24"/>
                <w:shd w:val="clear" w:color="auto" w:fill="FFFFFF"/>
                <w:lang w:val="en-US" w:eastAsia="zh-CN" w:bidi="ar-SA"/>
              </w:rPr>
              <w:t>- 2023年母公司海外收入占比35%，汇率波动风险需对冲。</w:t>
            </w:r>
          </w:p>
        </w:tc>
      </w:tr>
      <w:tr w14:paraId="132643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nil"/>
            </w:tcBorders>
            <w:shd w:val="clear" w:color="auto" w:fill="auto"/>
            <w:tcMar>
              <w:top w:w="139" w:type="dxa"/>
              <w:left w:w="210" w:type="dxa"/>
              <w:bottom w:w="139" w:type="dxa"/>
              <w:right w:w="210" w:type="dxa"/>
            </w:tcMar>
            <w:vAlign w:val="center"/>
          </w:tcPr>
          <w:p w14:paraId="5B568351">
            <w:pPr>
              <w:keepNext w:val="0"/>
              <w:keepLines w:val="0"/>
              <w:widowControl/>
              <w:suppressLineNumbers w:val="0"/>
              <w:spacing w:before="0" w:beforeAutospacing="0" w:after="0" w:afterAutospacing="0"/>
              <w:ind w:left="0" w:right="0" w:firstLine="0"/>
              <w:jc w:val="center"/>
              <w:textAlignment w:val="center"/>
              <w:rPr>
                <w:rFonts w:hint="eastAsia" w:ascii="宋体" w:hAnsi="宋体" w:eastAsia="宋体" w:cs="宋体"/>
                <w:kern w:val="2"/>
                <w:sz w:val="21"/>
                <w:szCs w:val="24"/>
                <w:shd w:val="clear" w:color="auto" w:fill="FFFFFF"/>
                <w:lang w:val="en-US" w:eastAsia="zh-CN" w:bidi="ar-SA"/>
              </w:rPr>
            </w:pPr>
            <w:r>
              <w:rPr>
                <w:rFonts w:hint="eastAsia" w:ascii="宋体" w:hAnsi="宋体" w:eastAsia="宋体" w:cs="宋体"/>
                <w:kern w:val="2"/>
                <w:sz w:val="21"/>
                <w:szCs w:val="24"/>
                <w:shd w:val="clear" w:color="auto" w:fill="FFFFFF"/>
                <w:lang w:val="en-US" w:eastAsia="zh-CN" w:bidi="ar-SA"/>
              </w:rPr>
              <w:t>4</w:t>
            </w:r>
          </w:p>
        </w:tc>
        <w:tc>
          <w:tcPr>
            <w:tcW w:w="0" w:type="auto"/>
            <w:tcBorders>
              <w:top w:val="nil"/>
              <w:left w:val="nil"/>
              <w:bottom w:val="nil"/>
              <w:right w:val="nil"/>
            </w:tcBorders>
            <w:shd w:val="clear" w:color="auto" w:fill="auto"/>
            <w:tcMar>
              <w:top w:w="139" w:type="dxa"/>
              <w:left w:w="210" w:type="dxa"/>
              <w:bottom w:w="139" w:type="dxa"/>
              <w:right w:w="210" w:type="dxa"/>
            </w:tcMar>
            <w:vAlign w:val="center"/>
          </w:tcPr>
          <w:p w14:paraId="350DBFF5">
            <w:pPr>
              <w:keepNext w:val="0"/>
              <w:keepLines w:val="0"/>
              <w:widowControl/>
              <w:suppressLineNumbers w:val="0"/>
              <w:spacing w:before="0" w:beforeAutospacing="0" w:after="0" w:afterAutospacing="0"/>
              <w:ind w:left="0" w:right="0" w:firstLine="0"/>
              <w:jc w:val="center"/>
              <w:textAlignment w:val="center"/>
              <w:rPr>
                <w:rFonts w:hint="eastAsia" w:ascii="宋体" w:hAnsi="宋体" w:eastAsia="宋体" w:cs="宋体"/>
                <w:kern w:val="2"/>
                <w:sz w:val="21"/>
                <w:szCs w:val="24"/>
                <w:shd w:val="clear" w:color="auto" w:fill="FFFFFF"/>
                <w:lang w:val="en-US" w:eastAsia="zh-CN" w:bidi="ar-SA"/>
              </w:rPr>
            </w:pPr>
            <w:r>
              <w:rPr>
                <w:rFonts w:hint="eastAsia" w:ascii="宋体" w:hAnsi="宋体" w:eastAsia="宋体" w:cs="宋体"/>
                <w:kern w:val="2"/>
                <w:sz w:val="21"/>
                <w:szCs w:val="24"/>
                <w:shd w:val="clear" w:color="auto" w:fill="FFFFFF"/>
                <w:lang w:val="en-US" w:eastAsia="zh-CN" w:bidi="ar-SA"/>
              </w:rPr>
              <w:t>​国内保函​</w:t>
            </w:r>
          </w:p>
        </w:tc>
        <w:tc>
          <w:tcPr>
            <w:tcW w:w="0" w:type="auto"/>
            <w:tcBorders>
              <w:top w:val="nil"/>
              <w:left w:val="nil"/>
              <w:bottom w:val="nil"/>
              <w:right w:val="nil"/>
            </w:tcBorders>
            <w:shd w:val="clear" w:color="auto" w:fill="auto"/>
            <w:tcMar>
              <w:top w:w="139" w:type="dxa"/>
              <w:left w:w="210" w:type="dxa"/>
              <w:bottom w:w="139" w:type="dxa"/>
              <w:right w:w="210" w:type="dxa"/>
            </w:tcMar>
            <w:vAlign w:val="center"/>
          </w:tcPr>
          <w:p w14:paraId="452F0A35">
            <w:pPr>
              <w:keepNext w:val="0"/>
              <w:keepLines w:val="0"/>
              <w:widowControl/>
              <w:suppressLineNumbers w:val="0"/>
              <w:spacing w:before="0" w:beforeAutospacing="0" w:after="0" w:afterAutospacing="0"/>
              <w:ind w:left="0" w:right="0" w:firstLine="0"/>
              <w:jc w:val="center"/>
              <w:textAlignment w:val="center"/>
              <w:rPr>
                <w:rFonts w:hint="eastAsia" w:ascii="宋体" w:hAnsi="宋体" w:eastAsia="宋体" w:cs="宋体"/>
                <w:kern w:val="2"/>
                <w:sz w:val="21"/>
                <w:szCs w:val="24"/>
                <w:shd w:val="clear" w:color="auto" w:fill="FFFFFF"/>
                <w:lang w:val="en-US" w:eastAsia="zh-CN" w:bidi="ar-SA"/>
              </w:rPr>
            </w:pPr>
            <w:r>
              <w:rPr>
                <w:rFonts w:hint="eastAsia" w:ascii="宋体" w:hAnsi="宋体" w:eastAsia="宋体" w:cs="宋体"/>
                <w:kern w:val="2"/>
                <w:sz w:val="21"/>
                <w:szCs w:val="24"/>
                <w:shd w:val="clear" w:color="auto" w:fill="FFFFFF"/>
                <w:lang w:val="en-US" w:eastAsia="zh-CN" w:bidi="ar-SA"/>
              </w:rPr>
              <w:t>- 项目投标及设备采购需履约担保（如EPC合同保证金）。</w:t>
            </w:r>
            <w:r>
              <w:rPr>
                <w:rFonts w:hint="eastAsia" w:ascii="宋体" w:hAnsi="宋体" w:eastAsia="宋体" w:cs="宋体"/>
                <w:kern w:val="2"/>
                <w:sz w:val="21"/>
                <w:szCs w:val="24"/>
                <w:shd w:val="clear" w:color="auto" w:fill="FFFFFF"/>
                <w:lang w:val="en-US" w:eastAsia="zh-CN" w:bidi="ar-SA"/>
              </w:rPr>
              <w:br w:type="textWrapping"/>
            </w:r>
            <w:r>
              <w:rPr>
                <w:rFonts w:hint="eastAsia" w:ascii="宋体" w:hAnsi="宋体" w:eastAsia="宋体" w:cs="宋体"/>
                <w:kern w:val="2"/>
                <w:sz w:val="21"/>
                <w:szCs w:val="24"/>
                <w:shd w:val="clear" w:color="auto" w:fill="FFFFFF"/>
                <w:lang w:val="en-US" w:eastAsia="zh-CN" w:bidi="ar-SA"/>
              </w:rPr>
              <w:t>- 企业参与政府化工园区项目，保函可替代现金保证金占用。</w:t>
            </w:r>
          </w:p>
        </w:tc>
      </w:tr>
      <w:tr w14:paraId="53130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nil"/>
            </w:tcBorders>
            <w:shd w:val="clear" w:color="auto" w:fill="auto"/>
            <w:tcMar>
              <w:top w:w="139" w:type="dxa"/>
              <w:left w:w="210" w:type="dxa"/>
              <w:bottom w:w="139" w:type="dxa"/>
              <w:right w:w="210" w:type="dxa"/>
            </w:tcMar>
            <w:vAlign w:val="center"/>
          </w:tcPr>
          <w:p w14:paraId="46BE9D4D">
            <w:pPr>
              <w:keepNext w:val="0"/>
              <w:keepLines w:val="0"/>
              <w:widowControl/>
              <w:suppressLineNumbers w:val="0"/>
              <w:spacing w:before="0" w:beforeAutospacing="0" w:after="0" w:afterAutospacing="0"/>
              <w:ind w:left="0" w:right="0" w:firstLine="0"/>
              <w:jc w:val="center"/>
              <w:textAlignment w:val="center"/>
              <w:rPr>
                <w:rFonts w:hint="eastAsia" w:ascii="宋体" w:hAnsi="宋体" w:eastAsia="宋体" w:cs="宋体"/>
                <w:kern w:val="2"/>
                <w:sz w:val="21"/>
                <w:szCs w:val="24"/>
                <w:shd w:val="clear" w:color="auto" w:fill="FFFFFF"/>
                <w:lang w:val="en-US" w:eastAsia="zh-CN" w:bidi="ar-SA"/>
              </w:rPr>
            </w:pPr>
            <w:r>
              <w:rPr>
                <w:rFonts w:hint="eastAsia" w:ascii="宋体" w:hAnsi="宋体" w:eastAsia="宋体" w:cs="宋体"/>
                <w:kern w:val="2"/>
                <w:sz w:val="21"/>
                <w:szCs w:val="24"/>
                <w:shd w:val="clear" w:color="auto" w:fill="FFFFFF"/>
                <w:lang w:val="en-US" w:eastAsia="zh-CN" w:bidi="ar-SA"/>
              </w:rPr>
              <w:t>5</w:t>
            </w:r>
          </w:p>
        </w:tc>
        <w:tc>
          <w:tcPr>
            <w:tcW w:w="0" w:type="auto"/>
            <w:tcBorders>
              <w:top w:val="nil"/>
              <w:left w:val="nil"/>
              <w:bottom w:val="nil"/>
              <w:right w:val="nil"/>
            </w:tcBorders>
            <w:shd w:val="clear" w:color="auto" w:fill="auto"/>
            <w:tcMar>
              <w:top w:w="139" w:type="dxa"/>
              <w:left w:w="210" w:type="dxa"/>
              <w:bottom w:w="139" w:type="dxa"/>
              <w:right w:w="210" w:type="dxa"/>
            </w:tcMar>
            <w:vAlign w:val="center"/>
          </w:tcPr>
          <w:p w14:paraId="225B5226">
            <w:pPr>
              <w:keepNext w:val="0"/>
              <w:keepLines w:val="0"/>
              <w:widowControl/>
              <w:suppressLineNumbers w:val="0"/>
              <w:spacing w:before="0" w:beforeAutospacing="0" w:after="0" w:afterAutospacing="0"/>
              <w:ind w:left="0" w:right="0" w:firstLine="0"/>
              <w:jc w:val="center"/>
              <w:textAlignment w:val="center"/>
              <w:rPr>
                <w:rFonts w:hint="eastAsia" w:ascii="宋体" w:hAnsi="宋体" w:eastAsia="宋体" w:cs="宋体"/>
                <w:kern w:val="2"/>
                <w:sz w:val="21"/>
                <w:szCs w:val="24"/>
                <w:shd w:val="clear" w:color="auto" w:fill="FFFFFF"/>
                <w:lang w:val="en-US" w:eastAsia="zh-CN" w:bidi="ar-SA"/>
              </w:rPr>
            </w:pPr>
            <w:r>
              <w:rPr>
                <w:rFonts w:hint="eastAsia" w:ascii="宋体" w:hAnsi="宋体" w:eastAsia="宋体" w:cs="宋体"/>
                <w:kern w:val="2"/>
                <w:sz w:val="21"/>
                <w:szCs w:val="24"/>
                <w:shd w:val="clear" w:color="auto" w:fill="FFFFFF"/>
                <w:lang w:val="en-US" w:eastAsia="zh-CN" w:bidi="ar-SA"/>
              </w:rPr>
              <w:t>​流动资金贷款​</w:t>
            </w:r>
          </w:p>
        </w:tc>
        <w:tc>
          <w:tcPr>
            <w:tcW w:w="0" w:type="auto"/>
            <w:tcBorders>
              <w:top w:val="nil"/>
              <w:left w:val="nil"/>
              <w:bottom w:val="nil"/>
              <w:right w:val="nil"/>
            </w:tcBorders>
            <w:shd w:val="clear" w:color="auto" w:fill="auto"/>
            <w:tcMar>
              <w:top w:w="139" w:type="dxa"/>
              <w:left w:w="210" w:type="dxa"/>
              <w:bottom w:w="139" w:type="dxa"/>
              <w:right w:w="210" w:type="dxa"/>
            </w:tcMar>
            <w:vAlign w:val="center"/>
          </w:tcPr>
          <w:p w14:paraId="61AE5B08">
            <w:pPr>
              <w:keepNext w:val="0"/>
              <w:keepLines w:val="0"/>
              <w:widowControl/>
              <w:suppressLineNumbers w:val="0"/>
              <w:spacing w:before="0" w:beforeAutospacing="0" w:after="0" w:afterAutospacing="0"/>
              <w:ind w:left="0" w:right="0" w:firstLine="0"/>
              <w:jc w:val="center"/>
              <w:textAlignment w:val="center"/>
              <w:rPr>
                <w:rFonts w:hint="eastAsia" w:ascii="宋体" w:hAnsi="宋体" w:eastAsia="宋体" w:cs="宋体"/>
                <w:kern w:val="2"/>
                <w:sz w:val="21"/>
                <w:szCs w:val="24"/>
                <w:shd w:val="clear" w:color="auto" w:fill="FFFFFF"/>
                <w:lang w:val="en-US" w:eastAsia="zh-CN" w:bidi="ar-SA"/>
              </w:rPr>
            </w:pPr>
            <w:r>
              <w:rPr>
                <w:rFonts w:hint="eastAsia" w:ascii="宋体" w:hAnsi="宋体" w:eastAsia="宋体" w:cs="宋体"/>
                <w:kern w:val="2"/>
                <w:sz w:val="21"/>
                <w:szCs w:val="24"/>
                <w:shd w:val="clear" w:color="auto" w:fill="FFFFFF"/>
                <w:lang w:val="en-US" w:eastAsia="zh-CN" w:bidi="ar-SA"/>
              </w:rPr>
              <w:t>- 产能爬坡期原材料（萤石、工业级四氯化硅）备货需求增加。</w:t>
            </w:r>
            <w:r>
              <w:rPr>
                <w:rFonts w:hint="eastAsia" w:ascii="宋体" w:hAnsi="宋体" w:eastAsia="宋体" w:cs="宋体"/>
                <w:kern w:val="2"/>
                <w:sz w:val="21"/>
                <w:szCs w:val="24"/>
                <w:shd w:val="clear" w:color="auto" w:fill="FFFFFF"/>
                <w:lang w:val="en-US" w:eastAsia="zh-CN" w:bidi="ar-SA"/>
              </w:rPr>
              <w:br w:type="textWrapping"/>
            </w:r>
            <w:r>
              <w:rPr>
                <w:rFonts w:hint="eastAsia" w:ascii="宋体" w:hAnsi="宋体" w:eastAsia="宋体" w:cs="宋体"/>
                <w:kern w:val="2"/>
                <w:sz w:val="21"/>
                <w:szCs w:val="24"/>
                <w:shd w:val="clear" w:color="auto" w:fill="FFFFFF"/>
                <w:lang w:val="en-US" w:eastAsia="zh-CN" w:bidi="ar-SA"/>
              </w:rPr>
              <w:t>- 推测2024年营收3亿元，按20%周转率测算需6000万元营运资金。</w:t>
            </w:r>
          </w:p>
        </w:tc>
      </w:tr>
    </w:tbl>
    <w:p w14:paraId="3CAFC887">
      <w:pPr>
        <w:pStyle w:val="5"/>
        <w:widowControl w:val="0"/>
        <w:numPr>
          <w:ilvl w:val="0"/>
          <w:numId w:val="0"/>
        </w:numPr>
        <w:autoSpaceDE w:val="0"/>
        <w:spacing w:line="240" w:lineRule="atLeast"/>
        <w:jc w:val="both"/>
        <w:rPr>
          <w:rFonts w:hint="default" w:ascii="方正仿宋_GB2312" w:hAnsi="方正仿宋_GB2312" w:eastAsia="方正仿宋_GB2312" w:cs="方正仿宋_GB2312"/>
          <w:kern w:val="2"/>
          <w:sz w:val="21"/>
          <w:szCs w:val="24"/>
          <w:shd w:val="clear" w:color="auto" w:fill="FFFFFF"/>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altName w:val="仿宋"/>
    <w:panose1 w:val="02000000000000000000"/>
    <w:charset w:val="86"/>
    <w:family w:val="auto"/>
    <w:pitch w:val="default"/>
    <w:sig w:usb0="00000000" w:usb1="00000000" w:usb2="00000000" w:usb3="00000000" w:csb0="00040000" w:csb1="00000000"/>
  </w:font>
  <w:font w:name="方正仿宋_GBK">
    <w:altName w:val="微软雅黑"/>
    <w:panose1 w:val="02000000000000000000"/>
    <w:charset w:val="86"/>
    <w:family w:val="auto"/>
    <w:pitch w:val="default"/>
    <w:sig w:usb0="00000000" w:usb1="00000000" w:usb2="00000000" w:usb3="00000000" w:csb0="00160000" w:csb1="00000000"/>
  </w:font>
  <w:font w:name="PingFang SC">
    <w:altName w:val="宋体"/>
    <w:panose1 w:val="020B0400000000000000"/>
    <w:charset w:val="86"/>
    <w:family w:val="auto"/>
    <w:pitch w:val="default"/>
    <w:sig w:usb0="00000000" w:usb1="00000000" w:usb2="00000000" w:usb3="00000000" w:csb0="0016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6F6B44"/>
    <w:multiLevelType w:val="singleLevel"/>
    <w:tmpl w:val="976F6B44"/>
    <w:lvl w:ilvl="0" w:tentative="0">
      <w:start w:val="1"/>
      <w:numFmt w:val="decimal"/>
      <w:lvlText w:val="%1)"/>
      <w:lvlJc w:val="left"/>
      <w:pPr>
        <w:tabs>
          <w:tab w:val="left" w:pos="420"/>
        </w:tabs>
        <w:ind w:left="845" w:hanging="425"/>
      </w:pPr>
      <w:rPr>
        <w:rFonts w:hint="default"/>
      </w:rPr>
    </w:lvl>
  </w:abstractNum>
  <w:abstractNum w:abstractNumId="1">
    <w:nsid w:val="A9EFB431"/>
    <w:multiLevelType w:val="singleLevel"/>
    <w:tmpl w:val="A9EFB431"/>
    <w:lvl w:ilvl="0" w:tentative="0">
      <w:start w:val="1"/>
      <w:numFmt w:val="decimal"/>
      <w:lvlText w:val="%1)"/>
      <w:lvlJc w:val="left"/>
      <w:pPr>
        <w:tabs>
          <w:tab w:val="left" w:pos="840"/>
        </w:tabs>
        <w:ind w:left="1265" w:hanging="425"/>
      </w:pPr>
      <w:rPr>
        <w:rFonts w:hint="default"/>
      </w:rPr>
    </w:lvl>
  </w:abstractNum>
  <w:abstractNum w:abstractNumId="2">
    <w:nsid w:val="B6BC6106"/>
    <w:multiLevelType w:val="multilevel"/>
    <w:tmpl w:val="B6BC6106"/>
    <w:lvl w:ilvl="0" w:tentative="0">
      <w:start w:val="1"/>
      <w:numFmt w:val="decimal"/>
      <w:lvlText w:val="%1)"/>
      <w:lvlJc w:val="left"/>
      <w:pPr>
        <w:tabs>
          <w:tab w:val="left" w:pos="840"/>
        </w:tabs>
        <w:ind w:left="1265" w:hanging="425"/>
      </w:pPr>
      <w:rPr>
        <w:rFonts w:hint="default"/>
      </w:rPr>
    </w:lvl>
    <w:lvl w:ilvl="1" w:tentative="0">
      <w:start w:val="1"/>
      <w:numFmt w:val="lowerLetter"/>
      <w:lvlText w:val="%2."/>
      <w:lvlJc w:val="left"/>
      <w:pPr>
        <w:tabs>
          <w:tab w:val="left" w:pos="840"/>
        </w:tabs>
        <w:ind w:left="1680" w:leftChars="0" w:hanging="420" w:firstLineChars="0"/>
      </w:pPr>
      <w:rPr>
        <w:rFonts w:hint="default"/>
      </w:rPr>
    </w:lvl>
    <w:lvl w:ilvl="2" w:tentative="0">
      <w:start w:val="1"/>
      <w:numFmt w:val="lowerLetter"/>
      <w:lvlText w:val="%3)"/>
      <w:lvlJc w:val="left"/>
      <w:pPr>
        <w:tabs>
          <w:tab w:val="left" w:pos="1260"/>
        </w:tabs>
        <w:ind w:left="2100" w:leftChars="0" w:hanging="420" w:firstLineChars="0"/>
      </w:pPr>
      <w:rPr>
        <w:rFonts w:hint="default"/>
      </w:rPr>
    </w:lvl>
    <w:lvl w:ilvl="3" w:tentative="0">
      <w:start w:val="1"/>
      <w:numFmt w:val="lowerRoman"/>
      <w:lvlText w:val="%4."/>
      <w:lvlJc w:val="left"/>
      <w:pPr>
        <w:tabs>
          <w:tab w:val="left" w:pos="1680"/>
        </w:tabs>
        <w:ind w:left="2520" w:leftChars="0" w:hanging="420" w:firstLineChars="0"/>
      </w:pPr>
      <w:rPr>
        <w:rFonts w:hint="default"/>
      </w:rPr>
    </w:lvl>
    <w:lvl w:ilvl="4" w:tentative="0">
      <w:start w:val="1"/>
      <w:numFmt w:val="lowerRoman"/>
      <w:lvlText w:val="%5)"/>
      <w:lvlJc w:val="left"/>
      <w:pPr>
        <w:tabs>
          <w:tab w:val="left" w:pos="2100"/>
        </w:tabs>
        <w:ind w:left="2940" w:leftChars="0" w:hanging="420" w:firstLineChars="0"/>
      </w:pPr>
      <w:rPr>
        <w:rFonts w:hint="default"/>
      </w:rPr>
    </w:lvl>
    <w:lvl w:ilvl="5" w:tentative="0">
      <w:start w:val="1"/>
      <w:numFmt w:val="lowerLetter"/>
      <w:lvlText w:val="%6."/>
      <w:lvlJc w:val="left"/>
      <w:pPr>
        <w:tabs>
          <w:tab w:val="left" w:pos="2520"/>
        </w:tabs>
        <w:ind w:left="3360" w:leftChars="0" w:hanging="420" w:firstLineChars="0"/>
      </w:pPr>
      <w:rPr>
        <w:rFonts w:hint="default"/>
      </w:rPr>
    </w:lvl>
    <w:lvl w:ilvl="6" w:tentative="0">
      <w:start w:val="1"/>
      <w:numFmt w:val="lowerLetter"/>
      <w:lvlText w:val="%7)"/>
      <w:lvlJc w:val="left"/>
      <w:pPr>
        <w:tabs>
          <w:tab w:val="left" w:pos="2940"/>
        </w:tabs>
        <w:ind w:left="3780" w:leftChars="0" w:hanging="420" w:firstLineChars="0"/>
      </w:pPr>
      <w:rPr>
        <w:rFonts w:hint="default"/>
      </w:rPr>
    </w:lvl>
    <w:lvl w:ilvl="7" w:tentative="0">
      <w:start w:val="1"/>
      <w:numFmt w:val="lowerRoman"/>
      <w:lvlText w:val="%8."/>
      <w:lvlJc w:val="left"/>
      <w:pPr>
        <w:tabs>
          <w:tab w:val="left" w:pos="3360"/>
        </w:tabs>
        <w:ind w:left="4200" w:leftChars="0" w:hanging="420" w:firstLineChars="0"/>
      </w:pPr>
      <w:rPr>
        <w:rFonts w:hint="default"/>
      </w:rPr>
    </w:lvl>
    <w:lvl w:ilvl="8" w:tentative="0">
      <w:start w:val="1"/>
      <w:numFmt w:val="lowerRoman"/>
      <w:lvlText w:val="%9)"/>
      <w:lvlJc w:val="left"/>
      <w:pPr>
        <w:tabs>
          <w:tab w:val="left" w:pos="3780"/>
        </w:tabs>
        <w:ind w:left="4620" w:leftChars="0" w:hanging="420" w:firstLineChars="0"/>
      </w:pPr>
      <w:rPr>
        <w:rFonts w:hint="default"/>
      </w:rPr>
    </w:lvl>
  </w:abstractNum>
  <w:abstractNum w:abstractNumId="3">
    <w:nsid w:val="B9BF8E99"/>
    <w:multiLevelType w:val="singleLevel"/>
    <w:tmpl w:val="B9BF8E99"/>
    <w:lvl w:ilvl="0" w:tentative="0">
      <w:start w:val="1"/>
      <w:numFmt w:val="chineseCounting"/>
      <w:suff w:val="nothing"/>
      <w:lvlText w:val="%1、"/>
      <w:lvlJc w:val="left"/>
      <w:pPr>
        <w:ind w:left="0" w:firstLine="420"/>
      </w:pPr>
      <w:rPr>
        <w:rFonts w:hint="eastAsia"/>
      </w:rPr>
    </w:lvl>
  </w:abstractNum>
  <w:abstractNum w:abstractNumId="4">
    <w:nsid w:val="BF6B37DF"/>
    <w:multiLevelType w:val="singleLevel"/>
    <w:tmpl w:val="BF6B37DF"/>
    <w:lvl w:ilvl="0" w:tentative="0">
      <w:start w:val="1"/>
      <w:numFmt w:val="decimal"/>
      <w:lvlText w:val="%1)"/>
      <w:lvlJc w:val="left"/>
      <w:pPr>
        <w:tabs>
          <w:tab w:val="left" w:pos="840"/>
        </w:tabs>
        <w:ind w:left="1265" w:hanging="425"/>
      </w:pPr>
      <w:rPr>
        <w:rFonts w:hint="default"/>
      </w:rPr>
    </w:lvl>
  </w:abstractNum>
  <w:abstractNum w:abstractNumId="5">
    <w:nsid w:val="D6CA1E47"/>
    <w:multiLevelType w:val="singleLevel"/>
    <w:tmpl w:val="D6CA1E47"/>
    <w:lvl w:ilvl="0" w:tentative="0">
      <w:start w:val="1"/>
      <w:numFmt w:val="decimal"/>
      <w:lvlText w:val="%1)"/>
      <w:lvlJc w:val="left"/>
      <w:pPr>
        <w:tabs>
          <w:tab w:val="left" w:pos="420"/>
        </w:tabs>
        <w:ind w:left="845" w:hanging="425"/>
      </w:pPr>
      <w:rPr>
        <w:rFonts w:hint="default"/>
      </w:rPr>
    </w:lvl>
  </w:abstractNum>
  <w:abstractNum w:abstractNumId="6">
    <w:nsid w:val="DFBE04B9"/>
    <w:multiLevelType w:val="singleLevel"/>
    <w:tmpl w:val="DFBE04B9"/>
    <w:lvl w:ilvl="0" w:tentative="0">
      <w:start w:val="1"/>
      <w:numFmt w:val="bullet"/>
      <w:lvlText w:val=""/>
      <w:lvlJc w:val="left"/>
      <w:pPr>
        <w:tabs>
          <w:tab w:val="left" w:pos="420"/>
        </w:tabs>
        <w:ind w:left="840" w:hanging="420"/>
      </w:pPr>
      <w:rPr>
        <w:rFonts w:hint="default" w:ascii="Wingdings" w:hAnsi="Wingdings"/>
      </w:rPr>
    </w:lvl>
  </w:abstractNum>
  <w:abstractNum w:abstractNumId="7">
    <w:nsid w:val="FB4F3531"/>
    <w:multiLevelType w:val="singleLevel"/>
    <w:tmpl w:val="FB4F3531"/>
    <w:lvl w:ilvl="0" w:tentative="0">
      <w:start w:val="1"/>
      <w:numFmt w:val="decimal"/>
      <w:lvlText w:val="%1)"/>
      <w:lvlJc w:val="left"/>
      <w:pPr>
        <w:tabs>
          <w:tab w:val="left" w:pos="420"/>
        </w:tabs>
        <w:ind w:left="845" w:hanging="425"/>
      </w:pPr>
      <w:rPr>
        <w:rFonts w:hint="default"/>
      </w:rPr>
    </w:lvl>
  </w:abstractNum>
  <w:abstractNum w:abstractNumId="8">
    <w:nsid w:val="FF6B1C60"/>
    <w:multiLevelType w:val="singleLevel"/>
    <w:tmpl w:val="FF6B1C60"/>
    <w:lvl w:ilvl="0" w:tentative="0">
      <w:start w:val="1"/>
      <w:numFmt w:val="decimal"/>
      <w:lvlText w:val="%1."/>
      <w:lvlJc w:val="left"/>
      <w:pPr>
        <w:tabs>
          <w:tab w:val="left" w:pos="420"/>
        </w:tabs>
        <w:ind w:left="845" w:hanging="425"/>
      </w:pPr>
      <w:rPr>
        <w:rFonts w:hint="default"/>
      </w:rPr>
    </w:lvl>
  </w:abstractNum>
  <w:abstractNum w:abstractNumId="9">
    <w:nsid w:val="FFEF4256"/>
    <w:multiLevelType w:val="multilevel"/>
    <w:tmpl w:val="FFEF4256"/>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10">
    <w:nsid w:val="5FF729C2"/>
    <w:multiLevelType w:val="singleLevel"/>
    <w:tmpl w:val="5FF729C2"/>
    <w:lvl w:ilvl="0" w:tentative="0">
      <w:start w:val="1"/>
      <w:numFmt w:val="bullet"/>
      <w:lvlText w:val=""/>
      <w:lvlJc w:val="left"/>
      <w:pPr>
        <w:tabs>
          <w:tab w:val="left" w:pos="420"/>
        </w:tabs>
        <w:ind w:left="840" w:hanging="420"/>
      </w:pPr>
      <w:rPr>
        <w:rFonts w:hint="default" w:ascii="Wingdings" w:hAnsi="Wingdings"/>
      </w:rPr>
    </w:lvl>
  </w:abstractNum>
  <w:abstractNum w:abstractNumId="11">
    <w:nsid w:val="6BCB4C64"/>
    <w:multiLevelType w:val="singleLevel"/>
    <w:tmpl w:val="6BCB4C64"/>
    <w:lvl w:ilvl="0" w:tentative="0">
      <w:start w:val="1"/>
      <w:numFmt w:val="decimal"/>
      <w:lvlText w:val="%1."/>
      <w:lvlJc w:val="left"/>
      <w:pPr>
        <w:tabs>
          <w:tab w:val="left" w:pos="420"/>
        </w:tabs>
        <w:ind w:left="845" w:hanging="425"/>
      </w:pPr>
      <w:rPr>
        <w:rFonts w:hint="default"/>
      </w:rPr>
    </w:lvl>
  </w:abstractNum>
  <w:num w:numId="1">
    <w:abstractNumId w:val="3"/>
  </w:num>
  <w:num w:numId="2">
    <w:abstractNumId w:val="6"/>
  </w:num>
  <w:num w:numId="3">
    <w:abstractNumId w:val="11"/>
  </w:num>
  <w:num w:numId="4">
    <w:abstractNumId w:val="9"/>
  </w:num>
  <w:num w:numId="5">
    <w:abstractNumId w:val="2"/>
  </w:num>
  <w:num w:numId="6">
    <w:abstractNumId w:val="1"/>
  </w:num>
  <w:num w:numId="7">
    <w:abstractNumId w:val="10"/>
  </w:num>
  <w:num w:numId="8">
    <w:abstractNumId w:val="8"/>
  </w:num>
  <w:num w:numId="9">
    <w:abstractNumId w:val="4"/>
  </w:num>
  <w:num w:numId="10">
    <w:abstractNumId w:val="7"/>
  </w:num>
  <w:num w:numId="11">
    <w:abstractNumId w:val="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1"/>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DFA51C6"/>
    <w:rsid w:val="5E8261FD"/>
    <w:rsid w:val="BDFA51C6"/>
    <w:rsid w:val="BFEF07F2"/>
    <w:rsid w:val="FFF632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 w:type="paragraph" w:styleId="5">
    <w:name w:val="List Paragraph"/>
    <w:basedOn w:val="1"/>
    <w:qFormat/>
    <w:uiPriority w:val="34"/>
    <w:pPr>
      <w:ind w:firstLine="420" w:firstLineChars="200"/>
    </w:pPr>
  </w:style>
  <w:style w:type="paragraph" w:customStyle="1" w:styleId="6">
    <w:name w:val="Table Heading"/>
    <w:basedOn w:val="7"/>
    <w:qFormat/>
    <w:uiPriority w:val="0"/>
    <w:pPr>
      <w:suppressLineNumbers/>
      <w:shd w:val="clear" w:fill="DDDDDD"/>
      <w:bidi w:val="0"/>
      <w:jc w:val="center"/>
    </w:pPr>
    <w:rPr>
      <w:b/>
    </w:rPr>
  </w:style>
  <w:style w:type="paragraph" w:customStyle="1" w:styleId="7">
    <w:name w:val="Table Contents"/>
    <w:basedOn w:val="1"/>
    <w:qFormat/>
    <w:uiPriority w:val="0"/>
    <w:pPr>
      <w:suppressLineNumbers/>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webp"/><Relationship Id="rId5" Type="http://schemas.openxmlformats.org/officeDocument/2006/relationships/image" Target="media/image2.webp"/><Relationship Id="rId4" Type="http://schemas.openxmlformats.org/officeDocument/2006/relationships/image" Target="media/image1.webp"/><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4301</Words>
  <Characters>4629</Characters>
  <Lines>0</Lines>
  <Paragraphs>0</Paragraphs>
  <TotalTime>5</TotalTime>
  <ScaleCrop>false</ScaleCrop>
  <LinksUpToDate>false</LinksUpToDate>
  <CharactersWithSpaces>4649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2025-02-28T15:45:00Z</dcterms:created>
  <dc:creator>Cuicui</dc:creator>
  <cp:lastModifiedBy>郝爽</cp:lastModifiedBy>
  <dcterms:modified xsi:type="dcterms:W3CDTF">2025-03-14T08:26:34Z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36E388839B8D4E48A22CD0FBD2017DFF_13</vt:lpwstr>
  </property>
</Properties>
</file>