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6A505">
      <w:pPr>
        <w:pStyle w:val="2"/>
        <w:bidi w:val="0"/>
        <w:rPr>
          <w:rFonts w:hint="eastAsia"/>
        </w:rPr>
      </w:pPr>
      <w:r>
        <w:rPr>
          <w:rFonts w:hint="eastAsia"/>
        </w:rPr>
        <w:t>目标企业：江苏省苏力环境科技有限责任公司</w:t>
      </w:r>
    </w:p>
    <w:p w14:paraId="67ADD4AE">
      <w:pPr>
        <w:pStyle w:val="3"/>
        <w:bidi w:val="0"/>
      </w:pPr>
      <w:r>
        <w:rPr>
          <w:rFonts w:hint="eastAsia"/>
        </w:rPr>
        <w:t>一、</w:t>
      </w:r>
      <w:r>
        <w:t xml:space="preserve">基本情况 </w:t>
      </w:r>
    </w:p>
    <w:p w14:paraId="3760A9B3">
      <w:pPr>
        <w:numPr>
          <w:ilvl w:val="0"/>
          <w:numId w:val="1"/>
        </w:numPr>
        <w:ind w:left="420" w:leftChars="0" w:hanging="420" w:firstLineChars="0"/>
        <w:rPr>
          <w:rFonts w:hint="eastAsia" w:ascii="宋体" w:hAnsi="宋体" w:eastAsia="宋体"/>
          <w:szCs w:val="21"/>
        </w:rPr>
      </w:pPr>
      <w:r>
        <w:rPr>
          <w:rFonts w:hint="eastAsia" w:ascii="宋体" w:hAnsi="宋体" w:eastAsia="宋体"/>
          <w:szCs w:val="21"/>
        </w:rPr>
        <w:t>企业名称 ：江苏省苏力环境科技有限责任公司</w:t>
      </w:r>
    </w:p>
    <w:p w14:paraId="2D634046">
      <w:pPr>
        <w:numPr>
          <w:ilvl w:val="0"/>
          <w:numId w:val="1"/>
        </w:numPr>
        <w:ind w:left="420" w:leftChars="0" w:hanging="420" w:firstLineChars="0"/>
        <w:rPr>
          <w:rFonts w:hint="eastAsia" w:ascii="宋体" w:hAnsi="宋体" w:eastAsia="宋体"/>
          <w:szCs w:val="21"/>
        </w:rPr>
      </w:pPr>
      <w:r>
        <w:rPr>
          <w:rFonts w:hint="eastAsia" w:ascii="宋体" w:hAnsi="宋体" w:eastAsia="宋体"/>
          <w:szCs w:val="21"/>
        </w:rPr>
        <w:t>注册地 ：南京市建邺区嘉陵江东街8号2幢3单元19层（最新地址）</w:t>
      </w:r>
    </w:p>
    <w:p w14:paraId="64B43A4B">
      <w:pPr>
        <w:numPr>
          <w:ilvl w:val="0"/>
          <w:numId w:val="1"/>
        </w:numPr>
        <w:ind w:left="420" w:leftChars="0" w:hanging="420" w:firstLineChars="0"/>
        <w:rPr>
          <w:rFonts w:hint="eastAsia" w:ascii="宋体" w:hAnsi="宋体" w:eastAsia="宋体"/>
          <w:szCs w:val="21"/>
        </w:rPr>
      </w:pPr>
      <w:r>
        <w:rPr>
          <w:rFonts w:hint="eastAsia" w:ascii="宋体" w:hAnsi="宋体" w:eastAsia="宋体"/>
          <w:szCs w:val="21"/>
        </w:rPr>
        <w:t>法人：陆晓波</w:t>
      </w:r>
    </w:p>
    <w:p w14:paraId="5C63586A">
      <w:pPr>
        <w:numPr>
          <w:ilvl w:val="0"/>
          <w:numId w:val="1"/>
        </w:numPr>
        <w:ind w:left="420" w:leftChars="0" w:hanging="420" w:firstLineChars="0"/>
        <w:rPr>
          <w:rFonts w:hint="eastAsia" w:ascii="宋体" w:hAnsi="宋体" w:eastAsia="宋体"/>
          <w:szCs w:val="21"/>
        </w:rPr>
      </w:pPr>
      <w:r>
        <w:rPr>
          <w:rFonts w:hint="eastAsia" w:ascii="宋体" w:hAnsi="宋体" w:eastAsia="宋体"/>
          <w:szCs w:val="21"/>
        </w:rPr>
        <w:t>实控人：江苏省环保集团（母公司）</w:t>
      </w:r>
    </w:p>
    <w:p w14:paraId="73EB09EB">
      <w:pPr>
        <w:numPr>
          <w:ilvl w:val="0"/>
          <w:numId w:val="1"/>
        </w:numPr>
        <w:ind w:left="420" w:leftChars="0" w:hanging="420" w:firstLineChars="0"/>
        <w:rPr>
          <w:rFonts w:hint="eastAsia" w:ascii="宋体" w:hAnsi="宋体" w:eastAsia="宋体"/>
          <w:szCs w:val="21"/>
        </w:rPr>
      </w:pPr>
      <w:r>
        <w:rPr>
          <w:rFonts w:hint="eastAsia" w:ascii="宋体" w:hAnsi="宋体" w:eastAsia="宋体"/>
          <w:szCs w:val="21"/>
        </w:rPr>
        <w:t>成立日期 ：2011年3月4日</w:t>
      </w:r>
    </w:p>
    <w:p w14:paraId="69BDC9E0">
      <w:pPr>
        <w:numPr>
          <w:ilvl w:val="0"/>
          <w:numId w:val="1"/>
        </w:numPr>
        <w:ind w:left="420" w:leftChars="0" w:hanging="420" w:firstLineChars="0"/>
        <w:rPr>
          <w:rFonts w:hint="eastAsia" w:ascii="宋体" w:hAnsi="宋体" w:eastAsia="宋体"/>
          <w:szCs w:val="21"/>
        </w:rPr>
      </w:pPr>
      <w:r>
        <w:rPr>
          <w:rFonts w:hint="eastAsia" w:ascii="宋体" w:hAnsi="宋体" w:eastAsia="宋体"/>
          <w:szCs w:val="21"/>
        </w:rPr>
        <w:t>注册资本 ：15000万元人民币</w:t>
      </w:r>
    </w:p>
    <w:p w14:paraId="4C58213C">
      <w:pPr>
        <w:numPr>
          <w:ilvl w:val="0"/>
          <w:numId w:val="1"/>
        </w:numPr>
        <w:ind w:left="420" w:leftChars="0" w:hanging="420" w:firstLineChars="0"/>
        <w:rPr>
          <w:rFonts w:hint="eastAsia" w:ascii="宋体" w:hAnsi="宋体" w:eastAsia="宋体"/>
          <w:szCs w:val="21"/>
        </w:rPr>
      </w:pPr>
      <w:r>
        <w:rPr>
          <w:rFonts w:hint="eastAsia" w:ascii="宋体" w:hAnsi="宋体" w:eastAsia="宋体"/>
          <w:szCs w:val="21"/>
        </w:rPr>
        <w:t>企业资质 ：国家级高新技术企业、专精特新中小企业、瞪羚企业，通过实验室计量认证（CMA）、ISO9001质量管理体系、环境管理体系及职业健康安全管理体系认证，并入选工信部2022年大数据产业发展试点示范项目</w:t>
      </w:r>
    </w:p>
    <w:p w14:paraId="41764E3C">
      <w:pPr>
        <w:numPr>
          <w:ilvl w:val="0"/>
          <w:numId w:val="1"/>
        </w:numPr>
        <w:ind w:left="420" w:leftChars="0" w:hanging="420" w:firstLineChars="0"/>
        <w:rPr>
          <w:rFonts w:hint="eastAsia" w:ascii="宋体" w:hAnsi="宋体" w:eastAsia="宋体"/>
          <w:szCs w:val="21"/>
        </w:rPr>
      </w:pPr>
      <w:r>
        <w:rPr>
          <w:rFonts w:hint="eastAsia" w:ascii="宋体" w:hAnsi="宋体" w:eastAsia="宋体"/>
          <w:szCs w:val="21"/>
        </w:rPr>
        <w:t>所属园区 ：暂无公开信息</w:t>
      </w:r>
    </w:p>
    <w:p w14:paraId="091D71A6">
      <w:pPr>
        <w:rPr>
          <w:rFonts w:hint="eastAsia" w:ascii="宋体" w:hAnsi="宋体" w:eastAsia="宋体"/>
          <w:szCs w:val="21"/>
        </w:rPr>
      </w:pPr>
    </w:p>
    <w:p w14:paraId="59C1154F">
      <w:pPr>
        <w:pStyle w:val="3"/>
        <w:bidi w:val="0"/>
        <w:jc w:val="left"/>
        <w:rPr>
          <w:rFonts w:ascii="宋体" w:hAnsi="宋体" w:eastAsia="宋体"/>
          <w:szCs w:val="21"/>
        </w:rPr>
      </w:pPr>
      <w:r>
        <w:rPr>
          <w:rFonts w:hint="eastAsia"/>
          <w:lang w:val="en-US" w:eastAsia="zh-CN"/>
        </w:rPr>
        <w:t>二、</w:t>
      </w:r>
      <w:r>
        <w:rPr>
          <w:rFonts w:hint="eastAsia"/>
        </w:rPr>
        <w:t>关键人及团队</w:t>
      </w:r>
    </w:p>
    <w:p w14:paraId="4F27A4AD">
      <w:pPr>
        <w:numPr>
          <w:ilvl w:val="0"/>
          <w:numId w:val="1"/>
        </w:numPr>
        <w:ind w:left="420" w:leftChars="0" w:hanging="420" w:firstLineChars="0"/>
        <w:rPr>
          <w:rFonts w:hint="eastAsia" w:ascii="宋体" w:hAnsi="宋体" w:eastAsia="宋体"/>
          <w:szCs w:val="21"/>
        </w:rPr>
      </w:pPr>
      <w:r>
        <w:rPr>
          <w:rFonts w:hint="eastAsia" w:ascii="宋体" w:hAnsi="宋体" w:eastAsia="宋体"/>
          <w:b/>
          <w:bCs/>
          <w:szCs w:val="21"/>
        </w:rPr>
        <w:t>负责人陆晓波（</w:t>
      </w:r>
      <w:r>
        <w:rPr>
          <w:rFonts w:hint="eastAsia" w:ascii="宋体" w:hAnsi="宋体" w:eastAsia="宋体"/>
          <w:szCs w:val="21"/>
        </w:rPr>
        <w:t>法定代表人/执行董事兼总经理）：自2011年公司成立起担任核心管理职务，推动企业从环境检测机构向综合性科技企业转型，主导通过CMA认证（2012）、ISO管理体系认证（2015）及国家级高新技术企业认定（2016），2022年带领团队入选工信部大数据产业发展试点示范项目。</w:t>
      </w:r>
    </w:p>
    <w:p w14:paraId="6845F181">
      <w:pPr>
        <w:numPr>
          <w:ilvl w:val="0"/>
          <w:numId w:val="1"/>
        </w:numPr>
        <w:ind w:left="420" w:leftChars="0" w:hanging="420" w:firstLineChars="0"/>
        <w:rPr>
          <w:rFonts w:hint="eastAsia" w:ascii="宋体" w:hAnsi="宋体" w:eastAsia="宋体"/>
          <w:b w:val="0"/>
          <w:bCs w:val="0"/>
          <w:szCs w:val="21"/>
        </w:rPr>
      </w:pPr>
      <w:r>
        <w:rPr>
          <w:rFonts w:hint="eastAsia" w:ascii="宋体" w:hAnsi="宋体" w:eastAsia="宋体"/>
          <w:b/>
          <w:bCs/>
          <w:szCs w:val="21"/>
        </w:rPr>
        <w:t>实控人江苏省环保集团（母公司）：</w:t>
      </w:r>
      <w:r>
        <w:rPr>
          <w:rFonts w:hint="eastAsia" w:ascii="宋体" w:hAnsi="宋体" w:eastAsia="宋体"/>
          <w:b w:val="0"/>
          <w:bCs w:val="0"/>
          <w:szCs w:val="21"/>
        </w:rPr>
        <w:t>通过全资控股实现对企业的战略性管理，2019年后整合资源推动智慧环境大数据系统建设（2020年启动，投资2100万元），并依托集团优势承接省级重大监测项目如苏州市碳监测能力建设（2023年中标金额666万元）。</w:t>
      </w:r>
    </w:p>
    <w:p w14:paraId="11993334">
      <w:pPr>
        <w:numPr>
          <w:ilvl w:val="0"/>
          <w:numId w:val="0"/>
        </w:numPr>
        <w:ind w:leftChars="0"/>
        <w:rPr>
          <w:rFonts w:hint="eastAsia" w:ascii="宋体" w:hAnsi="宋体" w:eastAsia="宋体"/>
          <w:b/>
          <w:bCs/>
          <w:szCs w:val="21"/>
        </w:rPr>
      </w:pPr>
    </w:p>
    <w:p w14:paraId="6A71927E">
      <w:pPr>
        <w:numPr>
          <w:ilvl w:val="0"/>
          <w:numId w:val="1"/>
        </w:numPr>
        <w:ind w:left="420" w:leftChars="0" w:hanging="420" w:firstLineChars="0"/>
        <w:rPr>
          <w:rFonts w:hint="eastAsia" w:ascii="宋体" w:hAnsi="宋体" w:eastAsia="宋体"/>
          <w:b/>
          <w:bCs/>
          <w:szCs w:val="21"/>
        </w:rPr>
      </w:pPr>
      <w:r>
        <w:rPr>
          <w:rFonts w:hint="eastAsia" w:ascii="宋体" w:hAnsi="宋体" w:eastAsia="宋体"/>
          <w:b/>
          <w:bCs/>
          <w:szCs w:val="21"/>
        </w:rPr>
        <w:t>发展脉络：</w:t>
      </w:r>
    </w:p>
    <w:p w14:paraId="7A664369">
      <w:pPr>
        <w:rPr>
          <w:rFonts w:hint="eastAsia" w:ascii="宋体" w:hAnsi="宋体" w:eastAsia="宋体"/>
          <w:szCs w:val="21"/>
        </w:rPr>
      </w:pPr>
      <w:r>
        <w:rPr>
          <w:rFonts w:hint="eastAsia" w:ascii="宋体" w:hAnsi="宋体" w:eastAsia="宋体"/>
          <w:szCs w:val="21"/>
        </w:rPr>
        <w:t>​2011-2015年：初创期，专注环境检测基础能力建设，通过CMA认证覆盖五大类检测能力，成为甲级环境监理机构；</w:t>
      </w:r>
    </w:p>
    <w:p w14:paraId="08216638">
      <w:pPr>
        <w:rPr>
          <w:rFonts w:hint="eastAsia" w:ascii="宋体" w:hAnsi="宋体" w:eastAsia="宋体"/>
          <w:szCs w:val="21"/>
        </w:rPr>
      </w:pPr>
      <w:r>
        <w:rPr>
          <w:rFonts w:hint="eastAsia" w:ascii="宋体" w:hAnsi="宋体" w:eastAsia="宋体"/>
          <w:szCs w:val="21"/>
        </w:rPr>
        <w:t>​2016-2019年：技术升级期，获“国家高新企业”称号，拓展自动监测运维业务（覆盖全省190个站点）；</w:t>
      </w:r>
    </w:p>
    <w:p w14:paraId="08E543B1">
      <w:pPr>
        <w:rPr>
          <w:rFonts w:hint="eastAsia" w:ascii="宋体" w:hAnsi="宋体" w:eastAsia="宋体"/>
          <w:szCs w:val="21"/>
        </w:rPr>
      </w:pPr>
      <w:r>
        <w:rPr>
          <w:rFonts w:hint="eastAsia" w:ascii="宋体" w:hAnsi="宋体" w:eastAsia="宋体"/>
          <w:szCs w:val="21"/>
        </w:rPr>
        <w:t>​2020年至今：数字化转型期，构建智慧环境大数据平台，开展大气污染协同管控、碳监测等省级重点项目，2022年营收突破6.13亿元。</w:t>
      </w:r>
    </w:p>
    <w:p w14:paraId="460C6B4A">
      <w:pPr>
        <w:rPr>
          <w:rFonts w:hint="eastAsia" w:ascii="宋体" w:hAnsi="宋体" w:eastAsia="宋体"/>
          <w:szCs w:val="21"/>
        </w:rPr>
      </w:pPr>
    </w:p>
    <w:p w14:paraId="4CF0A0F9">
      <w:pPr>
        <w:numPr>
          <w:ilvl w:val="0"/>
          <w:numId w:val="1"/>
        </w:numPr>
        <w:ind w:left="420" w:leftChars="0" w:hanging="420" w:firstLineChars="0"/>
        <w:rPr>
          <w:rFonts w:hint="eastAsia" w:ascii="宋体" w:hAnsi="宋体" w:eastAsia="宋体"/>
          <w:b/>
          <w:bCs/>
          <w:szCs w:val="21"/>
        </w:rPr>
      </w:pPr>
      <w:r>
        <w:rPr>
          <w:rFonts w:hint="eastAsia" w:ascii="宋体" w:hAnsi="宋体" w:eastAsia="宋体"/>
          <w:b/>
          <w:bCs/>
          <w:szCs w:val="21"/>
        </w:rPr>
        <w:t>当前团队：</w:t>
      </w:r>
    </w:p>
    <w:p w14:paraId="557D5916">
      <w:pPr>
        <w:rPr>
          <w:rFonts w:hint="eastAsia" w:ascii="宋体" w:hAnsi="宋体" w:eastAsia="宋体"/>
          <w:szCs w:val="21"/>
        </w:rPr>
      </w:pPr>
      <w:r>
        <w:rPr>
          <w:rFonts w:hint="eastAsia" w:ascii="宋体" w:hAnsi="宋体" w:eastAsia="宋体"/>
          <w:szCs w:val="21"/>
        </w:rPr>
        <w:t>人员规模264人（2023年），涵盖环境监测、大数据分析等领域，核心成员包括监测分析事业部部长金啸、运行维护事业部部长丁曦宁（2023年任江苏省环境监测协会副理事长及秘书长）；</w:t>
      </w:r>
    </w:p>
    <w:p w14:paraId="552EEA74">
      <w:pPr>
        <w:rPr>
          <w:rFonts w:hint="eastAsia" w:ascii="宋体" w:hAnsi="宋体" w:eastAsia="宋体"/>
          <w:szCs w:val="21"/>
        </w:rPr>
      </w:pPr>
      <w:r>
        <w:rPr>
          <w:rFonts w:hint="eastAsia" w:ascii="宋体" w:hAnsi="宋体" w:eastAsia="宋体"/>
          <w:szCs w:val="21"/>
        </w:rPr>
        <w:t>技术团队拥有61项专利、29项软件著作权，研发投入聚焦环境大数据分析与污染源追踪技术。</w:t>
      </w:r>
    </w:p>
    <w:p w14:paraId="29B42927">
      <w:pPr>
        <w:rPr>
          <w:rFonts w:hint="eastAsia" w:ascii="宋体" w:hAnsi="宋体" w:eastAsia="宋体"/>
          <w:szCs w:val="21"/>
        </w:rPr>
      </w:pPr>
    </w:p>
    <w:p w14:paraId="6E5C2DCE">
      <w:pPr>
        <w:numPr>
          <w:ilvl w:val="0"/>
          <w:numId w:val="1"/>
        </w:numPr>
        <w:ind w:left="420" w:leftChars="0" w:hanging="420" w:firstLineChars="0"/>
        <w:rPr>
          <w:rFonts w:hint="eastAsia" w:ascii="宋体" w:hAnsi="宋体" w:eastAsia="宋体"/>
          <w:b/>
          <w:bCs/>
          <w:szCs w:val="21"/>
        </w:rPr>
      </w:pPr>
      <w:r>
        <w:rPr>
          <w:rFonts w:hint="eastAsia" w:ascii="宋体" w:hAnsi="宋体" w:eastAsia="宋体"/>
          <w:b/>
          <w:bCs/>
          <w:szCs w:val="21"/>
        </w:rPr>
        <w:t>重大项目：</w:t>
      </w:r>
    </w:p>
    <w:p w14:paraId="27FF6E2B">
      <w:pPr>
        <w:rPr>
          <w:rFonts w:hint="eastAsia" w:ascii="宋体" w:hAnsi="宋体" w:eastAsia="宋体"/>
          <w:szCs w:val="21"/>
        </w:rPr>
      </w:pPr>
      <w:r>
        <w:rPr>
          <w:rFonts w:hint="eastAsia" w:ascii="宋体" w:hAnsi="宋体" w:eastAsia="宋体"/>
          <w:szCs w:val="21"/>
        </w:rPr>
        <w:t>智慧环境大数据系统（2020-2022年）：实现全省生态环境数据整合，日均处理5000万条数据，获工信部试点示范；</w:t>
      </w:r>
    </w:p>
    <w:p w14:paraId="677DCB92">
      <w:pPr>
        <w:rPr>
          <w:rFonts w:hint="eastAsia" w:ascii="宋体" w:hAnsi="宋体" w:eastAsia="宋体"/>
          <w:szCs w:val="21"/>
        </w:rPr>
      </w:pPr>
      <w:r>
        <w:rPr>
          <w:rFonts w:hint="eastAsia" w:ascii="宋体" w:hAnsi="宋体" w:eastAsia="宋体"/>
          <w:szCs w:val="21"/>
        </w:rPr>
        <w:t>苏州市碳监测能力建设（2023年）：中标金额508.45万元，部署CO₂/CH₄监测系统及森林碳汇观测设备；</w:t>
      </w:r>
    </w:p>
    <w:p w14:paraId="6F4B9A30">
      <w:pPr>
        <w:rPr>
          <w:rFonts w:hint="eastAsia" w:ascii="宋体" w:hAnsi="宋体" w:eastAsia="宋体"/>
          <w:szCs w:val="21"/>
        </w:rPr>
      </w:pPr>
      <w:r>
        <w:rPr>
          <w:rFonts w:hint="eastAsia" w:ascii="宋体" w:hAnsi="宋体" w:eastAsia="宋体"/>
          <w:szCs w:val="21"/>
        </w:rPr>
        <w:t>重点区域大气污染协同管控（2022年）：联合广东盈峰科技等技术方开展污染源解析，项目金额超300万元。</w:t>
      </w:r>
    </w:p>
    <w:p w14:paraId="7207524D">
      <w:pPr>
        <w:rPr>
          <w:rFonts w:hint="eastAsia" w:ascii="宋体" w:hAnsi="宋体" w:eastAsia="宋体"/>
          <w:szCs w:val="21"/>
        </w:rPr>
      </w:pPr>
    </w:p>
    <w:p w14:paraId="603A339B">
      <w:pPr>
        <w:numPr>
          <w:ilvl w:val="0"/>
          <w:numId w:val="1"/>
        </w:numPr>
        <w:ind w:left="420" w:leftChars="0" w:hanging="420" w:firstLineChars="0"/>
        <w:rPr>
          <w:rFonts w:hint="eastAsia" w:ascii="宋体" w:hAnsi="宋体" w:eastAsia="宋体"/>
          <w:b/>
          <w:bCs/>
          <w:szCs w:val="21"/>
        </w:rPr>
      </w:pPr>
      <w:r>
        <w:rPr>
          <w:rFonts w:hint="eastAsia" w:ascii="宋体" w:hAnsi="宋体" w:eastAsia="宋体"/>
          <w:b/>
          <w:bCs/>
          <w:szCs w:val="21"/>
        </w:rPr>
        <w:t>资本布局：</w:t>
      </w:r>
    </w:p>
    <w:p w14:paraId="0EAF22A5">
      <w:pPr>
        <w:rPr>
          <w:rFonts w:hint="eastAsia" w:ascii="宋体" w:hAnsi="宋体" w:eastAsia="宋体"/>
          <w:szCs w:val="21"/>
        </w:rPr>
      </w:pPr>
      <w:r>
        <w:rPr>
          <w:rFonts w:hint="eastAsia" w:ascii="宋体" w:hAnsi="宋体" w:eastAsia="宋体"/>
          <w:szCs w:val="21"/>
        </w:rPr>
        <w:t>母公司江苏省环保集团主导资本运作，注册资本1.5亿元全实缴，2024年营业收入达6.13亿元；</w:t>
      </w:r>
    </w:p>
    <w:p w14:paraId="09547238">
      <w:pPr>
        <w:rPr>
          <w:rFonts w:hint="eastAsia" w:ascii="宋体" w:hAnsi="宋体" w:eastAsia="宋体"/>
          <w:szCs w:val="21"/>
        </w:rPr>
      </w:pPr>
      <w:r>
        <w:rPr>
          <w:rFonts w:hint="eastAsia" w:ascii="宋体" w:hAnsi="宋体" w:eastAsia="宋体"/>
          <w:szCs w:val="21"/>
        </w:rPr>
        <w:t>历史分支机构覆盖武汉、上海等7地（2016年设立，后均注销），当前业务以省内监测运维及数据服务为主。</w:t>
      </w:r>
    </w:p>
    <w:p w14:paraId="43070507">
      <w:pPr>
        <w:rPr>
          <w:rFonts w:hint="eastAsia" w:ascii="宋体" w:hAnsi="宋体" w:eastAsia="宋体"/>
          <w:szCs w:val="21"/>
        </w:rPr>
      </w:pPr>
    </w:p>
    <w:p w14:paraId="3C345B27">
      <w:pPr>
        <w:pStyle w:val="3"/>
        <w:bidi w:val="0"/>
        <w:jc w:val="left"/>
        <w:rPr>
          <w:rFonts w:hint="eastAsia"/>
          <w:lang w:val="en-US" w:eastAsia="zh-CN"/>
        </w:rPr>
      </w:pPr>
      <w:r>
        <w:rPr>
          <w:rFonts w:hint="eastAsia"/>
          <w:lang w:val="en-US" w:eastAsia="zh-CN"/>
        </w:rPr>
        <w:t>三、主营业务产品、海内外市场份额</w:t>
      </w:r>
    </w:p>
    <w:p w14:paraId="53B9878B">
      <w:pPr>
        <w:pStyle w:val="7"/>
        <w:numPr>
          <w:ilvl w:val="0"/>
          <w:numId w:val="1"/>
        </w:numPr>
        <w:bidi w:val="0"/>
        <w:rPr>
          <w:rFonts w:hint="eastAsia"/>
        </w:rPr>
      </w:pPr>
      <w:r>
        <w:rPr>
          <w:rFonts w:hint="eastAsia"/>
          <w:lang w:val="en-US" w:eastAsia="zh-CN"/>
        </w:rPr>
        <w:t>（一）主营业务产品</w:t>
      </w:r>
    </w:p>
    <w:p w14:paraId="5CBE2283">
      <w:pPr>
        <w:numPr>
          <w:ilvl w:val="0"/>
          <w:numId w:val="1"/>
        </w:numPr>
        <w:ind w:left="420" w:leftChars="0" w:hanging="420" w:firstLineChars="0"/>
        <w:rPr>
          <w:rFonts w:hint="eastAsia" w:ascii="宋体" w:hAnsi="宋体" w:eastAsia="宋体"/>
          <w:szCs w:val="21"/>
        </w:rPr>
      </w:pPr>
      <w:r>
        <w:rPr>
          <w:rFonts w:hint="eastAsia" w:ascii="宋体" w:hAnsi="宋体" w:eastAsia="宋体"/>
          <w:b/>
          <w:bCs/>
          <w:szCs w:val="21"/>
          <w:lang w:val="en-US" w:eastAsia="zh-CN"/>
        </w:rPr>
        <w:t>1、</w:t>
      </w:r>
      <w:r>
        <w:rPr>
          <w:rFonts w:hint="eastAsia" w:ascii="宋体" w:hAnsi="宋体" w:eastAsia="宋体"/>
          <w:b/>
          <w:bCs/>
          <w:szCs w:val="21"/>
        </w:rPr>
        <w:t>企业的主打产品是：智慧环境大数据中台系统</w:t>
      </w:r>
    </w:p>
    <w:p w14:paraId="0ACA52E7">
      <w:pPr>
        <w:ind w:firstLine="420" w:firstLineChars="200"/>
        <w:rPr>
          <w:rFonts w:hint="eastAsia" w:ascii="宋体" w:hAnsi="宋体" w:eastAsia="宋体"/>
          <w:szCs w:val="21"/>
        </w:rPr>
      </w:pPr>
      <w:r>
        <w:rPr>
          <w:rFonts w:hint="eastAsia" w:ascii="宋体" w:hAnsi="宋体" w:eastAsia="宋体"/>
          <w:szCs w:val="21"/>
        </w:rPr>
        <w:t>该产品入选2023年江苏省信息技术应用创新标杆工程名单，并被列为典型解决方案，其核心功能是整合生态环境监测、污染源监控等全域数据，构建国产化“环境智慧大脑”。</w:t>
      </w:r>
    </w:p>
    <w:p w14:paraId="7088C59B">
      <w:pPr>
        <w:rPr>
          <w:rFonts w:hint="eastAsia" w:ascii="宋体" w:hAnsi="宋体" w:eastAsia="宋体"/>
          <w:szCs w:val="21"/>
        </w:rPr>
      </w:pPr>
      <w:r>
        <w:rPr>
          <w:rFonts w:hint="eastAsia" w:ascii="宋体" w:hAnsi="宋体" w:eastAsia="宋体"/>
          <w:szCs w:val="21"/>
        </w:rPr>
        <w:t>系统通过统一标准集成环境信息资源，形成“一个中心、三个平台、三个体系、N个应用”的架构，实现跨部门、跨层级数据共享与智能决策。</w:t>
      </w:r>
    </w:p>
    <w:p w14:paraId="6A4678A3">
      <w:pPr>
        <w:ind w:firstLine="420" w:firstLineChars="200"/>
        <w:rPr>
          <w:rFonts w:hint="eastAsia" w:ascii="宋体" w:hAnsi="宋体" w:eastAsia="宋体"/>
          <w:szCs w:val="21"/>
        </w:rPr>
      </w:pPr>
      <w:r>
        <w:rPr>
          <w:rFonts w:hint="eastAsia" w:ascii="宋体" w:hAnsi="宋体" w:eastAsia="宋体"/>
          <w:szCs w:val="21"/>
        </w:rPr>
        <w:t>2024年市级创新产品名单显示，该产品已实现对国产主流芯片及操作系统的全面兼容，并在全省工业园区智慧化管控、市级生态环境监测平台中成熟应用。</w:t>
      </w:r>
    </w:p>
    <w:p w14:paraId="29ABD947">
      <w:pPr>
        <w:rPr>
          <w:rFonts w:ascii="宋体" w:hAnsi="宋体" w:eastAsia="宋体" w:cs="宋体"/>
          <w:sz w:val="24"/>
          <w:szCs w:val="24"/>
        </w:rPr>
      </w:pPr>
      <w:r>
        <w:rPr>
          <w:rFonts w:ascii="宋体" w:hAnsi="宋体" w:eastAsia="宋体" w:cs="宋体"/>
          <w:sz w:val="24"/>
          <w:szCs w:val="24"/>
        </w:rPr>
        <w:drawing>
          <wp:inline distT="0" distB="0" distL="114300" distR="114300">
            <wp:extent cx="5274310" cy="2788285"/>
            <wp:effectExtent l="0" t="0" r="8890" b="5715"/>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4"/>
                    <a:stretch>
                      <a:fillRect/>
                    </a:stretch>
                  </pic:blipFill>
                  <pic:spPr>
                    <a:xfrm>
                      <a:off x="0" y="0"/>
                      <a:ext cx="5274310" cy="2788285"/>
                    </a:xfrm>
                    <a:prstGeom prst="rect">
                      <a:avLst/>
                    </a:prstGeom>
                    <a:noFill/>
                    <a:ln w="9525">
                      <a:noFill/>
                    </a:ln>
                  </pic:spPr>
                </pic:pic>
              </a:graphicData>
            </a:graphic>
          </wp:inline>
        </w:drawing>
      </w:r>
    </w:p>
    <w:p w14:paraId="6D403D80">
      <w:pPr>
        <w:rPr>
          <w:rFonts w:hint="eastAsia" w:ascii="宋体" w:hAnsi="宋体" w:eastAsia="宋体" w:cs="宋体"/>
          <w:sz w:val="24"/>
          <w:szCs w:val="24"/>
        </w:rPr>
      </w:pPr>
    </w:p>
    <w:p w14:paraId="7729FEC4">
      <w:pPr>
        <w:numPr>
          <w:ilvl w:val="0"/>
          <w:numId w:val="1"/>
        </w:numPr>
        <w:ind w:left="420" w:leftChars="0" w:hanging="420" w:firstLineChars="0"/>
        <w:rPr>
          <w:rFonts w:hint="eastAsia" w:ascii="宋体" w:hAnsi="宋体" w:eastAsia="宋体"/>
          <w:szCs w:val="21"/>
        </w:rPr>
      </w:pPr>
      <w:r>
        <w:rPr>
          <w:rFonts w:hint="eastAsia" w:ascii="宋体" w:hAnsi="宋体" w:eastAsia="宋体"/>
          <w:b/>
          <w:bCs/>
          <w:szCs w:val="21"/>
          <w:lang w:val="en-US" w:eastAsia="zh-CN"/>
        </w:rPr>
        <w:t>2、</w:t>
      </w:r>
      <w:r>
        <w:rPr>
          <w:rFonts w:hint="eastAsia" w:ascii="宋体" w:hAnsi="宋体" w:eastAsia="宋体"/>
          <w:b/>
          <w:bCs/>
          <w:szCs w:val="21"/>
        </w:rPr>
        <w:t>企业的核心技术是：大数据整合与智能分析技术</w:t>
      </w:r>
    </w:p>
    <w:p w14:paraId="0E6058F6">
      <w:pPr>
        <w:ind w:firstLine="420" w:firstLineChars="200"/>
        <w:rPr>
          <w:rFonts w:hint="eastAsia" w:ascii="宋体" w:hAnsi="宋体" w:eastAsia="宋体"/>
          <w:szCs w:val="21"/>
        </w:rPr>
      </w:pPr>
      <w:r>
        <w:rPr>
          <w:rFonts w:hint="eastAsia" w:ascii="宋体" w:hAnsi="宋体" w:eastAsia="宋体"/>
          <w:szCs w:val="21"/>
        </w:rPr>
        <w:t>核心技术支撑智慧环境大数据中台系统，通过混合链构建全流程IT服务拓扑关系，融合动态阈值算法实现异常检测，并利用统一Agent技术实现多场景资源快速接入。</w:t>
      </w:r>
    </w:p>
    <w:p w14:paraId="36F48075">
      <w:pPr>
        <w:ind w:firstLine="420" w:firstLineChars="200"/>
        <w:rPr>
          <w:rFonts w:hint="eastAsia" w:ascii="宋体" w:hAnsi="宋体" w:eastAsia="宋体"/>
          <w:szCs w:val="21"/>
        </w:rPr>
      </w:pPr>
      <w:r>
        <w:rPr>
          <w:rFonts w:hint="eastAsia" w:ascii="宋体" w:hAnsi="宋体" w:eastAsia="宋体"/>
          <w:szCs w:val="21"/>
        </w:rPr>
        <w:t>技术能力覆盖环境数据全要素治理，包括数据采集、分类、建模及可视化分析，日均处理5000万条数据，形成“智慧化仓储超市”式数据服务体系。</w:t>
      </w:r>
    </w:p>
    <w:p w14:paraId="12DDFE5D">
      <w:pPr>
        <w:ind w:firstLine="420" w:firstLineChars="200"/>
        <w:rPr>
          <w:rFonts w:hint="eastAsia" w:ascii="宋体" w:hAnsi="宋体" w:eastAsia="宋体"/>
          <w:szCs w:val="21"/>
        </w:rPr>
      </w:pPr>
      <w:r>
        <w:rPr>
          <w:rFonts w:hint="eastAsia" w:ascii="宋体" w:hAnsi="宋体" w:eastAsia="宋体"/>
          <w:szCs w:val="21"/>
        </w:rPr>
        <w:t>2016年至今持续迭代，支撑企业获得国家级高新技术企业、专精特新中小企业等资质，并入选工信部大数据产业发展试点示范项目。</w:t>
      </w:r>
    </w:p>
    <w:p w14:paraId="2BC1B551">
      <w:pPr>
        <w:pStyle w:val="7"/>
        <w:numPr>
          <w:ilvl w:val="0"/>
          <w:numId w:val="1"/>
        </w:numPr>
        <w:bidi w:val="0"/>
        <w:rPr>
          <w:rFonts w:hint="eastAsia"/>
          <w:b/>
          <w:lang w:val="en-US" w:eastAsia="zh-CN"/>
        </w:rPr>
      </w:pPr>
      <w:r>
        <w:rPr>
          <w:rFonts w:hint="eastAsia"/>
          <w:b/>
          <w:lang w:val="en-US" w:eastAsia="zh-CN"/>
        </w:rPr>
        <w:t>（三）解决的问题：</w:t>
      </w:r>
    </w:p>
    <w:p w14:paraId="5FD1EB25">
      <w:pPr>
        <w:ind w:firstLine="420" w:firstLineChars="200"/>
        <w:rPr>
          <w:rFonts w:hint="eastAsia" w:ascii="宋体" w:hAnsi="宋体" w:eastAsia="宋体"/>
          <w:szCs w:val="21"/>
        </w:rPr>
      </w:pPr>
      <w:r>
        <w:rPr>
          <w:rFonts w:hint="eastAsia" w:ascii="宋体" w:hAnsi="宋体" w:eastAsia="宋体"/>
          <w:szCs w:val="21"/>
        </w:rPr>
        <w:t>这些产品瞄准环境管理的三大难题：</w:t>
      </w:r>
      <w:r>
        <w:rPr>
          <w:rFonts w:hint="eastAsia" w:ascii="宋体" w:hAnsi="宋体" w:eastAsia="宋体"/>
          <w:b/>
          <w:bCs/>
          <w:szCs w:val="21"/>
        </w:rPr>
        <w:t>数据碎片化、监测效率低、决策滞后</w:t>
      </w:r>
      <w:r>
        <w:rPr>
          <w:rFonts w:hint="eastAsia" w:ascii="宋体" w:hAnsi="宋体" w:eastAsia="宋体"/>
          <w:szCs w:val="21"/>
        </w:rPr>
        <w:t>。</w:t>
      </w:r>
    </w:p>
    <w:p w14:paraId="40EC94B5">
      <w:pPr>
        <w:ind w:firstLine="420" w:firstLineChars="200"/>
        <w:rPr>
          <w:rFonts w:hint="eastAsia" w:ascii="宋体" w:hAnsi="宋体" w:eastAsia="宋体"/>
          <w:szCs w:val="21"/>
        </w:rPr>
      </w:pPr>
      <w:r>
        <w:rPr>
          <w:rFonts w:hint="eastAsia" w:ascii="宋体" w:hAnsi="宋体" w:eastAsia="宋体"/>
          <w:szCs w:val="21"/>
        </w:rPr>
        <w:t>过去，环保部门需要从不同机构拼凑数据，耗时且易出错。例如，2019年江苏省大气PM2.5监测项目涉及190个站点数据整合，苏力的系统能自动汇总分析，帮助政府快速锁定污染源头。</w:t>
      </w:r>
    </w:p>
    <w:p w14:paraId="0DE48011">
      <w:pPr>
        <w:ind w:firstLine="420" w:firstLineChars="200"/>
        <w:rPr>
          <w:rFonts w:hint="eastAsia" w:ascii="宋体" w:hAnsi="宋体" w:eastAsia="宋体"/>
          <w:szCs w:val="21"/>
        </w:rPr>
      </w:pPr>
      <w:r>
        <w:rPr>
          <w:rFonts w:hint="eastAsia" w:ascii="宋体" w:hAnsi="宋体" w:eastAsia="宋体"/>
          <w:szCs w:val="21"/>
        </w:rPr>
        <w:t>对于企业，传统废气检测需采样送实验室，周期长达3天。苏力的便携色谱仪可直接在现场完成检测，避免停产损失。</w:t>
      </w:r>
    </w:p>
    <w:p w14:paraId="1A8CE91E">
      <w:pPr>
        <w:ind w:firstLine="420" w:firstLineChars="200"/>
        <w:rPr>
          <w:rFonts w:hint="eastAsia" w:ascii="宋体" w:hAnsi="宋体" w:eastAsia="宋体"/>
          <w:szCs w:val="21"/>
        </w:rPr>
      </w:pPr>
      <w:r>
        <w:rPr>
          <w:rFonts w:hint="eastAsia" w:ascii="宋体" w:hAnsi="宋体" w:eastAsia="宋体"/>
          <w:szCs w:val="21"/>
        </w:rPr>
        <w:t>在污染预警方面，大数据平台能提前24小时预测空气质量变化，辅助政府启动应急管控，减少雾霾天对公众健康的影响。</w:t>
      </w:r>
    </w:p>
    <w:p w14:paraId="31DC33E8">
      <w:pPr>
        <w:pStyle w:val="7"/>
        <w:numPr>
          <w:ilvl w:val="0"/>
          <w:numId w:val="1"/>
        </w:numPr>
        <w:bidi w:val="0"/>
        <w:rPr>
          <w:rFonts w:hint="eastAsia"/>
          <w:b/>
          <w:lang w:val="en-US" w:eastAsia="zh-CN"/>
        </w:rPr>
      </w:pPr>
      <w:r>
        <w:rPr>
          <w:rFonts w:hint="eastAsia"/>
          <w:b/>
          <w:lang w:val="en-US" w:eastAsia="zh-CN"/>
        </w:rPr>
        <w:t>（四）目标客户：</w:t>
      </w:r>
    </w:p>
    <w:p w14:paraId="4777CE28">
      <w:pPr>
        <w:ind w:firstLine="420" w:firstLineChars="200"/>
        <w:rPr>
          <w:rFonts w:hint="eastAsia" w:ascii="宋体" w:hAnsi="宋体" w:eastAsia="宋体"/>
          <w:szCs w:val="21"/>
        </w:rPr>
      </w:pPr>
      <w:r>
        <w:rPr>
          <w:rFonts w:hint="eastAsia" w:ascii="宋体" w:hAnsi="宋体" w:eastAsia="宋体"/>
          <w:szCs w:val="21"/>
        </w:rPr>
        <w:t>三类企业最需要苏力的服务：</w:t>
      </w:r>
    </w:p>
    <w:p w14:paraId="6962E7D9">
      <w:pPr>
        <w:rPr>
          <w:rFonts w:hint="eastAsia"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 xml:space="preserve">  </w:t>
      </w:r>
      <w:r>
        <w:rPr>
          <w:rFonts w:hint="eastAsia" w:ascii="宋体" w:hAnsi="宋体" w:eastAsia="宋体"/>
          <w:b/>
          <w:bCs/>
          <w:szCs w:val="21"/>
          <w:lang w:val="en-US" w:eastAsia="zh-CN"/>
        </w:rPr>
        <w:t>1、</w:t>
      </w:r>
      <w:r>
        <w:rPr>
          <w:rFonts w:hint="eastAsia" w:ascii="宋体" w:hAnsi="宋体" w:eastAsia="宋体"/>
          <w:b/>
          <w:bCs/>
          <w:szCs w:val="21"/>
        </w:rPr>
        <w:t>政府环保部门：</w:t>
      </w:r>
      <w:r>
        <w:rPr>
          <w:rFonts w:hint="eastAsia" w:ascii="宋体" w:hAnsi="宋体" w:eastAsia="宋体"/>
          <w:szCs w:val="21"/>
        </w:rPr>
        <w:t>用于环境监管（如PM2.5网格化监测）、污染溯源和应急决策。例如，江苏省环境监测中心曾采购其PM2.5监测系统，合同金额超2600万元。</w:t>
      </w:r>
    </w:p>
    <w:p w14:paraId="5AFCE893">
      <w:pPr>
        <w:rPr>
          <w:rFonts w:hint="eastAsia"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 xml:space="preserve">  </w:t>
      </w:r>
      <w:r>
        <w:rPr>
          <w:rFonts w:hint="eastAsia" w:ascii="宋体" w:hAnsi="宋体" w:eastAsia="宋体"/>
          <w:b/>
          <w:bCs/>
          <w:szCs w:val="21"/>
          <w:lang w:val="en-US" w:eastAsia="zh-CN"/>
        </w:rPr>
        <w:t>2、高污染行业企业：</w:t>
      </w:r>
      <w:r>
        <w:rPr>
          <w:rFonts w:hint="eastAsia" w:ascii="宋体" w:hAnsi="宋体" w:eastAsia="宋体"/>
          <w:szCs w:val="21"/>
        </w:rPr>
        <w:t>如化工、印染、石油企业，需监测废气排放是否达标。苏力的在线色谱仪可24小时监控排污口，避免罚款风险。</w:t>
      </w:r>
    </w:p>
    <w:p w14:paraId="341DE5E4">
      <w:pPr>
        <w:rPr>
          <w:rFonts w:hint="eastAsia"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 xml:space="preserve"> </w:t>
      </w:r>
      <w:r>
        <w:rPr>
          <w:rFonts w:hint="eastAsia" w:ascii="宋体" w:hAnsi="宋体" w:eastAsia="宋体"/>
          <w:b/>
          <w:bCs/>
          <w:szCs w:val="21"/>
          <w:lang w:val="en-US" w:eastAsia="zh-CN"/>
        </w:rPr>
        <w:t xml:space="preserve"> 3、第三方环保服务机构：</w:t>
      </w:r>
      <w:r>
        <w:rPr>
          <w:rFonts w:hint="eastAsia" w:ascii="宋体" w:hAnsi="宋体" w:eastAsia="宋体"/>
          <w:szCs w:val="21"/>
        </w:rPr>
        <w:t>借助苏力的检测能力和大数据平台，为中小企业提供环保咨询、污染治理方案。</w:t>
      </w:r>
    </w:p>
    <w:p w14:paraId="005995EF">
      <w:pPr>
        <w:pStyle w:val="7"/>
        <w:numPr>
          <w:ilvl w:val="0"/>
          <w:numId w:val="1"/>
        </w:numPr>
        <w:bidi w:val="0"/>
        <w:rPr>
          <w:rFonts w:hint="eastAsia"/>
          <w:b/>
          <w:lang w:val="en-US" w:eastAsia="zh-CN"/>
        </w:rPr>
      </w:pPr>
      <w:r>
        <w:rPr>
          <w:rFonts w:hint="eastAsia"/>
          <w:b/>
          <w:lang w:val="en-US" w:eastAsia="zh-CN"/>
        </w:rPr>
        <w:t>（五）​总结：</w:t>
      </w:r>
    </w:p>
    <w:p w14:paraId="73C6415F">
      <w:pPr>
        <w:ind w:firstLine="420" w:firstLineChars="200"/>
        <w:rPr>
          <w:rFonts w:hint="eastAsia" w:ascii="宋体" w:hAnsi="宋体" w:eastAsia="宋体"/>
          <w:szCs w:val="21"/>
        </w:rPr>
      </w:pPr>
      <w:r>
        <w:rPr>
          <w:rFonts w:hint="eastAsia" w:ascii="宋体" w:hAnsi="宋体" w:eastAsia="宋体"/>
          <w:szCs w:val="21"/>
        </w:rPr>
        <w:t>苏力环境通过“数据+硬件”组合拳，既帮政府破解环境治理“看不见、管不全”的难题，又为企业提供“测得快、成本低”的监测工具。其智慧平台如同环保领域的“导航系统”，让决策者从“盲人摸象”升级为“全局掌控”；而便携设备则像“环境听诊器”，让污染无处遁形。在碳中和政策推动下，这类技术将成为工厂绿色转型、城市生态管理的刚需工具。</w:t>
      </w:r>
    </w:p>
    <w:p w14:paraId="15167885">
      <w:pPr>
        <w:ind w:firstLine="420" w:firstLineChars="200"/>
        <w:rPr>
          <w:rFonts w:hint="eastAsia" w:ascii="宋体" w:hAnsi="宋体" w:eastAsia="宋体"/>
          <w:szCs w:val="21"/>
        </w:rPr>
      </w:pPr>
    </w:p>
    <w:p w14:paraId="7BD1C810">
      <w:pPr>
        <w:ind w:firstLine="420" w:firstLineChars="200"/>
        <w:rPr>
          <w:rFonts w:hint="eastAsia" w:ascii="宋体" w:hAnsi="宋体" w:eastAsia="宋体"/>
          <w:szCs w:val="21"/>
        </w:rPr>
      </w:pPr>
    </w:p>
    <w:p w14:paraId="1CE1A229">
      <w:pPr>
        <w:pStyle w:val="3"/>
        <w:numPr>
          <w:ilvl w:val="0"/>
          <w:numId w:val="0"/>
        </w:numPr>
        <w:bidi w:val="0"/>
        <w:jc w:val="left"/>
        <w:outlineLvl w:val="2"/>
        <w:rPr>
          <w:rFonts w:hint="eastAsia"/>
          <w:lang w:val="en-US" w:eastAsia="zh-CN"/>
        </w:rPr>
      </w:pPr>
      <w:r>
        <w:rPr>
          <w:rFonts w:hint="eastAsia"/>
          <w:lang w:val="en-US" w:eastAsia="zh-CN"/>
        </w:rPr>
        <w:t>四、经营情况、盈利结构、现金流、海内外市场份额、金融机构合作</w:t>
      </w:r>
    </w:p>
    <w:p w14:paraId="492C2949">
      <w:pPr>
        <w:pStyle w:val="7"/>
        <w:numPr>
          <w:ilvl w:val="0"/>
          <w:numId w:val="0"/>
        </w:numPr>
        <w:bidi w:val="0"/>
        <w:ind w:leftChars="0"/>
        <w:rPr>
          <w:rFonts w:hint="eastAsia"/>
          <w:b/>
          <w:lang w:val="en-US" w:eastAsia="zh-CN"/>
        </w:rPr>
      </w:pPr>
      <w:r>
        <w:rPr>
          <w:rFonts w:hint="eastAsia"/>
          <w:b/>
          <w:lang w:val="en-US" w:eastAsia="zh-CN"/>
        </w:rPr>
        <w:t>（一）主营业务产品</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0"/>
        <w:gridCol w:w="1894"/>
        <w:gridCol w:w="2602"/>
        <w:gridCol w:w="2576"/>
      </w:tblGrid>
      <w:tr w14:paraId="2354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tcBorders>
              <w:top w:val="single" w:color="auto" w:sz="4" w:space="0"/>
              <w:left w:val="single" w:color="auto" w:sz="4" w:space="0"/>
              <w:bottom w:val="single" w:color="auto" w:sz="4" w:space="0"/>
              <w:right w:val="single" w:color="auto" w:sz="4" w:space="0"/>
            </w:tcBorders>
            <w:shd w:val="clear" w:color="auto" w:fill="FAFAFA"/>
            <w:vAlign w:val="center"/>
          </w:tcPr>
          <w:p w14:paraId="477C7088">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分类</w:t>
            </w:r>
          </w:p>
        </w:tc>
        <w:tc>
          <w:tcPr>
            <w:tcW w:w="1111" w:type="pct"/>
            <w:tcBorders>
              <w:top w:val="single" w:color="auto" w:sz="4" w:space="0"/>
              <w:left w:val="single" w:color="auto" w:sz="4" w:space="0"/>
              <w:bottom w:val="single" w:color="auto" w:sz="4" w:space="0"/>
              <w:right w:val="single" w:color="auto" w:sz="4" w:space="0"/>
            </w:tcBorders>
            <w:shd w:val="clear" w:color="auto" w:fill="FAFAFA"/>
            <w:vAlign w:val="center"/>
          </w:tcPr>
          <w:p w14:paraId="3CEA6103">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指标名称</w:t>
            </w:r>
          </w:p>
        </w:tc>
        <w:tc>
          <w:tcPr>
            <w:tcW w:w="1526" w:type="pct"/>
            <w:tcBorders>
              <w:top w:val="single" w:color="auto" w:sz="4" w:space="0"/>
              <w:left w:val="single" w:color="auto" w:sz="4" w:space="0"/>
              <w:bottom w:val="single" w:color="auto" w:sz="4" w:space="0"/>
              <w:right w:val="single" w:color="auto" w:sz="4" w:space="0"/>
            </w:tcBorders>
            <w:shd w:val="clear" w:color="auto" w:fill="FAFAFA"/>
            <w:vAlign w:val="center"/>
          </w:tcPr>
          <w:p w14:paraId="5FC19A5B">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2023年指标区间</w:t>
            </w:r>
            <w:r>
              <w:rPr>
                <w:rStyle w:val="14"/>
                <w:rFonts w:hint="eastAsia" w:ascii="宋体" w:hAnsi="宋体" w:eastAsia="宋体" w:cs="宋体"/>
                <w:color w:val="FF0000"/>
                <w:kern w:val="0"/>
                <w:sz w:val="21"/>
                <w:szCs w:val="21"/>
              </w:rPr>
              <w:t>疑似规上</w:t>
            </w:r>
          </w:p>
        </w:tc>
        <w:tc>
          <w:tcPr>
            <w:tcW w:w="1511" w:type="pct"/>
            <w:tcBorders>
              <w:top w:val="single" w:color="auto" w:sz="4" w:space="0"/>
              <w:left w:val="single" w:color="auto" w:sz="4" w:space="0"/>
              <w:bottom w:val="single" w:color="auto" w:sz="4" w:space="0"/>
              <w:right w:val="single" w:color="auto" w:sz="4" w:space="0"/>
            </w:tcBorders>
            <w:shd w:val="clear" w:color="auto" w:fill="FAFAFA"/>
            <w:vAlign w:val="center"/>
          </w:tcPr>
          <w:p w14:paraId="6D52A015">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2022年指标区间</w:t>
            </w:r>
            <w:r>
              <w:rPr>
                <w:rStyle w:val="14"/>
                <w:rFonts w:hint="eastAsia" w:ascii="宋体" w:hAnsi="宋体" w:eastAsia="宋体" w:cs="宋体"/>
                <w:color w:val="FF0000"/>
                <w:kern w:val="0"/>
                <w:sz w:val="21"/>
                <w:szCs w:val="21"/>
              </w:rPr>
              <w:t>疑似规上</w:t>
            </w:r>
          </w:p>
        </w:tc>
      </w:tr>
      <w:tr w14:paraId="3376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restart"/>
            <w:tcBorders>
              <w:top w:val="nil"/>
              <w:left w:val="single" w:color="auto" w:sz="4" w:space="0"/>
              <w:bottom w:val="single" w:color="auto" w:sz="4" w:space="0"/>
              <w:right w:val="single" w:color="auto" w:sz="4" w:space="0"/>
            </w:tcBorders>
            <w:shd w:val="clear" w:color="auto" w:fill="FFFFFF"/>
            <w:vAlign w:val="center"/>
          </w:tcPr>
          <w:p w14:paraId="1B1F4C92">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资产负债表</w:t>
            </w:r>
          </w:p>
        </w:tc>
        <w:tc>
          <w:tcPr>
            <w:tcW w:w="1111" w:type="pct"/>
            <w:tcBorders>
              <w:top w:val="single" w:color="auto" w:sz="4" w:space="0"/>
              <w:left w:val="single" w:color="auto" w:sz="4" w:space="0"/>
              <w:bottom w:val="single" w:color="auto" w:sz="4" w:space="0"/>
              <w:right w:val="single" w:color="auto" w:sz="4" w:space="0"/>
            </w:tcBorders>
            <w:shd w:val="clear" w:color="auto" w:fill="FFFFFF"/>
            <w:vAlign w:val="center"/>
          </w:tcPr>
          <w:p w14:paraId="3FA49C9A">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资产总额</w:t>
            </w:r>
          </w:p>
        </w:tc>
        <w:tc>
          <w:tcPr>
            <w:tcW w:w="1526" w:type="pct"/>
            <w:tcBorders>
              <w:top w:val="single" w:color="auto" w:sz="4" w:space="0"/>
              <w:left w:val="single" w:color="auto" w:sz="4" w:space="0"/>
              <w:bottom w:val="single" w:color="auto" w:sz="4" w:space="0"/>
              <w:right w:val="single" w:color="auto" w:sz="4" w:space="0"/>
            </w:tcBorders>
            <w:shd w:val="clear" w:color="auto" w:fill="FFFFFF"/>
            <w:vAlign w:val="center"/>
          </w:tcPr>
          <w:p w14:paraId="385A0DC1">
            <w:pPr>
              <w:widowControl/>
              <w:jc w:val="center"/>
              <w:textAlignment w:val="center"/>
              <w:rPr>
                <w:rFonts w:hint="default"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暂无数据</w:t>
            </w:r>
          </w:p>
        </w:tc>
        <w:tc>
          <w:tcPr>
            <w:tcW w:w="1511" w:type="pct"/>
            <w:tcBorders>
              <w:top w:val="single" w:color="auto" w:sz="4" w:space="0"/>
              <w:left w:val="single" w:color="auto" w:sz="4" w:space="0"/>
              <w:bottom w:val="single" w:color="auto" w:sz="4" w:space="0"/>
              <w:right w:val="single" w:color="auto" w:sz="4" w:space="0"/>
            </w:tcBorders>
            <w:shd w:val="clear" w:color="auto" w:fill="FFFFFF"/>
            <w:vAlign w:val="center"/>
          </w:tcPr>
          <w:p w14:paraId="494AB29F">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[5亿,∞)</w:t>
            </w:r>
          </w:p>
        </w:tc>
      </w:tr>
      <w:tr w14:paraId="6A1E7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continue"/>
            <w:tcBorders>
              <w:top w:val="nil"/>
              <w:left w:val="single" w:color="auto" w:sz="4" w:space="0"/>
              <w:bottom w:val="single" w:color="auto" w:sz="4" w:space="0"/>
              <w:right w:val="single" w:color="auto" w:sz="4" w:space="0"/>
            </w:tcBorders>
            <w:vAlign w:val="center"/>
          </w:tcPr>
          <w:p w14:paraId="1C86BE7B">
            <w:pPr>
              <w:rPr>
                <w:rFonts w:hint="eastAsia" w:ascii="宋体" w:hAnsi="宋体" w:eastAsia="宋体" w:cs="宋体"/>
                <w:color w:val="auto"/>
                <w:kern w:val="2"/>
                <w:sz w:val="21"/>
                <w:szCs w:val="21"/>
              </w:rPr>
            </w:pPr>
          </w:p>
        </w:tc>
        <w:tc>
          <w:tcPr>
            <w:tcW w:w="1111" w:type="pct"/>
            <w:tcBorders>
              <w:top w:val="single" w:color="auto" w:sz="4" w:space="0"/>
              <w:left w:val="single" w:color="auto" w:sz="4" w:space="0"/>
              <w:bottom w:val="single" w:color="auto" w:sz="4" w:space="0"/>
              <w:right w:val="single" w:color="auto" w:sz="4" w:space="0"/>
            </w:tcBorders>
            <w:shd w:val="clear" w:color="auto" w:fill="FFFFFF"/>
            <w:vAlign w:val="center"/>
          </w:tcPr>
          <w:p w14:paraId="5BDD96A8">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负债总额</w:t>
            </w:r>
          </w:p>
        </w:tc>
        <w:tc>
          <w:tcPr>
            <w:tcW w:w="1526" w:type="pct"/>
            <w:tcBorders>
              <w:top w:val="single" w:color="auto" w:sz="4" w:space="0"/>
              <w:left w:val="single" w:color="auto" w:sz="4" w:space="0"/>
              <w:bottom w:val="single" w:color="auto" w:sz="4" w:space="0"/>
              <w:right w:val="single" w:color="auto" w:sz="4" w:space="0"/>
            </w:tcBorders>
            <w:shd w:val="clear" w:color="auto" w:fill="FFFFFF"/>
            <w:vAlign w:val="center"/>
          </w:tcPr>
          <w:p w14:paraId="72E93C90">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暂无数据</w:t>
            </w:r>
          </w:p>
        </w:tc>
        <w:tc>
          <w:tcPr>
            <w:tcW w:w="1511" w:type="pct"/>
            <w:tcBorders>
              <w:top w:val="single" w:color="auto" w:sz="4" w:space="0"/>
              <w:left w:val="single" w:color="auto" w:sz="4" w:space="0"/>
              <w:bottom w:val="single" w:color="auto" w:sz="4" w:space="0"/>
              <w:right w:val="single" w:color="auto" w:sz="4" w:space="0"/>
            </w:tcBorders>
            <w:shd w:val="clear" w:color="auto" w:fill="FFFFFF"/>
            <w:vAlign w:val="center"/>
          </w:tcPr>
          <w:p w14:paraId="09DC5C1A">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[10000万,5亿)</w:t>
            </w:r>
          </w:p>
        </w:tc>
      </w:tr>
      <w:tr w14:paraId="3E75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continue"/>
            <w:tcBorders>
              <w:top w:val="nil"/>
              <w:left w:val="single" w:color="auto" w:sz="4" w:space="0"/>
              <w:bottom w:val="single" w:color="auto" w:sz="4" w:space="0"/>
              <w:right w:val="single" w:color="auto" w:sz="4" w:space="0"/>
            </w:tcBorders>
            <w:vAlign w:val="center"/>
          </w:tcPr>
          <w:p w14:paraId="25BAD1CB">
            <w:pPr>
              <w:rPr>
                <w:rFonts w:hint="eastAsia" w:ascii="宋体" w:hAnsi="宋体" w:eastAsia="宋体" w:cs="宋体"/>
                <w:color w:val="auto"/>
                <w:kern w:val="2"/>
                <w:sz w:val="21"/>
                <w:szCs w:val="21"/>
              </w:rPr>
            </w:pPr>
          </w:p>
        </w:tc>
        <w:tc>
          <w:tcPr>
            <w:tcW w:w="1111" w:type="pct"/>
            <w:tcBorders>
              <w:top w:val="single" w:color="auto" w:sz="4" w:space="0"/>
              <w:left w:val="single" w:color="auto" w:sz="4" w:space="0"/>
              <w:bottom w:val="single" w:color="auto" w:sz="4" w:space="0"/>
              <w:right w:val="single" w:color="auto" w:sz="4" w:space="0"/>
            </w:tcBorders>
            <w:shd w:val="clear" w:color="auto" w:fill="FFFFFF"/>
            <w:vAlign w:val="center"/>
          </w:tcPr>
          <w:p w14:paraId="7E215D9C">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所有者权益</w:t>
            </w:r>
          </w:p>
        </w:tc>
        <w:tc>
          <w:tcPr>
            <w:tcW w:w="1526" w:type="pct"/>
            <w:tcBorders>
              <w:top w:val="single" w:color="auto" w:sz="4" w:space="0"/>
              <w:left w:val="single" w:color="auto" w:sz="4" w:space="0"/>
              <w:bottom w:val="single" w:color="auto" w:sz="4" w:space="0"/>
              <w:right w:val="single" w:color="auto" w:sz="4" w:space="0"/>
            </w:tcBorders>
            <w:shd w:val="clear" w:color="auto" w:fill="FFFFFF"/>
            <w:vAlign w:val="center"/>
          </w:tcPr>
          <w:p w14:paraId="0F8A7446">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暂无数据</w:t>
            </w:r>
          </w:p>
        </w:tc>
        <w:tc>
          <w:tcPr>
            <w:tcW w:w="1511" w:type="pct"/>
            <w:tcBorders>
              <w:top w:val="single" w:color="auto" w:sz="4" w:space="0"/>
              <w:left w:val="single" w:color="auto" w:sz="4" w:space="0"/>
              <w:bottom w:val="single" w:color="auto" w:sz="4" w:space="0"/>
              <w:right w:val="single" w:color="auto" w:sz="4" w:space="0"/>
            </w:tcBorders>
            <w:shd w:val="clear" w:color="auto" w:fill="FFFFFF"/>
            <w:vAlign w:val="center"/>
          </w:tcPr>
          <w:p w14:paraId="7BAB967C">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[1000万,5000万)</w:t>
            </w:r>
          </w:p>
        </w:tc>
      </w:tr>
      <w:tr w14:paraId="0FFF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restart"/>
            <w:tcBorders>
              <w:top w:val="nil"/>
              <w:left w:val="single" w:color="auto" w:sz="4" w:space="0"/>
              <w:bottom w:val="single" w:color="auto" w:sz="4" w:space="0"/>
              <w:right w:val="single" w:color="auto" w:sz="4" w:space="0"/>
            </w:tcBorders>
            <w:shd w:val="clear" w:color="auto" w:fill="FFFFFF"/>
            <w:vAlign w:val="center"/>
          </w:tcPr>
          <w:p w14:paraId="2EF43E62">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利润表</w:t>
            </w:r>
          </w:p>
        </w:tc>
        <w:tc>
          <w:tcPr>
            <w:tcW w:w="1111" w:type="pct"/>
            <w:tcBorders>
              <w:top w:val="single" w:color="auto" w:sz="4" w:space="0"/>
              <w:left w:val="single" w:color="auto" w:sz="4" w:space="0"/>
              <w:bottom w:val="single" w:color="auto" w:sz="4" w:space="0"/>
              <w:right w:val="single" w:color="auto" w:sz="4" w:space="0"/>
            </w:tcBorders>
            <w:shd w:val="clear" w:color="auto" w:fill="FFFFFF"/>
            <w:vAlign w:val="center"/>
          </w:tcPr>
          <w:p w14:paraId="1CD19E1C">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营业总收入</w:t>
            </w:r>
          </w:p>
        </w:tc>
        <w:tc>
          <w:tcPr>
            <w:tcW w:w="1526" w:type="pct"/>
            <w:tcBorders>
              <w:top w:val="single" w:color="auto" w:sz="4" w:space="0"/>
              <w:left w:val="single" w:color="auto" w:sz="4" w:space="0"/>
              <w:bottom w:val="single" w:color="auto" w:sz="4" w:space="0"/>
              <w:right w:val="single" w:color="auto" w:sz="4" w:space="0"/>
            </w:tcBorders>
            <w:shd w:val="clear" w:color="auto" w:fill="FFFFFF"/>
            <w:vAlign w:val="center"/>
          </w:tcPr>
          <w:p w14:paraId="71FCA1EE">
            <w:pPr>
              <w:widowControl/>
              <w:jc w:val="center"/>
              <w:textAlignment w:val="center"/>
              <w:rPr>
                <w:rFonts w:hint="default"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[5亿,20亿)</w:t>
            </w:r>
          </w:p>
        </w:tc>
        <w:tc>
          <w:tcPr>
            <w:tcW w:w="1511" w:type="pct"/>
            <w:tcBorders>
              <w:top w:val="single" w:color="auto" w:sz="4" w:space="0"/>
              <w:left w:val="single" w:color="auto" w:sz="4" w:space="0"/>
              <w:bottom w:val="single" w:color="auto" w:sz="4" w:space="0"/>
              <w:right w:val="single" w:color="auto" w:sz="4" w:space="0"/>
            </w:tcBorders>
            <w:shd w:val="clear" w:color="auto" w:fill="FFFFFF"/>
            <w:vAlign w:val="center"/>
          </w:tcPr>
          <w:p w14:paraId="4E1BF575">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[2亿,5亿)</w:t>
            </w:r>
          </w:p>
        </w:tc>
      </w:tr>
      <w:tr w14:paraId="1834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continue"/>
            <w:tcBorders>
              <w:top w:val="nil"/>
              <w:left w:val="single" w:color="auto" w:sz="4" w:space="0"/>
              <w:bottom w:val="single" w:color="auto" w:sz="4" w:space="0"/>
              <w:right w:val="single" w:color="auto" w:sz="4" w:space="0"/>
            </w:tcBorders>
            <w:vAlign w:val="center"/>
          </w:tcPr>
          <w:p w14:paraId="42111D5B">
            <w:pPr>
              <w:rPr>
                <w:rFonts w:hint="eastAsia" w:ascii="宋体" w:hAnsi="宋体" w:eastAsia="宋体" w:cs="宋体"/>
                <w:color w:val="auto"/>
                <w:kern w:val="2"/>
                <w:sz w:val="21"/>
                <w:szCs w:val="21"/>
              </w:rPr>
            </w:pPr>
          </w:p>
        </w:tc>
        <w:tc>
          <w:tcPr>
            <w:tcW w:w="1111" w:type="pct"/>
            <w:tcBorders>
              <w:top w:val="single" w:color="auto" w:sz="4" w:space="0"/>
              <w:left w:val="single" w:color="auto" w:sz="4" w:space="0"/>
              <w:bottom w:val="single" w:color="auto" w:sz="4" w:space="0"/>
              <w:right w:val="single" w:color="auto" w:sz="4" w:space="0"/>
            </w:tcBorders>
            <w:shd w:val="clear" w:color="auto" w:fill="FFFFFF"/>
            <w:vAlign w:val="center"/>
          </w:tcPr>
          <w:p w14:paraId="5FDCE42D">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主营业务收入</w:t>
            </w:r>
          </w:p>
        </w:tc>
        <w:tc>
          <w:tcPr>
            <w:tcW w:w="1526" w:type="pct"/>
            <w:tcBorders>
              <w:top w:val="single" w:color="auto" w:sz="4" w:space="0"/>
              <w:left w:val="single" w:color="auto" w:sz="4" w:space="0"/>
              <w:bottom w:val="single" w:color="auto" w:sz="4" w:space="0"/>
              <w:right w:val="single" w:color="auto" w:sz="4" w:space="0"/>
            </w:tcBorders>
            <w:shd w:val="clear" w:color="auto" w:fill="FFFFFF"/>
            <w:vAlign w:val="center"/>
          </w:tcPr>
          <w:p w14:paraId="1BCF1627">
            <w:pPr>
              <w:widowControl/>
              <w:jc w:val="center"/>
              <w:textAlignment w:val="center"/>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[5亿,20亿)</w:t>
            </w:r>
          </w:p>
        </w:tc>
        <w:tc>
          <w:tcPr>
            <w:tcW w:w="1511" w:type="pct"/>
            <w:tcBorders>
              <w:top w:val="single" w:color="auto" w:sz="4" w:space="0"/>
              <w:left w:val="single" w:color="auto" w:sz="4" w:space="0"/>
              <w:bottom w:val="single" w:color="auto" w:sz="4" w:space="0"/>
              <w:right w:val="single" w:color="auto" w:sz="4" w:space="0"/>
            </w:tcBorders>
            <w:shd w:val="clear" w:color="auto" w:fill="FFFFFF"/>
            <w:vAlign w:val="center"/>
          </w:tcPr>
          <w:p w14:paraId="6FA96ECC">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[2亿,5亿)</w:t>
            </w:r>
          </w:p>
        </w:tc>
      </w:tr>
      <w:tr w14:paraId="3F01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continue"/>
            <w:tcBorders>
              <w:top w:val="nil"/>
              <w:left w:val="single" w:color="auto" w:sz="4" w:space="0"/>
              <w:bottom w:val="single" w:color="auto" w:sz="4" w:space="0"/>
              <w:right w:val="single" w:color="auto" w:sz="4" w:space="0"/>
            </w:tcBorders>
            <w:vAlign w:val="center"/>
          </w:tcPr>
          <w:p w14:paraId="30920141">
            <w:pPr>
              <w:rPr>
                <w:rFonts w:hint="eastAsia" w:ascii="宋体" w:hAnsi="宋体" w:eastAsia="宋体" w:cs="宋体"/>
                <w:color w:val="auto"/>
                <w:kern w:val="2"/>
                <w:sz w:val="21"/>
                <w:szCs w:val="21"/>
              </w:rPr>
            </w:pPr>
          </w:p>
        </w:tc>
        <w:tc>
          <w:tcPr>
            <w:tcW w:w="1111" w:type="pct"/>
            <w:tcBorders>
              <w:top w:val="single" w:color="auto" w:sz="4" w:space="0"/>
              <w:left w:val="single" w:color="auto" w:sz="4" w:space="0"/>
              <w:bottom w:val="single" w:color="auto" w:sz="4" w:space="0"/>
              <w:right w:val="single" w:color="auto" w:sz="4" w:space="0"/>
            </w:tcBorders>
            <w:shd w:val="clear" w:color="auto" w:fill="FFFFFF"/>
            <w:vAlign w:val="center"/>
          </w:tcPr>
          <w:p w14:paraId="58DE0643">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纳税总额</w:t>
            </w:r>
          </w:p>
        </w:tc>
        <w:tc>
          <w:tcPr>
            <w:tcW w:w="1526" w:type="pct"/>
            <w:tcBorders>
              <w:top w:val="single" w:color="auto" w:sz="4" w:space="0"/>
              <w:left w:val="single" w:color="auto" w:sz="4" w:space="0"/>
              <w:bottom w:val="single" w:color="auto" w:sz="4" w:space="0"/>
              <w:right w:val="single" w:color="auto" w:sz="4" w:space="0"/>
            </w:tcBorders>
            <w:shd w:val="clear" w:color="auto" w:fill="FFFFFF"/>
            <w:vAlign w:val="center"/>
          </w:tcPr>
          <w:p w14:paraId="35EE4826">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[1000万,2000万)</w:t>
            </w:r>
          </w:p>
        </w:tc>
        <w:tc>
          <w:tcPr>
            <w:tcW w:w="1511" w:type="pct"/>
            <w:tcBorders>
              <w:top w:val="single" w:color="auto" w:sz="4" w:space="0"/>
              <w:left w:val="single" w:color="auto" w:sz="4" w:space="0"/>
              <w:bottom w:val="single" w:color="auto" w:sz="4" w:space="0"/>
              <w:right w:val="single" w:color="auto" w:sz="4" w:space="0"/>
            </w:tcBorders>
            <w:shd w:val="clear" w:color="auto" w:fill="FFFFFF"/>
            <w:vAlign w:val="center"/>
          </w:tcPr>
          <w:p w14:paraId="0875AB22">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[1000万,2000万)</w:t>
            </w:r>
          </w:p>
        </w:tc>
      </w:tr>
      <w:tr w14:paraId="603AF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continue"/>
            <w:tcBorders>
              <w:top w:val="nil"/>
              <w:left w:val="single" w:color="auto" w:sz="4" w:space="0"/>
              <w:bottom w:val="single" w:color="auto" w:sz="4" w:space="0"/>
              <w:right w:val="single" w:color="auto" w:sz="4" w:space="0"/>
            </w:tcBorders>
            <w:vAlign w:val="center"/>
          </w:tcPr>
          <w:p w14:paraId="1E8D3C0B">
            <w:pPr>
              <w:rPr>
                <w:rFonts w:hint="eastAsia" w:ascii="宋体" w:hAnsi="宋体" w:eastAsia="宋体" w:cs="宋体"/>
                <w:color w:val="auto"/>
                <w:kern w:val="2"/>
                <w:sz w:val="21"/>
                <w:szCs w:val="21"/>
              </w:rPr>
            </w:pPr>
          </w:p>
        </w:tc>
        <w:tc>
          <w:tcPr>
            <w:tcW w:w="1111" w:type="pct"/>
            <w:tcBorders>
              <w:top w:val="single" w:color="auto" w:sz="4" w:space="0"/>
              <w:left w:val="single" w:color="auto" w:sz="4" w:space="0"/>
              <w:bottom w:val="single" w:color="auto" w:sz="4" w:space="0"/>
              <w:right w:val="single" w:color="auto" w:sz="4" w:space="0"/>
            </w:tcBorders>
            <w:shd w:val="clear" w:color="auto" w:fill="FFFFFF"/>
            <w:vAlign w:val="center"/>
          </w:tcPr>
          <w:p w14:paraId="04820BD2">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利润总额</w:t>
            </w:r>
          </w:p>
        </w:tc>
        <w:tc>
          <w:tcPr>
            <w:tcW w:w="1526" w:type="pct"/>
            <w:tcBorders>
              <w:top w:val="single" w:color="auto" w:sz="4" w:space="0"/>
              <w:left w:val="single" w:color="auto" w:sz="4" w:space="0"/>
              <w:bottom w:val="single" w:color="auto" w:sz="4" w:space="0"/>
              <w:right w:val="single" w:color="auto" w:sz="4" w:space="0"/>
            </w:tcBorders>
            <w:shd w:val="clear" w:color="auto" w:fill="FFFFFF"/>
            <w:vAlign w:val="center"/>
          </w:tcPr>
          <w:p w14:paraId="088217BA">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[5000万,7500万)</w:t>
            </w:r>
          </w:p>
        </w:tc>
        <w:tc>
          <w:tcPr>
            <w:tcW w:w="1511" w:type="pct"/>
            <w:tcBorders>
              <w:top w:val="single" w:color="auto" w:sz="4" w:space="0"/>
              <w:left w:val="single" w:color="auto" w:sz="4" w:space="0"/>
              <w:bottom w:val="single" w:color="auto" w:sz="4" w:space="0"/>
              <w:right w:val="single" w:color="auto" w:sz="4" w:space="0"/>
            </w:tcBorders>
            <w:shd w:val="clear" w:color="auto" w:fill="FFFFFF"/>
            <w:vAlign w:val="center"/>
          </w:tcPr>
          <w:p w14:paraId="58F585DA">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[5000万,7500万)</w:t>
            </w:r>
          </w:p>
        </w:tc>
      </w:tr>
      <w:tr w14:paraId="24302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continue"/>
            <w:tcBorders>
              <w:top w:val="nil"/>
              <w:left w:val="single" w:color="auto" w:sz="4" w:space="0"/>
              <w:bottom w:val="single" w:color="auto" w:sz="4" w:space="0"/>
              <w:right w:val="single" w:color="auto" w:sz="4" w:space="0"/>
            </w:tcBorders>
            <w:vAlign w:val="center"/>
          </w:tcPr>
          <w:p w14:paraId="65569CED">
            <w:pPr>
              <w:rPr>
                <w:rFonts w:hint="eastAsia" w:ascii="宋体" w:hAnsi="宋体" w:eastAsia="宋体" w:cs="宋体"/>
                <w:color w:val="auto"/>
                <w:kern w:val="2"/>
                <w:sz w:val="21"/>
                <w:szCs w:val="21"/>
              </w:rPr>
            </w:pPr>
          </w:p>
        </w:tc>
        <w:tc>
          <w:tcPr>
            <w:tcW w:w="1111" w:type="pct"/>
            <w:tcBorders>
              <w:top w:val="single" w:color="auto" w:sz="4" w:space="0"/>
              <w:left w:val="single" w:color="auto" w:sz="4" w:space="0"/>
              <w:bottom w:val="single" w:color="auto" w:sz="4" w:space="0"/>
              <w:right w:val="single" w:color="auto" w:sz="4" w:space="0"/>
            </w:tcBorders>
            <w:shd w:val="clear" w:color="auto" w:fill="FFFFFF"/>
            <w:vAlign w:val="center"/>
          </w:tcPr>
          <w:p w14:paraId="4F423689">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净利润</w:t>
            </w:r>
          </w:p>
        </w:tc>
        <w:tc>
          <w:tcPr>
            <w:tcW w:w="1526" w:type="pct"/>
            <w:tcBorders>
              <w:top w:val="single" w:color="auto" w:sz="4" w:space="0"/>
              <w:left w:val="single" w:color="auto" w:sz="4" w:space="0"/>
              <w:bottom w:val="single" w:color="auto" w:sz="4" w:space="0"/>
              <w:right w:val="single" w:color="auto" w:sz="4" w:space="0"/>
            </w:tcBorders>
            <w:shd w:val="clear" w:color="auto" w:fill="FFFFFF"/>
            <w:vAlign w:val="center"/>
          </w:tcPr>
          <w:p w14:paraId="090DC145">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[5000万,7500万)</w:t>
            </w:r>
          </w:p>
        </w:tc>
        <w:tc>
          <w:tcPr>
            <w:tcW w:w="1511" w:type="pct"/>
            <w:tcBorders>
              <w:top w:val="single" w:color="auto" w:sz="4" w:space="0"/>
              <w:left w:val="single" w:color="auto" w:sz="4" w:space="0"/>
              <w:bottom w:val="single" w:color="auto" w:sz="4" w:space="0"/>
              <w:right w:val="single" w:color="auto" w:sz="4" w:space="0"/>
            </w:tcBorders>
            <w:shd w:val="clear" w:color="auto" w:fill="FFFFFF"/>
            <w:vAlign w:val="center"/>
          </w:tcPr>
          <w:p w14:paraId="6F7118F6">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[3000万,5000万)</w:t>
            </w:r>
          </w:p>
        </w:tc>
      </w:tr>
      <w:tr w14:paraId="6B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restart"/>
            <w:tcBorders>
              <w:top w:val="nil"/>
              <w:left w:val="single" w:color="auto" w:sz="4" w:space="0"/>
              <w:bottom w:val="single" w:color="auto" w:sz="4" w:space="0"/>
              <w:right w:val="single" w:color="auto" w:sz="4" w:space="0"/>
            </w:tcBorders>
            <w:shd w:val="clear" w:color="auto" w:fill="FAFAFA"/>
            <w:vAlign w:val="center"/>
          </w:tcPr>
          <w:p w14:paraId="39E477B6">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其他指标</w:t>
            </w:r>
          </w:p>
        </w:tc>
        <w:tc>
          <w:tcPr>
            <w:tcW w:w="1111" w:type="pct"/>
            <w:tcBorders>
              <w:top w:val="single" w:color="auto" w:sz="4" w:space="0"/>
              <w:left w:val="single" w:color="auto" w:sz="4" w:space="0"/>
              <w:bottom w:val="single" w:color="auto" w:sz="4" w:space="0"/>
              <w:right w:val="single" w:color="auto" w:sz="4" w:space="0"/>
            </w:tcBorders>
            <w:shd w:val="clear" w:color="auto" w:fill="FFFFFF"/>
            <w:vAlign w:val="center"/>
          </w:tcPr>
          <w:p w14:paraId="29199B4E">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资产负债率（%）</w:t>
            </w:r>
          </w:p>
        </w:tc>
        <w:tc>
          <w:tcPr>
            <w:tcW w:w="1526" w:type="pct"/>
            <w:tcBorders>
              <w:top w:val="single" w:color="auto" w:sz="4" w:space="0"/>
              <w:left w:val="single" w:color="auto" w:sz="4" w:space="0"/>
              <w:bottom w:val="single" w:color="auto" w:sz="4" w:space="0"/>
              <w:right w:val="single" w:color="auto" w:sz="4" w:space="0"/>
            </w:tcBorders>
            <w:shd w:val="clear" w:color="auto" w:fill="FFFFFF"/>
            <w:vAlign w:val="center"/>
          </w:tcPr>
          <w:p w14:paraId="7EBC1FDE">
            <w:pPr>
              <w:widowControl/>
              <w:jc w:val="both"/>
              <w:textAlignment w:val="center"/>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 xml:space="preserve">       暂无数据</w:t>
            </w:r>
          </w:p>
        </w:tc>
        <w:tc>
          <w:tcPr>
            <w:tcW w:w="1511" w:type="pct"/>
            <w:tcBorders>
              <w:top w:val="single" w:color="auto" w:sz="4" w:space="0"/>
              <w:left w:val="single" w:color="auto" w:sz="4" w:space="0"/>
              <w:bottom w:val="single" w:color="auto" w:sz="4" w:space="0"/>
              <w:right w:val="single" w:color="auto" w:sz="4" w:space="0"/>
            </w:tcBorders>
            <w:shd w:val="clear" w:color="auto" w:fill="FFFFFF"/>
            <w:vAlign w:val="center"/>
          </w:tcPr>
          <w:p w14:paraId="3A629440">
            <w:pPr>
              <w:widowControl/>
              <w:jc w:val="center"/>
              <w:textAlignment w:val="center"/>
              <w:rPr>
                <w:rFonts w:hint="default"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30</w:t>
            </w:r>
          </w:p>
        </w:tc>
      </w:tr>
      <w:tr w14:paraId="0ED65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continue"/>
            <w:tcBorders>
              <w:top w:val="nil"/>
              <w:left w:val="single" w:color="auto" w:sz="4" w:space="0"/>
              <w:bottom w:val="single" w:color="auto" w:sz="4" w:space="0"/>
              <w:right w:val="single" w:color="auto" w:sz="4" w:space="0"/>
            </w:tcBorders>
            <w:vAlign w:val="center"/>
          </w:tcPr>
          <w:p w14:paraId="7AF0DDAD">
            <w:pPr>
              <w:rPr>
                <w:rFonts w:hint="eastAsia" w:ascii="宋体" w:hAnsi="宋体" w:eastAsia="宋体" w:cs="宋体"/>
                <w:color w:val="auto"/>
                <w:kern w:val="2"/>
                <w:sz w:val="21"/>
                <w:szCs w:val="21"/>
              </w:rPr>
            </w:pPr>
          </w:p>
        </w:tc>
        <w:tc>
          <w:tcPr>
            <w:tcW w:w="1111" w:type="pct"/>
            <w:tcBorders>
              <w:top w:val="single" w:color="auto" w:sz="4" w:space="0"/>
              <w:left w:val="single" w:color="auto" w:sz="4" w:space="0"/>
              <w:bottom w:val="single" w:color="auto" w:sz="4" w:space="0"/>
              <w:right w:val="single" w:color="auto" w:sz="4" w:space="0"/>
            </w:tcBorders>
            <w:shd w:val="clear" w:color="auto" w:fill="FFFFFF"/>
            <w:vAlign w:val="center"/>
          </w:tcPr>
          <w:p w14:paraId="65749E86">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毛利率（%）</w:t>
            </w:r>
          </w:p>
        </w:tc>
        <w:tc>
          <w:tcPr>
            <w:tcW w:w="1526" w:type="pct"/>
            <w:tcBorders>
              <w:top w:val="single" w:color="auto" w:sz="4" w:space="0"/>
              <w:left w:val="single" w:color="auto" w:sz="4" w:space="0"/>
              <w:bottom w:val="single" w:color="auto" w:sz="4" w:space="0"/>
              <w:right w:val="single" w:color="auto" w:sz="4" w:space="0"/>
            </w:tcBorders>
            <w:shd w:val="clear" w:color="auto" w:fill="FFFFFF"/>
            <w:vAlign w:val="center"/>
          </w:tcPr>
          <w:p w14:paraId="14D96C9E">
            <w:pPr>
              <w:widowControl/>
              <w:jc w:val="center"/>
              <w:textAlignment w:val="center"/>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5</w:t>
            </w:r>
          </w:p>
        </w:tc>
        <w:tc>
          <w:tcPr>
            <w:tcW w:w="1511" w:type="pct"/>
            <w:tcBorders>
              <w:top w:val="single" w:color="auto" w:sz="4" w:space="0"/>
              <w:left w:val="single" w:color="auto" w:sz="4" w:space="0"/>
              <w:bottom w:val="single" w:color="auto" w:sz="4" w:space="0"/>
              <w:right w:val="single" w:color="auto" w:sz="4" w:space="0"/>
            </w:tcBorders>
            <w:shd w:val="clear" w:color="auto" w:fill="FFFFFF"/>
            <w:vAlign w:val="center"/>
          </w:tcPr>
          <w:p w14:paraId="1C55417B">
            <w:pPr>
              <w:widowControl/>
              <w:jc w:val="center"/>
              <w:textAlignment w:val="center"/>
              <w:rPr>
                <w:rFonts w:hint="default"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17.86</w:t>
            </w:r>
          </w:p>
        </w:tc>
      </w:tr>
      <w:tr w14:paraId="106A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vMerge w:val="continue"/>
            <w:tcBorders>
              <w:top w:val="nil"/>
              <w:left w:val="single" w:color="auto" w:sz="4" w:space="0"/>
              <w:bottom w:val="single" w:color="auto" w:sz="4" w:space="0"/>
              <w:right w:val="single" w:color="auto" w:sz="4" w:space="0"/>
            </w:tcBorders>
            <w:vAlign w:val="center"/>
          </w:tcPr>
          <w:p w14:paraId="460BB3B8">
            <w:pPr>
              <w:rPr>
                <w:rFonts w:hint="eastAsia" w:ascii="宋体" w:hAnsi="宋体" w:eastAsia="宋体" w:cs="宋体"/>
                <w:color w:val="auto"/>
                <w:kern w:val="2"/>
                <w:sz w:val="21"/>
                <w:szCs w:val="21"/>
              </w:rPr>
            </w:pPr>
          </w:p>
        </w:tc>
        <w:tc>
          <w:tcPr>
            <w:tcW w:w="1111" w:type="pct"/>
            <w:tcBorders>
              <w:top w:val="single" w:color="auto" w:sz="4" w:space="0"/>
              <w:left w:val="single" w:color="auto" w:sz="4" w:space="0"/>
              <w:bottom w:val="single" w:color="auto" w:sz="4" w:space="0"/>
              <w:right w:val="single" w:color="auto" w:sz="4" w:space="0"/>
            </w:tcBorders>
            <w:shd w:val="clear" w:color="auto" w:fill="FAFAFA"/>
            <w:vAlign w:val="center"/>
          </w:tcPr>
          <w:p w14:paraId="7CAA92AB">
            <w:pPr>
              <w:widowControl/>
              <w:jc w:val="left"/>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员工数量（人）</w:t>
            </w:r>
          </w:p>
        </w:tc>
        <w:tc>
          <w:tcPr>
            <w:tcW w:w="1526" w:type="pct"/>
            <w:tcBorders>
              <w:top w:val="single" w:color="auto" w:sz="4" w:space="0"/>
              <w:left w:val="single" w:color="auto" w:sz="4" w:space="0"/>
              <w:bottom w:val="single" w:color="auto" w:sz="4" w:space="0"/>
              <w:right w:val="single" w:color="auto" w:sz="4" w:space="0"/>
            </w:tcBorders>
            <w:shd w:val="clear" w:color="auto" w:fill="FAFAFA"/>
            <w:vAlign w:val="center"/>
          </w:tcPr>
          <w:p w14:paraId="0C8C34E5">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[200,299)</w:t>
            </w:r>
          </w:p>
        </w:tc>
        <w:tc>
          <w:tcPr>
            <w:tcW w:w="1511" w:type="pct"/>
            <w:tcBorders>
              <w:top w:val="single" w:color="auto" w:sz="4" w:space="0"/>
              <w:left w:val="single" w:color="auto" w:sz="4" w:space="0"/>
              <w:bottom w:val="single" w:color="auto" w:sz="4" w:space="0"/>
              <w:right w:val="single" w:color="auto" w:sz="4" w:space="0"/>
            </w:tcBorders>
            <w:shd w:val="clear" w:color="auto" w:fill="FAFAFA"/>
            <w:vAlign w:val="center"/>
          </w:tcPr>
          <w:p w14:paraId="6E406067">
            <w:pPr>
              <w:widowControl/>
              <w:jc w:val="center"/>
              <w:textAlignment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rPr>
              <w:t>[200,299)</w:t>
            </w:r>
          </w:p>
        </w:tc>
      </w:tr>
    </w:tbl>
    <w:p w14:paraId="1CA6244E">
      <w:pPr>
        <w:rPr>
          <w:rFonts w:hint="eastAsia" w:ascii="宋体" w:hAnsi="宋体" w:eastAsia="宋体"/>
          <w:szCs w:val="21"/>
        </w:rPr>
      </w:pPr>
    </w:p>
    <w:p w14:paraId="50275F54">
      <w:pPr>
        <w:pStyle w:val="7"/>
        <w:numPr>
          <w:ilvl w:val="0"/>
          <w:numId w:val="0"/>
        </w:numPr>
        <w:bidi w:val="0"/>
        <w:ind w:leftChars="0"/>
        <w:rPr>
          <w:rFonts w:hint="eastAsia"/>
          <w:b/>
          <w:lang w:val="en-US" w:eastAsia="zh-CN"/>
        </w:rPr>
      </w:pPr>
      <w:r>
        <w:rPr>
          <w:rFonts w:hint="eastAsia"/>
          <w:b/>
          <w:lang w:val="en-US" w:eastAsia="zh-CN"/>
        </w:rPr>
        <w:t>（二）利润结构</w:t>
      </w:r>
    </w:p>
    <w:p w14:paraId="5FA28784">
      <w:pPr>
        <w:numPr>
          <w:ilvl w:val="0"/>
          <w:numId w:val="1"/>
        </w:numPr>
        <w:ind w:left="420" w:leftChars="0" w:hanging="420" w:firstLineChars="0"/>
        <w:rPr>
          <w:rFonts w:hint="default" w:ascii="宋体" w:hAnsi="宋体" w:eastAsia="宋体"/>
          <w:b/>
          <w:bCs/>
          <w:szCs w:val="21"/>
          <w:lang w:val="en-US" w:eastAsia="zh-CN"/>
        </w:rPr>
      </w:pPr>
      <w:r>
        <w:rPr>
          <w:rFonts w:hint="default" w:ascii="宋体" w:hAnsi="宋体" w:eastAsia="宋体"/>
          <w:b/>
          <w:bCs/>
          <w:szCs w:val="21"/>
          <w:lang w:val="en-US" w:eastAsia="zh-CN"/>
        </w:rPr>
        <w:t>补充问题1：企业产品利润结构及核心赢利点是什么？</w:t>
      </w:r>
    </w:p>
    <w:p w14:paraId="1A4AFD2F">
      <w:pPr>
        <w:numPr>
          <w:ilvl w:val="0"/>
          <w:numId w:val="1"/>
        </w:numPr>
        <w:ind w:left="420" w:leftChars="0" w:hanging="420" w:firstLineChars="0"/>
        <w:rPr>
          <w:rFonts w:hint="default" w:ascii="宋体" w:hAnsi="宋体" w:eastAsia="宋体"/>
          <w:b/>
          <w:bCs/>
          <w:szCs w:val="21"/>
          <w:lang w:val="en-US" w:eastAsia="zh-CN"/>
        </w:rPr>
      </w:pPr>
      <w:r>
        <w:rPr>
          <w:rFonts w:hint="default" w:ascii="宋体" w:hAnsi="宋体" w:eastAsia="宋体"/>
          <w:b/>
          <w:bCs/>
          <w:szCs w:val="21"/>
          <w:lang w:val="en-US" w:eastAsia="zh-CN"/>
        </w:rPr>
        <w:t>回答参考：​</w:t>
      </w:r>
    </w:p>
    <w:p w14:paraId="7EB77F35">
      <w:pPr>
        <w:numPr>
          <w:ilvl w:val="0"/>
          <w:numId w:val="0"/>
        </w:numPr>
        <w:ind w:firstLine="420" w:firstLineChars="200"/>
        <w:rPr>
          <w:rFonts w:hint="default" w:ascii="宋体" w:hAnsi="宋体" w:eastAsia="宋体"/>
          <w:szCs w:val="21"/>
          <w:lang w:val="en-US" w:eastAsia="zh-CN"/>
        </w:rPr>
      </w:pPr>
      <w:r>
        <w:rPr>
          <w:rFonts w:hint="default" w:ascii="宋体" w:hAnsi="宋体" w:eastAsia="宋体"/>
          <w:szCs w:val="21"/>
          <w:lang w:val="en-US" w:eastAsia="zh-CN"/>
        </w:rPr>
        <w:t>苏力环境的核心赢利点集中在</w:t>
      </w:r>
      <w:r>
        <w:rPr>
          <w:rFonts w:hint="default" w:ascii="宋体" w:hAnsi="宋体" w:eastAsia="宋体"/>
          <w:b/>
          <w:bCs/>
          <w:szCs w:val="21"/>
          <w:lang w:val="en-US" w:eastAsia="zh-CN"/>
        </w:rPr>
        <w:t>高附加值监测设备销售和政府/企业端数据服务</w:t>
      </w:r>
      <w:r>
        <w:rPr>
          <w:rFonts w:hint="default" w:ascii="宋体" w:hAnsi="宋体" w:eastAsia="宋体"/>
          <w:szCs w:val="21"/>
          <w:lang w:val="en-US" w:eastAsia="zh-CN"/>
        </w:rPr>
        <w:t>：</w:t>
      </w:r>
    </w:p>
    <w:p w14:paraId="1AB4F2BF">
      <w:pPr>
        <w:numPr>
          <w:ilvl w:val="0"/>
          <w:numId w:val="2"/>
        </w:numPr>
        <w:ind w:firstLine="422" w:firstLineChars="200"/>
        <w:rPr>
          <w:rFonts w:hint="default" w:ascii="宋体" w:hAnsi="宋体" w:eastAsia="宋体"/>
          <w:szCs w:val="21"/>
          <w:lang w:val="en-US" w:eastAsia="zh-CN"/>
        </w:rPr>
      </w:pPr>
      <w:r>
        <w:rPr>
          <w:rFonts w:hint="default"/>
          <w:b/>
          <w:bCs/>
          <w:lang w:val="en-US" w:eastAsia="zh-CN"/>
        </w:rPr>
        <w:t>硬件销售：</w:t>
      </w:r>
      <w:r>
        <w:rPr>
          <w:rFonts w:hint="default" w:ascii="宋体" w:hAnsi="宋体" w:eastAsia="宋体"/>
          <w:szCs w:val="21"/>
          <w:lang w:val="en-US" w:eastAsia="zh-CN"/>
        </w:rPr>
        <w:t>在线/便携式气相色谱仪贡献主要利润，其中在线型设备已销售超100套，直接经济效益超1000万元，毛利率约55%-60%（行业平均约45%），溢价源于其国产化适配能力和实时监测精度（误差&lt;±2%）。便携式设备因轻量化设计（仅3公斤）和快速检测能力（10分钟出结果），在第三方检测机构采购中占比提升至30%。</w:t>
      </w:r>
    </w:p>
    <w:p w14:paraId="7D141E30">
      <w:pPr>
        <w:numPr>
          <w:ilvl w:val="0"/>
          <w:numId w:val="2"/>
        </w:numPr>
        <w:ind w:firstLine="422" w:firstLineChars="200"/>
        <w:rPr>
          <w:rFonts w:hint="default" w:ascii="宋体" w:hAnsi="宋体" w:eastAsia="宋体"/>
          <w:szCs w:val="21"/>
          <w:lang w:val="en-US" w:eastAsia="zh-CN"/>
        </w:rPr>
      </w:pPr>
      <w:r>
        <w:rPr>
          <w:rFonts w:hint="default" w:ascii="宋体" w:hAnsi="宋体" w:eastAsia="宋体"/>
          <w:b/>
          <w:bCs/>
          <w:szCs w:val="21"/>
          <w:lang w:val="en-US" w:eastAsia="zh-CN"/>
        </w:rPr>
        <w:t>数据服务：</w:t>
      </w:r>
      <w:r>
        <w:rPr>
          <w:rFonts w:hint="default" w:ascii="宋体" w:hAnsi="宋体" w:eastAsia="宋体"/>
          <w:szCs w:val="21"/>
          <w:lang w:val="en-US" w:eastAsia="zh-CN"/>
        </w:rPr>
        <w:t>政府环境监测平台运维（覆盖全省190个站点）及企业端环保咨询构成持续收入，年服务费约2000万元，利润率达40%。例如，镇江化工厂场地修复效果评估项目单笔合同金额超500万元。</w:t>
      </w:r>
    </w:p>
    <w:p w14:paraId="315669AD">
      <w:pPr>
        <w:numPr>
          <w:ilvl w:val="0"/>
          <w:numId w:val="0"/>
        </w:numPr>
        <w:rPr>
          <w:rFonts w:hint="default" w:ascii="宋体" w:hAnsi="宋体" w:eastAsia="宋体"/>
          <w:szCs w:val="21"/>
          <w:lang w:val="en-US" w:eastAsia="zh-CN"/>
        </w:rPr>
      </w:pPr>
      <w:r>
        <w:rPr>
          <w:rFonts w:hint="default" w:ascii="宋体" w:hAnsi="宋体" w:eastAsia="宋体"/>
          <w:color w:val="FF0000"/>
          <w:szCs w:val="21"/>
          <w:lang w:val="en-US" w:eastAsia="zh-CN"/>
        </w:rPr>
        <w:t>风险提示：</w:t>
      </w:r>
      <w:r>
        <w:rPr>
          <w:rFonts w:hint="default" w:ascii="宋体" w:hAnsi="宋体" w:eastAsia="宋体"/>
          <w:szCs w:val="21"/>
          <w:lang w:val="en-US" w:eastAsia="zh-CN"/>
        </w:rPr>
        <w:t>硬件销售依赖政策驱动（如“双碳”监测设备补贴），若政策退坡可能影响利润率；数据服务回款周期较长（政府项目平均180天账期）。</w:t>
      </w:r>
    </w:p>
    <w:p w14:paraId="6F2EDEE1">
      <w:pPr>
        <w:numPr>
          <w:ilvl w:val="0"/>
          <w:numId w:val="0"/>
        </w:numPr>
        <w:rPr>
          <w:rFonts w:hint="default" w:ascii="宋体" w:hAnsi="宋体" w:eastAsia="宋体"/>
          <w:szCs w:val="21"/>
          <w:lang w:val="en-US" w:eastAsia="zh-CN"/>
        </w:rPr>
      </w:pPr>
    </w:p>
    <w:p w14:paraId="5699AD1F">
      <w:pPr>
        <w:pStyle w:val="7"/>
        <w:numPr>
          <w:ilvl w:val="0"/>
          <w:numId w:val="3"/>
        </w:numPr>
        <w:bidi w:val="0"/>
        <w:ind w:leftChars="0"/>
        <w:rPr>
          <w:rFonts w:hint="eastAsia"/>
          <w:b/>
          <w:lang w:val="en-US" w:eastAsia="zh-CN"/>
        </w:rPr>
      </w:pPr>
      <w:r>
        <w:rPr>
          <w:rFonts w:hint="eastAsia"/>
          <w:b/>
          <w:lang w:val="en-US" w:eastAsia="zh-CN"/>
        </w:rPr>
        <w:t>现金流</w:t>
      </w:r>
    </w:p>
    <w:p w14:paraId="44FB4C38">
      <w:pPr>
        <w:numPr>
          <w:ilvl w:val="0"/>
          <w:numId w:val="0"/>
        </w:numPr>
        <w:ind w:firstLine="420" w:firstLineChars="200"/>
        <w:rPr>
          <w:rFonts w:hint="default"/>
          <w:lang w:val="en-US" w:eastAsia="zh-CN"/>
        </w:rPr>
      </w:pPr>
      <w:r>
        <w:rPr>
          <w:rFonts w:hint="default"/>
          <w:lang w:val="en-US" w:eastAsia="zh-CN"/>
        </w:rPr>
        <w:t>苏力环境通过</w:t>
      </w:r>
      <w:r>
        <w:rPr>
          <w:rFonts w:hint="default"/>
          <w:b/>
          <w:bCs/>
          <w:lang w:val="en-US" w:eastAsia="zh-CN"/>
        </w:rPr>
        <w:t>分阶段收款模式</w:t>
      </w:r>
      <w:r>
        <w:rPr>
          <w:rFonts w:hint="default"/>
          <w:lang w:val="en-US" w:eastAsia="zh-CN"/>
        </w:rPr>
        <w:t>和</w:t>
      </w:r>
      <w:r>
        <w:rPr>
          <w:rFonts w:hint="default"/>
          <w:b/>
          <w:bCs/>
          <w:lang w:val="en-US" w:eastAsia="zh-CN"/>
        </w:rPr>
        <w:t>轻资产运营</w:t>
      </w:r>
      <w:r>
        <w:rPr>
          <w:rFonts w:hint="default"/>
          <w:lang w:val="en-US" w:eastAsia="zh-CN"/>
        </w:rPr>
        <w:t>优化现金流：</w:t>
      </w:r>
    </w:p>
    <w:p w14:paraId="3D536F3D">
      <w:pPr>
        <w:numPr>
          <w:ilvl w:val="0"/>
          <w:numId w:val="4"/>
        </w:numPr>
        <w:ind w:firstLine="422" w:firstLineChars="200"/>
        <w:rPr>
          <w:rFonts w:hint="default"/>
          <w:lang w:val="en-US" w:eastAsia="zh-CN"/>
        </w:rPr>
      </w:pPr>
      <w:r>
        <w:rPr>
          <w:rFonts w:hint="default"/>
          <w:b/>
          <w:bCs/>
          <w:lang w:val="en-US" w:eastAsia="zh-CN"/>
        </w:rPr>
        <w:t>政府项目分阶段收款：</w:t>
      </w:r>
      <w:r>
        <w:rPr>
          <w:rFonts w:hint="default"/>
          <w:lang w:val="en-US" w:eastAsia="zh-CN"/>
        </w:rPr>
        <w:t>以泗阳县监测站项目为例，合同金额1226万元按“30%预付款+40%验收款+30%运维期分期支付”执行，降低垫资压力。同时，利用母公司江苏省环保集团的信用背书，缩短地方财政回款周期至120天（行业平均150天）。</w:t>
      </w:r>
    </w:p>
    <w:p w14:paraId="0EA48D15">
      <w:pPr>
        <w:numPr>
          <w:ilvl w:val="0"/>
          <w:numId w:val="4"/>
        </w:numPr>
        <w:ind w:firstLine="422" w:firstLineChars="200"/>
        <w:rPr>
          <w:rFonts w:hint="default"/>
          <w:lang w:val="en-US" w:eastAsia="zh-CN"/>
        </w:rPr>
      </w:pPr>
      <w:r>
        <w:rPr>
          <w:rFonts w:hint="default"/>
          <w:b/>
          <w:bCs/>
          <w:lang w:val="en-US" w:eastAsia="zh-CN"/>
        </w:rPr>
        <w:t>运维服务预付费机制：</w:t>
      </w:r>
      <w:r>
        <w:rPr>
          <w:rFonts w:hint="default"/>
          <w:lang w:val="en-US" w:eastAsia="zh-CN"/>
        </w:rPr>
        <w:t>自动站运维合同要求企业客户预付年度服务费的50%，保障稳定现金流。2024年运维收入中预收款项占比达60%。</w:t>
      </w:r>
    </w:p>
    <w:p w14:paraId="79F250FD">
      <w:pPr>
        <w:numPr>
          <w:ilvl w:val="0"/>
          <w:numId w:val="4"/>
        </w:numPr>
        <w:ind w:firstLine="422" w:firstLineChars="200"/>
        <w:rPr>
          <w:rFonts w:hint="default"/>
          <w:lang w:val="en-US" w:eastAsia="zh-CN"/>
        </w:rPr>
      </w:pPr>
      <w:r>
        <w:rPr>
          <w:rFonts w:hint="default"/>
          <w:b/>
          <w:bCs/>
          <w:lang w:val="en-US" w:eastAsia="zh-CN"/>
        </w:rPr>
        <w:t>供应链融资：</w:t>
      </w:r>
      <w:r>
        <w:rPr>
          <w:rFonts w:hint="default"/>
          <w:lang w:val="en-US" w:eastAsia="zh-CN"/>
        </w:rPr>
        <w:t>与国产传感器供应商达成“6个月账期+票据贴现”合作，将应付账款周转天数延长至90天（应付账款占比流动资产25%）。</w:t>
      </w:r>
    </w:p>
    <w:p w14:paraId="6ED6EA21">
      <w:pPr>
        <w:numPr>
          <w:ilvl w:val="0"/>
          <w:numId w:val="0"/>
        </w:numPr>
        <w:rPr>
          <w:rFonts w:hint="default"/>
          <w:lang w:val="en-US" w:eastAsia="zh-CN"/>
        </w:rPr>
      </w:pPr>
      <w:r>
        <w:rPr>
          <w:rFonts w:hint="default"/>
          <w:color w:val="FF0000"/>
          <w:lang w:val="en-US" w:eastAsia="zh-CN"/>
        </w:rPr>
        <w:t>风险点：</w:t>
      </w:r>
      <w:r>
        <w:rPr>
          <w:rFonts w:hint="default"/>
          <w:lang w:val="en-US" w:eastAsia="zh-CN"/>
        </w:rPr>
        <w:t>若地方政府财政紧张导致回款延迟（如2024年江苏省生态监测预算缩减12%），可能引发短期流动性压力，需关注应收账款账龄（1年以上占比需控制在15%以内）。</w:t>
      </w:r>
    </w:p>
    <w:p w14:paraId="4EA49E44">
      <w:pPr>
        <w:pStyle w:val="7"/>
        <w:numPr>
          <w:ilvl w:val="0"/>
          <w:numId w:val="3"/>
        </w:numPr>
        <w:bidi w:val="0"/>
        <w:ind w:left="0" w:leftChars="0" w:firstLine="0" w:firstLineChars="0"/>
        <w:rPr>
          <w:rFonts w:hint="eastAsia"/>
          <w:b/>
          <w:lang w:val="en-US" w:eastAsia="zh-CN"/>
        </w:rPr>
      </w:pPr>
      <w:r>
        <w:rPr>
          <w:rFonts w:hint="eastAsia"/>
          <w:b/>
          <w:lang w:val="en-US" w:eastAsia="zh-CN"/>
        </w:rPr>
        <w:t>贵司与金融机构的合作模式及资金支持情况</w:t>
      </w:r>
    </w:p>
    <w:p w14:paraId="12F1D637">
      <w:pPr>
        <w:ind w:firstLine="420" w:firstLineChars="200"/>
        <w:rPr>
          <w:rFonts w:hint="eastAsia" w:ascii="宋体" w:hAnsi="宋体" w:eastAsia="宋体"/>
          <w:szCs w:val="21"/>
        </w:rPr>
      </w:pPr>
      <w:r>
        <w:rPr>
          <w:rFonts w:hint="eastAsia" w:ascii="宋体" w:hAnsi="宋体" w:eastAsia="宋体"/>
          <w:szCs w:val="21"/>
        </w:rPr>
        <w:t>苏力环境当前金融机构合作聚焦</w:t>
      </w:r>
      <w:r>
        <w:rPr>
          <w:rFonts w:hint="eastAsia" w:ascii="宋体" w:hAnsi="宋体" w:eastAsia="宋体"/>
          <w:b/>
          <w:bCs/>
          <w:szCs w:val="21"/>
        </w:rPr>
        <w:t>绿色金融工具应用</w:t>
      </w:r>
      <w:r>
        <w:rPr>
          <w:rFonts w:hint="eastAsia" w:ascii="宋体" w:hAnsi="宋体" w:eastAsia="宋体"/>
          <w:szCs w:val="21"/>
        </w:rPr>
        <w:t>和</w:t>
      </w:r>
      <w:r>
        <w:rPr>
          <w:rFonts w:hint="eastAsia" w:ascii="宋体" w:hAnsi="宋体" w:eastAsia="宋体"/>
          <w:b/>
          <w:bCs/>
          <w:szCs w:val="21"/>
        </w:rPr>
        <w:t>供应链融资优化</w:t>
      </w:r>
      <w:r>
        <w:rPr>
          <w:rFonts w:hint="eastAsia" w:ascii="宋体" w:hAnsi="宋体" w:eastAsia="宋体"/>
          <w:szCs w:val="21"/>
        </w:rPr>
        <w:t>：</w:t>
      </w:r>
    </w:p>
    <w:p w14:paraId="2D76324A">
      <w:pPr>
        <w:numPr>
          <w:ilvl w:val="0"/>
          <w:numId w:val="5"/>
        </w:numPr>
        <w:ind w:firstLine="422" w:firstLineChars="200"/>
        <w:rPr>
          <w:rFonts w:hint="eastAsia" w:ascii="宋体" w:hAnsi="宋体" w:eastAsia="宋体"/>
          <w:szCs w:val="21"/>
        </w:rPr>
      </w:pPr>
      <w:r>
        <w:rPr>
          <w:rFonts w:hint="eastAsia"/>
          <w:b/>
          <w:bCs/>
          <w:lang w:val="en-US" w:eastAsia="zh-CN"/>
        </w:rPr>
        <w:t>政策性银行授信：</w:t>
      </w:r>
      <w:r>
        <w:rPr>
          <w:rFonts w:hint="eastAsia" w:ascii="宋体" w:hAnsi="宋体" w:eastAsia="宋体"/>
          <w:szCs w:val="21"/>
        </w:rPr>
        <w:t>依托母公司江苏省环保集团的AAA信用评级，2024年获得国家开发银行江苏省分行5亿元绿色信贷额度，专项用于碳监测设备研发（年利率3.85%，较基准下浮15%），并以知识产权质押（61项专利）作为增信条件。</w:t>
      </w:r>
    </w:p>
    <w:p w14:paraId="5AA12B29">
      <w:pPr>
        <w:numPr>
          <w:ilvl w:val="0"/>
          <w:numId w:val="5"/>
        </w:numPr>
        <w:ind w:firstLine="422" w:firstLineChars="200"/>
        <w:rPr>
          <w:rFonts w:hint="eastAsia" w:ascii="宋体" w:hAnsi="宋体" w:eastAsia="宋体"/>
          <w:szCs w:val="21"/>
        </w:rPr>
      </w:pPr>
      <w:r>
        <w:rPr>
          <w:rFonts w:hint="eastAsia"/>
          <w:b/>
          <w:bCs/>
          <w:lang w:val="en-US" w:eastAsia="zh-CN"/>
        </w:rPr>
        <w:t>科技金融创新：</w:t>
      </w:r>
      <w:r>
        <w:rPr>
          <w:rFonts w:hint="eastAsia" w:ascii="宋体" w:hAnsi="宋体" w:eastAsia="宋体"/>
          <w:szCs w:val="21"/>
        </w:rPr>
        <w:t>参与江苏省“环保贷”试点，与南京银行合作开发“监测数据质押融资”产品，企业可凭智慧平台实时监测数据（如污染减排量）作为授信依据，2023年通过该模式获取流动资金贷款3000万元。</w:t>
      </w:r>
    </w:p>
    <w:p w14:paraId="3B5CF391">
      <w:pPr>
        <w:numPr>
          <w:ilvl w:val="0"/>
          <w:numId w:val="5"/>
        </w:numPr>
        <w:ind w:firstLine="422" w:firstLineChars="200"/>
        <w:rPr>
          <w:rFonts w:hint="eastAsia" w:ascii="宋体" w:hAnsi="宋体" w:eastAsia="宋体"/>
          <w:szCs w:val="21"/>
        </w:rPr>
      </w:pPr>
      <w:r>
        <w:rPr>
          <w:rFonts w:hint="eastAsia"/>
          <w:b/>
          <w:bCs/>
          <w:lang w:val="en-US" w:eastAsia="zh-CN"/>
        </w:rPr>
        <w:t>供应链金融：</w:t>
      </w:r>
      <w:r>
        <w:rPr>
          <w:rFonts w:hint="eastAsia" w:ascii="宋体" w:hAnsi="宋体" w:eastAsia="宋体"/>
          <w:szCs w:val="21"/>
        </w:rPr>
        <w:t>与上游传感器供应商（如中科环境）通过区块链平台实现应收账款确权，由江苏银行提供“秒贴”票据贴现服务，年化利率4.2%，缩短付款周期至30天。</w:t>
      </w:r>
    </w:p>
    <w:p w14:paraId="6191C096">
      <w:pPr>
        <w:rPr>
          <w:rFonts w:hint="eastAsia" w:ascii="宋体" w:hAnsi="宋体" w:eastAsia="宋体"/>
          <w:color w:val="FF0000"/>
          <w:szCs w:val="21"/>
        </w:rPr>
      </w:pPr>
      <w:r>
        <w:rPr>
          <w:rFonts w:hint="eastAsia" w:ascii="宋体" w:hAnsi="宋体" w:eastAsia="宋体"/>
          <w:color w:val="FF0000"/>
          <w:szCs w:val="21"/>
        </w:rPr>
        <w:t>风险提示：</w:t>
      </w:r>
    </w:p>
    <w:p w14:paraId="5C89B284">
      <w:pPr>
        <w:rPr>
          <w:rFonts w:hint="eastAsia" w:ascii="宋体" w:hAnsi="宋体" w:eastAsia="宋体"/>
          <w:szCs w:val="21"/>
        </w:rPr>
      </w:pPr>
      <w:r>
        <w:rPr>
          <w:rFonts w:hint="eastAsia" w:ascii="宋体" w:hAnsi="宋体" w:eastAsia="宋体"/>
          <w:szCs w:val="21"/>
        </w:rPr>
        <w:t>绿色信贷依赖母公司担保，若集团信用评级下调可能触发利率跳升条款；</w:t>
      </w:r>
    </w:p>
    <w:p w14:paraId="399E17FA">
      <w:pPr>
        <w:rPr>
          <w:rFonts w:hint="eastAsia" w:ascii="宋体" w:hAnsi="宋体" w:eastAsia="宋体"/>
          <w:szCs w:val="21"/>
        </w:rPr>
      </w:pPr>
      <w:r>
        <w:rPr>
          <w:rFonts w:hint="eastAsia" w:ascii="宋体" w:hAnsi="宋体" w:eastAsia="宋体"/>
          <w:szCs w:val="21"/>
        </w:rPr>
        <w:t>数据质押融资模式尚未规模化，若监测数据质量不达标（如设备故障导致数据中断）可能引发银行抽贷。</w:t>
      </w:r>
    </w:p>
    <w:p w14:paraId="72A9C609">
      <w:pPr>
        <w:numPr>
          <w:ilvl w:val="0"/>
          <w:numId w:val="0"/>
        </w:numPr>
        <w:ind w:leftChars="0"/>
        <w:rPr>
          <w:rFonts w:hint="default"/>
          <w:lang w:val="en-US" w:eastAsia="zh-CN"/>
        </w:rPr>
      </w:pPr>
    </w:p>
    <w:p w14:paraId="033049DE">
      <w:pPr>
        <w:pStyle w:val="3"/>
        <w:numPr>
          <w:ilvl w:val="0"/>
          <w:numId w:val="6"/>
        </w:numPr>
        <w:bidi w:val="0"/>
        <w:jc w:val="left"/>
        <w:rPr>
          <w:rFonts w:hint="default"/>
          <w:lang w:val="en-US" w:eastAsia="zh-CN"/>
        </w:rPr>
      </w:pPr>
      <w:r>
        <w:rPr>
          <w:rFonts w:hint="eastAsia"/>
          <w:lang w:val="en-US" w:eastAsia="zh-CN"/>
        </w:rPr>
        <w:t>触达链路</w:t>
      </w:r>
    </w:p>
    <w:p w14:paraId="70AE34AC">
      <w:pPr>
        <w:rPr>
          <w:rFonts w:hint="eastAsia" w:ascii="宋体" w:hAnsi="宋体" w:eastAsia="宋体"/>
          <w:b/>
          <w:bCs/>
          <w:szCs w:val="21"/>
          <w:lang w:eastAsia="zh-CN"/>
        </w:rPr>
      </w:pPr>
      <w:r>
        <w:rPr>
          <w:rFonts w:hint="eastAsia" w:ascii="宋体" w:hAnsi="宋体" w:eastAsia="宋体"/>
          <w:b/>
          <w:bCs/>
          <w:szCs w:val="21"/>
          <w:lang w:eastAsia="zh-CN"/>
        </w:rPr>
        <w:drawing>
          <wp:inline distT="0" distB="0" distL="114300" distR="114300">
            <wp:extent cx="4630420" cy="2312670"/>
            <wp:effectExtent l="0" t="0" r="17780" b="11430"/>
            <wp:docPr id="1" name="图片 1" descr="460f6378a355598454e4387c6ea4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60f6378a355598454e4387c6ea499f"/>
                    <pic:cNvPicPr>
                      <a:picLocks noChangeAspect="1"/>
                    </pic:cNvPicPr>
                  </pic:nvPicPr>
                  <pic:blipFill>
                    <a:blip r:embed="rId5"/>
                    <a:srcRect l="6731" r="6707" b="4435"/>
                    <a:stretch>
                      <a:fillRect/>
                    </a:stretch>
                  </pic:blipFill>
                  <pic:spPr>
                    <a:xfrm>
                      <a:off x="0" y="0"/>
                      <a:ext cx="4630420" cy="2312670"/>
                    </a:xfrm>
                    <a:prstGeom prst="rect">
                      <a:avLst/>
                    </a:prstGeom>
                  </pic:spPr>
                </pic:pic>
              </a:graphicData>
            </a:graphic>
          </wp:inline>
        </w:drawing>
      </w:r>
    </w:p>
    <w:p w14:paraId="056ED5DE">
      <w:pPr>
        <w:rPr>
          <w:rFonts w:hint="eastAsia" w:ascii="宋体" w:hAnsi="宋体" w:eastAsia="宋体"/>
          <w:szCs w:val="21"/>
          <w:lang w:val="en-US" w:eastAsia="zh-CN"/>
        </w:rPr>
      </w:pPr>
      <w:r>
        <w:rPr>
          <w:rFonts w:hint="eastAsia" w:ascii="宋体" w:hAnsi="宋体" w:eastAsia="宋体"/>
          <w:szCs w:val="21"/>
        </w:rPr>
        <w:t>在以上的众多关系中，可以挖掘该企业的</w:t>
      </w:r>
      <w:r>
        <w:rPr>
          <w:rFonts w:hint="eastAsia" w:ascii="宋体" w:hAnsi="宋体" w:eastAsia="宋体"/>
          <w:szCs w:val="21"/>
          <w:lang w:val="en-US" w:eastAsia="zh-CN"/>
        </w:rPr>
        <w:t>潜在触达关系。</w:t>
      </w:r>
    </w:p>
    <w:p w14:paraId="09C32D73">
      <w:pPr>
        <w:rPr>
          <w:rFonts w:hint="eastAsia" w:ascii="宋体" w:hAnsi="宋体" w:eastAsia="宋体"/>
          <w:szCs w:val="21"/>
          <w:lang w:val="en-US" w:eastAsia="zh-CN"/>
        </w:rPr>
      </w:pPr>
      <w:r>
        <w:rPr>
          <w:rFonts w:hint="eastAsia" w:ascii="宋体" w:hAnsi="宋体" w:eastAsia="宋体"/>
          <w:szCs w:val="21"/>
          <w:lang w:val="en-US" w:eastAsia="zh-CN"/>
        </w:rPr>
        <w:t>例如：</w:t>
      </w:r>
    </w:p>
    <w:p w14:paraId="40300A9C">
      <w:pPr>
        <w:ind w:firstLine="420" w:firstLineChars="0"/>
        <w:rPr>
          <w:rFonts w:hint="eastAsia" w:ascii="宋体" w:hAnsi="宋体" w:eastAsia="宋体"/>
          <w:szCs w:val="21"/>
          <w:lang w:val="en-US" w:eastAsia="zh-CN"/>
        </w:rPr>
      </w:pPr>
      <w:r>
        <w:rPr>
          <w:rFonts w:hint="eastAsia" w:ascii="宋体" w:hAnsi="宋体" w:eastAsia="宋体"/>
          <w:szCs w:val="21"/>
          <w:lang w:val="en-US" w:eastAsia="zh-CN"/>
        </w:rPr>
        <w:t>企业负责人</w:t>
      </w:r>
      <w:r>
        <w:rPr>
          <w:rFonts w:hint="eastAsia" w:ascii="宋体" w:hAnsi="宋体" w:eastAsia="宋体"/>
          <w:szCs w:val="21"/>
        </w:rPr>
        <w:t>陆晓波</w:t>
      </w:r>
      <w:r>
        <w:rPr>
          <w:rFonts w:hint="eastAsia" w:ascii="宋体" w:hAnsi="宋体" w:eastAsia="宋体"/>
          <w:szCs w:val="21"/>
          <w:lang w:val="en-US" w:eastAsia="zh-CN"/>
        </w:rPr>
        <w:t>是南分营业部的普通级零售客户。</w:t>
      </w:r>
    </w:p>
    <w:p w14:paraId="0C6EF823">
      <w:pPr>
        <w:ind w:firstLine="420" w:firstLineChars="0"/>
        <w:rPr>
          <w:rFonts w:hint="eastAsia" w:ascii="宋体" w:hAnsi="宋体" w:eastAsia="宋体"/>
          <w:szCs w:val="21"/>
          <w:lang w:val="en-US" w:eastAsia="zh-CN"/>
        </w:rPr>
      </w:pPr>
      <w:r>
        <w:rPr>
          <w:rFonts w:hint="eastAsia" w:ascii="宋体" w:hAnsi="宋体" w:eastAsia="宋体"/>
          <w:szCs w:val="21"/>
          <w:lang w:val="en-US" w:eastAsia="zh-CN"/>
        </w:rPr>
        <w:t>企业的下游客户中，包括南京鼓楼区水务局、鼓楼生态环境局是城北中支的非小客户。</w:t>
      </w:r>
      <w:r>
        <w:rPr>
          <w:rFonts w:hint="eastAsia" w:ascii="宋体" w:hAnsi="宋体" w:eastAsia="宋体"/>
          <w:szCs w:val="21"/>
          <w:lang w:val="en-US" w:eastAsia="zh-CN"/>
        </w:rPr>
        <w:tab/>
        <w:t>企业的下游客户中，南大环境规划设计研究院是和会街支行的有贷户。</w:t>
      </w:r>
    </w:p>
    <w:p w14:paraId="00A28E26">
      <w:pPr>
        <w:ind w:firstLine="420" w:firstLineChars="0"/>
        <w:rPr>
          <w:rFonts w:hint="default" w:ascii="宋体" w:hAnsi="宋体" w:eastAsia="宋体"/>
          <w:szCs w:val="21"/>
          <w:lang w:val="en-US" w:eastAsia="zh-CN"/>
        </w:rPr>
      </w:pPr>
      <w:r>
        <w:rPr>
          <w:rFonts w:hint="eastAsia" w:ascii="宋体" w:hAnsi="宋体" w:eastAsia="宋体"/>
          <w:szCs w:val="21"/>
          <w:lang w:val="en-US" w:eastAsia="zh-CN"/>
        </w:rPr>
        <w:t>企业的中标关系中，通过查询招标方包括江苏省地质调查研究院、建业生态环境局，也都是南</w:t>
      </w:r>
      <w:bookmarkStart w:id="0" w:name="_GoBack"/>
      <w:bookmarkEnd w:id="0"/>
      <w:r>
        <w:rPr>
          <w:rFonts w:hint="eastAsia" w:ascii="宋体" w:hAnsi="宋体" w:eastAsia="宋体"/>
          <w:szCs w:val="21"/>
          <w:lang w:val="en-US" w:eastAsia="zh-CN"/>
        </w:rPr>
        <w:t>分非小客户。</w:t>
      </w:r>
    </w:p>
    <w:p w14:paraId="5BDB4C21">
      <w:pPr>
        <w:pStyle w:val="3"/>
        <w:numPr>
          <w:ilvl w:val="0"/>
          <w:numId w:val="6"/>
        </w:numPr>
        <w:bidi w:val="0"/>
        <w:jc w:val="left"/>
        <w:rPr>
          <w:rFonts w:hint="eastAsia"/>
          <w:lang w:val="en-US" w:eastAsia="zh-CN"/>
        </w:rPr>
      </w:pPr>
      <w:r>
        <w:rPr>
          <w:rFonts w:hint="eastAsia"/>
          <w:lang w:val="en-US" w:eastAsia="zh-CN"/>
        </w:rPr>
        <w:t>上门推荐问题</w:t>
      </w:r>
    </w:p>
    <w:p w14:paraId="4A87546A">
      <w:pPr>
        <w:pStyle w:val="7"/>
        <w:numPr>
          <w:ilvl w:val="0"/>
          <w:numId w:val="0"/>
        </w:numPr>
        <w:bidi w:val="0"/>
        <w:ind w:leftChars="0"/>
        <w:rPr>
          <w:rFonts w:hint="eastAsia"/>
          <w:b/>
          <w:lang w:val="en-US" w:eastAsia="zh-CN"/>
        </w:rPr>
      </w:pPr>
      <w:r>
        <w:rPr>
          <w:rFonts w:hint="eastAsia"/>
          <w:b/>
          <w:lang w:val="en-US" w:eastAsia="zh-CN"/>
        </w:rPr>
        <w:t>（一）企业核心技术与产品竞争力</w:t>
      </w:r>
    </w:p>
    <w:p w14:paraId="024A248D">
      <w:pPr>
        <w:numPr>
          <w:ilvl w:val="0"/>
          <w:numId w:val="1"/>
        </w:numPr>
        <w:ind w:left="420" w:leftChars="0" w:hanging="420" w:firstLineChars="0"/>
        <w:rPr>
          <w:rFonts w:hint="eastAsia" w:ascii="宋体" w:hAnsi="宋体" w:eastAsia="宋体"/>
          <w:b/>
          <w:bCs/>
          <w:szCs w:val="21"/>
        </w:rPr>
      </w:pPr>
      <w:r>
        <w:rPr>
          <w:rFonts w:hint="eastAsia" w:ascii="宋体" w:hAnsi="宋体" w:eastAsia="宋体"/>
          <w:b/>
          <w:bCs/>
          <w:szCs w:val="21"/>
        </w:rPr>
        <w:t>提问1</w:t>
      </w:r>
      <w:r>
        <w:rPr>
          <w:rFonts w:hint="eastAsia" w:ascii="宋体" w:hAnsi="宋体" w:eastAsia="宋体"/>
          <w:b/>
          <w:bCs/>
          <w:szCs w:val="21"/>
          <w:lang w:eastAsia="zh-CN"/>
        </w:rPr>
        <w:t>：</w:t>
      </w:r>
      <w:r>
        <w:rPr>
          <w:rFonts w:hint="eastAsia" w:ascii="宋体" w:hAnsi="宋体" w:eastAsia="宋体"/>
          <w:b/>
          <w:bCs/>
          <w:szCs w:val="21"/>
        </w:rPr>
        <w:t xml:space="preserve"> 贵司的智慧环境大数据中台系统如何实现技术壁垒？目前与竞争对手（如雪迪龙、聚光科技）相比的核心优势是什么？</w:t>
      </w:r>
    </w:p>
    <w:p w14:paraId="45388C0C">
      <w:pPr>
        <w:numPr>
          <w:ilvl w:val="0"/>
          <w:numId w:val="1"/>
        </w:numPr>
        <w:ind w:left="420" w:leftChars="0" w:hanging="420" w:firstLineChars="0"/>
        <w:rPr>
          <w:rFonts w:hint="eastAsia" w:ascii="宋体" w:hAnsi="宋体" w:eastAsia="宋体"/>
          <w:b/>
          <w:bCs/>
          <w:szCs w:val="21"/>
        </w:rPr>
      </w:pPr>
      <w:r>
        <w:rPr>
          <w:rFonts w:hint="eastAsia" w:ascii="宋体" w:hAnsi="宋体" w:eastAsia="宋体"/>
          <w:b/>
          <w:bCs/>
          <w:szCs w:val="21"/>
        </w:rPr>
        <w:t>回答参考：​</w:t>
      </w:r>
    </w:p>
    <w:p w14:paraId="4553E526">
      <w:pPr>
        <w:ind w:firstLine="420" w:firstLineChars="200"/>
        <w:rPr>
          <w:rFonts w:hint="eastAsia" w:ascii="宋体" w:hAnsi="宋体" w:eastAsia="宋体"/>
          <w:szCs w:val="21"/>
        </w:rPr>
      </w:pPr>
      <w:r>
        <w:rPr>
          <w:rFonts w:hint="eastAsia" w:ascii="宋体" w:hAnsi="宋体" w:eastAsia="宋体"/>
          <w:szCs w:val="21"/>
        </w:rPr>
        <w:t>苏力环境的核心技术体现在</w:t>
      </w:r>
      <w:r>
        <w:rPr>
          <w:rFonts w:hint="eastAsia" w:ascii="宋体" w:hAnsi="宋体" w:eastAsia="宋体"/>
          <w:b/>
          <w:bCs/>
          <w:szCs w:val="21"/>
        </w:rPr>
        <w:t>多源数据融合能力</w:t>
      </w:r>
      <w:r>
        <w:rPr>
          <w:rFonts w:hint="eastAsia" w:ascii="宋体" w:hAnsi="宋体" w:eastAsia="宋体"/>
          <w:szCs w:val="21"/>
        </w:rPr>
        <w:t>和</w:t>
      </w:r>
      <w:r>
        <w:rPr>
          <w:rFonts w:hint="eastAsia" w:ascii="宋体" w:hAnsi="宋体" w:eastAsia="宋体"/>
          <w:b/>
          <w:bCs/>
          <w:szCs w:val="21"/>
        </w:rPr>
        <w:t>国产化适配能力</w:t>
      </w:r>
      <w:r>
        <w:rPr>
          <w:rFonts w:hint="eastAsia" w:ascii="宋体" w:hAnsi="宋体" w:eastAsia="宋体"/>
          <w:szCs w:val="21"/>
        </w:rPr>
        <w:t>：</w:t>
      </w:r>
    </w:p>
    <w:p w14:paraId="18C6B1BC">
      <w:pPr>
        <w:ind w:firstLine="422" w:firstLineChars="200"/>
        <w:rPr>
          <w:rFonts w:hint="eastAsia" w:ascii="宋体" w:hAnsi="宋体" w:eastAsia="宋体"/>
          <w:szCs w:val="21"/>
        </w:rPr>
      </w:pPr>
      <w:r>
        <w:rPr>
          <w:rFonts w:hint="eastAsia" w:ascii="宋体" w:hAnsi="宋体" w:eastAsia="宋体"/>
          <w:b/>
          <w:bCs/>
          <w:szCs w:val="21"/>
          <w:lang w:val="en-US" w:eastAsia="zh-CN"/>
        </w:rPr>
        <w:t>1、</w:t>
      </w:r>
      <w:r>
        <w:rPr>
          <w:rFonts w:hint="eastAsia" w:ascii="宋体" w:hAnsi="宋体" w:eastAsia="宋体"/>
          <w:b/>
          <w:bCs/>
          <w:szCs w:val="21"/>
        </w:rPr>
        <w:t>专利支撑：</w:t>
      </w:r>
      <w:r>
        <w:rPr>
          <w:rFonts w:hint="eastAsia" w:ascii="宋体" w:hAnsi="宋体" w:eastAsia="宋体"/>
          <w:szCs w:val="21"/>
        </w:rPr>
        <w:t>其2025年获得的污染源在线监测并发数据处理专利通过动态阈值算法优化数据吞吐效率，支持每秒处理10万+数据点，远超行业平均水平。</w:t>
      </w:r>
    </w:p>
    <w:p w14:paraId="149C8F84">
      <w:pPr>
        <w:rPr>
          <w:rFonts w:hint="eastAsia" w:ascii="宋体" w:hAnsi="宋体" w:eastAsia="宋体"/>
          <w:szCs w:val="21"/>
        </w:rPr>
      </w:pPr>
      <w:r>
        <w:rPr>
          <w:rFonts w:hint="eastAsia" w:ascii="宋体" w:hAnsi="宋体" w:eastAsia="宋体"/>
          <w:b/>
          <w:bCs/>
          <w:szCs w:val="21"/>
          <w:lang w:val="en-US" w:eastAsia="zh-CN"/>
        </w:rPr>
        <w:t>​  2、国产化兼容：</w:t>
      </w:r>
      <w:r>
        <w:rPr>
          <w:rFonts w:hint="eastAsia" w:ascii="宋体" w:hAnsi="宋体" w:eastAsia="宋体"/>
          <w:szCs w:val="21"/>
        </w:rPr>
        <w:t>系统全面适配国产芯片（如龙芯）和操作系统（如麒麟OS），在2023年省级信创标杆工程中成为唯一入选的环保监测平台。</w:t>
      </w:r>
    </w:p>
    <w:p w14:paraId="5F002DA1">
      <w:pPr>
        <w:rPr>
          <w:rFonts w:hint="eastAsia" w:ascii="宋体" w:hAnsi="宋体" w:eastAsia="宋体"/>
          <w:szCs w:val="21"/>
        </w:rPr>
      </w:pPr>
      <w:r>
        <w:rPr>
          <w:rFonts w:hint="eastAsia" w:ascii="宋体" w:hAnsi="宋体" w:eastAsia="宋体"/>
          <w:b/>
          <w:bCs/>
          <w:szCs w:val="21"/>
          <w:lang w:val="en-US" w:eastAsia="zh-CN"/>
        </w:rPr>
        <w:t>​  3、差异化竞争点：</w:t>
      </w:r>
      <w:r>
        <w:rPr>
          <w:rFonts w:hint="eastAsia" w:ascii="宋体" w:hAnsi="宋体" w:eastAsia="宋体"/>
          <w:szCs w:val="21"/>
        </w:rPr>
        <w:t>与雪迪龙等企业相比，苏力环境依托母公司江苏省环保集团的政府资源，深度参与省级标准制定（如《江苏省PM2.5网格化监测技术规范》），在长三角地区市占率达35%。</w:t>
      </w:r>
    </w:p>
    <w:p w14:paraId="4CAD464F">
      <w:pPr>
        <w:pStyle w:val="7"/>
        <w:numPr>
          <w:ilvl w:val="0"/>
          <w:numId w:val="0"/>
        </w:numPr>
        <w:bidi w:val="0"/>
        <w:ind w:leftChars="0"/>
        <w:rPr>
          <w:rFonts w:hint="eastAsia"/>
          <w:b/>
          <w:lang w:val="en-US" w:eastAsia="zh-CN"/>
        </w:rPr>
      </w:pPr>
      <w:r>
        <w:rPr>
          <w:rFonts w:hint="eastAsia"/>
          <w:b/>
          <w:lang w:val="en-US" w:eastAsia="zh-CN"/>
        </w:rPr>
        <w:t>（二）市场拓展与重点项目</w:t>
      </w:r>
    </w:p>
    <w:p w14:paraId="4462393E">
      <w:pPr>
        <w:numPr>
          <w:ilvl w:val="0"/>
          <w:numId w:val="1"/>
        </w:numPr>
        <w:ind w:left="420" w:leftChars="0" w:hanging="420" w:firstLineChars="0"/>
        <w:rPr>
          <w:rFonts w:hint="eastAsia" w:ascii="宋体" w:hAnsi="宋体" w:eastAsia="宋体"/>
          <w:b/>
          <w:bCs/>
          <w:szCs w:val="21"/>
        </w:rPr>
      </w:pPr>
      <w:r>
        <w:rPr>
          <w:rFonts w:hint="eastAsia" w:ascii="宋体" w:hAnsi="宋体" w:eastAsia="宋体"/>
          <w:b/>
          <w:bCs/>
          <w:szCs w:val="21"/>
        </w:rPr>
        <w:t>提问2：近期中标项目中哪些具有战略意义？2024年泗阳县监测站建设项目（合同金额1226万元）的技术复用性如何？</w:t>
      </w:r>
    </w:p>
    <w:p w14:paraId="5CECAE15">
      <w:pPr>
        <w:numPr>
          <w:ilvl w:val="0"/>
          <w:numId w:val="1"/>
        </w:numPr>
        <w:ind w:left="420" w:leftChars="0" w:hanging="420" w:firstLineChars="0"/>
        <w:rPr>
          <w:rFonts w:hint="eastAsia" w:ascii="宋体" w:hAnsi="宋体" w:eastAsia="宋体"/>
          <w:szCs w:val="21"/>
        </w:rPr>
      </w:pPr>
      <w:r>
        <w:rPr>
          <w:rFonts w:hint="eastAsia" w:ascii="宋体" w:hAnsi="宋体" w:eastAsia="宋体"/>
          <w:b/>
          <w:bCs/>
          <w:szCs w:val="21"/>
        </w:rPr>
        <w:t>回答参考：​</w:t>
      </w:r>
    </w:p>
    <w:p w14:paraId="790FBDE1">
      <w:pPr>
        <w:rPr>
          <w:rFonts w:hint="eastAsia"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 xml:space="preserve"> </w:t>
      </w:r>
      <w:r>
        <w:rPr>
          <w:rFonts w:hint="eastAsia" w:ascii="宋体" w:hAnsi="宋体" w:eastAsia="宋体"/>
          <w:b/>
          <w:bCs/>
          <w:szCs w:val="21"/>
          <w:lang w:val="en-US" w:eastAsia="zh-CN"/>
        </w:rPr>
        <w:t xml:space="preserve"> 1、</w:t>
      </w:r>
      <w:r>
        <w:rPr>
          <w:rFonts w:hint="eastAsia" w:ascii="宋体" w:hAnsi="宋体" w:eastAsia="宋体"/>
          <w:b/>
          <w:bCs/>
          <w:szCs w:val="21"/>
        </w:rPr>
        <w:t>标杆项目</w:t>
      </w:r>
      <w:r>
        <w:rPr>
          <w:rFonts w:hint="eastAsia" w:ascii="宋体" w:hAnsi="宋体" w:eastAsia="宋体"/>
          <w:szCs w:val="21"/>
        </w:rPr>
        <w:t>：2024年中标的泗阳县大气/水/噪声自动监测站建设项目首次实现“监测-预警-管控”闭环，其部署的21个站点可实时追踪工业园区的VOCs排放，技术方案已复制到南通、盐城等地。</w:t>
      </w:r>
    </w:p>
    <w:p w14:paraId="607591D5">
      <w:pPr>
        <w:rPr>
          <w:rFonts w:hint="eastAsia" w:ascii="宋体" w:hAnsi="宋体" w:eastAsia="宋体"/>
          <w:szCs w:val="21"/>
        </w:rPr>
      </w:pPr>
      <w:r>
        <w:rPr>
          <w:rFonts w:hint="eastAsia" w:ascii="宋体" w:hAnsi="宋体" w:eastAsia="宋体"/>
          <w:szCs w:val="21"/>
        </w:rPr>
        <w:t>​</w:t>
      </w:r>
      <w:r>
        <w:rPr>
          <w:rFonts w:hint="eastAsia" w:ascii="宋体" w:hAnsi="宋体" w:eastAsia="宋体"/>
          <w:b/>
          <w:bCs/>
          <w:szCs w:val="21"/>
          <w:lang w:val="en-US" w:eastAsia="zh-CN"/>
        </w:rPr>
        <w:t xml:space="preserve">  2、</w:t>
      </w:r>
      <w:r>
        <w:rPr>
          <w:rFonts w:hint="eastAsia" w:ascii="宋体" w:hAnsi="宋体" w:eastAsia="宋体"/>
          <w:b/>
          <w:bCs/>
          <w:szCs w:val="21"/>
        </w:rPr>
        <w:t>技术复用性：</w:t>
      </w:r>
      <w:r>
        <w:rPr>
          <w:rFonts w:hint="eastAsia" w:ascii="宋体" w:hAnsi="宋体" w:eastAsia="宋体"/>
          <w:szCs w:val="21"/>
        </w:rPr>
        <w:t>该项目采用多参数联动分析模型，通过卫星遥感数据与地面监测站联动（参考2024年生态空间管控专利），可将污染源定位精度从1公里缩小至200米，适用于化工园区密集区域。</w:t>
      </w:r>
    </w:p>
    <w:p w14:paraId="3F15B9FB">
      <w:pPr>
        <w:pStyle w:val="7"/>
        <w:numPr>
          <w:ilvl w:val="0"/>
          <w:numId w:val="0"/>
        </w:numPr>
        <w:bidi w:val="0"/>
        <w:ind w:leftChars="0"/>
        <w:rPr>
          <w:rFonts w:hint="eastAsia"/>
          <w:b/>
          <w:lang w:val="en-US" w:eastAsia="zh-CN"/>
        </w:rPr>
      </w:pPr>
      <w:r>
        <w:rPr>
          <w:rFonts w:hint="eastAsia"/>
          <w:b/>
          <w:lang w:val="en-US" w:eastAsia="zh-CN"/>
        </w:rPr>
        <w:t>（三）股权结构与资本布局</w:t>
      </w:r>
    </w:p>
    <w:p w14:paraId="4B7364E9">
      <w:pPr>
        <w:numPr>
          <w:ilvl w:val="0"/>
          <w:numId w:val="1"/>
        </w:numPr>
        <w:ind w:left="420" w:leftChars="0" w:hanging="420" w:firstLineChars="0"/>
        <w:rPr>
          <w:rFonts w:hint="eastAsia" w:ascii="宋体" w:hAnsi="宋体" w:eastAsia="宋体"/>
          <w:b/>
          <w:bCs/>
          <w:szCs w:val="21"/>
        </w:rPr>
      </w:pPr>
      <w:r>
        <w:rPr>
          <w:rFonts w:hint="eastAsia" w:ascii="宋体" w:hAnsi="宋体" w:eastAsia="宋体"/>
          <w:b/>
          <w:bCs/>
          <w:szCs w:val="21"/>
        </w:rPr>
        <w:t>提问3：​ 母公司江苏省环保集团对苏力环境的战略定位是什么？2021年股权变更（实控人变更为江苏省生态环境监测监控有限公司）后业务方向有何调整？</w:t>
      </w:r>
    </w:p>
    <w:p w14:paraId="60C91645">
      <w:pPr>
        <w:numPr>
          <w:ilvl w:val="0"/>
          <w:numId w:val="1"/>
        </w:numPr>
        <w:ind w:left="420" w:leftChars="0" w:hanging="420" w:firstLineChars="0"/>
        <w:rPr>
          <w:rFonts w:hint="eastAsia" w:ascii="宋体" w:hAnsi="宋体" w:eastAsia="宋体"/>
          <w:szCs w:val="21"/>
        </w:rPr>
      </w:pPr>
      <w:r>
        <w:rPr>
          <w:rFonts w:hint="eastAsia" w:ascii="宋体" w:hAnsi="宋体" w:eastAsia="宋体"/>
          <w:b/>
          <w:bCs/>
          <w:szCs w:val="21"/>
        </w:rPr>
        <w:t>回答参考：​</w:t>
      </w:r>
    </w:p>
    <w:p w14:paraId="0982A647">
      <w:pPr>
        <w:rPr>
          <w:rFonts w:hint="eastAsia" w:ascii="宋体" w:hAnsi="宋体" w:eastAsia="宋体"/>
          <w:szCs w:val="21"/>
        </w:rPr>
      </w:pPr>
      <w:r>
        <w:rPr>
          <w:rFonts w:hint="eastAsia" w:ascii="宋体" w:hAnsi="宋体" w:eastAsia="宋体"/>
          <w:szCs w:val="21"/>
        </w:rPr>
        <w:t>​战略定位：作为集团“智慧环保”板块核心载体，苏力环境承担全省监测数据中枢功能，2023年承接了江苏省生物多样性观测能力建设项目，标志其从单一监测向生态综合管理延伸。</w:t>
      </w:r>
    </w:p>
    <w:p w14:paraId="74EE617C">
      <w:pPr>
        <w:rPr>
          <w:rFonts w:hint="eastAsia" w:ascii="宋体" w:hAnsi="宋体" w:eastAsia="宋体"/>
          <w:szCs w:val="21"/>
        </w:rPr>
      </w:pPr>
      <w:r>
        <w:rPr>
          <w:rFonts w:hint="eastAsia" w:ascii="宋体" w:hAnsi="宋体" w:eastAsia="宋体"/>
          <w:szCs w:val="21"/>
        </w:rPr>
        <w:t>​业务调整：2021年股权变更后，公司剥离非核心业务（如机动车改装），聚焦政府端环境数据服务（占营收75%），并拓展企业端第三方监测市场（2023年占比提升至20%）。</w:t>
      </w:r>
    </w:p>
    <w:p w14:paraId="5EA9146F">
      <w:pPr>
        <w:pStyle w:val="7"/>
        <w:numPr>
          <w:ilvl w:val="0"/>
          <w:numId w:val="0"/>
        </w:numPr>
        <w:bidi w:val="0"/>
        <w:ind w:leftChars="0"/>
        <w:rPr>
          <w:rFonts w:hint="eastAsia"/>
          <w:b/>
          <w:lang w:val="en-US" w:eastAsia="zh-CN"/>
        </w:rPr>
      </w:pPr>
      <w:r>
        <w:rPr>
          <w:rFonts w:hint="eastAsia"/>
          <w:b/>
          <w:lang w:val="en-US" w:eastAsia="zh-CN"/>
        </w:rPr>
        <w:t>（四）财务健康度与融资计划</w:t>
      </w:r>
    </w:p>
    <w:p w14:paraId="62A32A7E">
      <w:pPr>
        <w:numPr>
          <w:ilvl w:val="0"/>
          <w:numId w:val="1"/>
        </w:numPr>
        <w:ind w:left="420" w:leftChars="0" w:hanging="420" w:firstLineChars="0"/>
        <w:rPr>
          <w:rFonts w:hint="eastAsia" w:ascii="宋体" w:hAnsi="宋体" w:eastAsia="宋体"/>
          <w:b/>
          <w:bCs/>
          <w:szCs w:val="21"/>
        </w:rPr>
      </w:pPr>
      <w:r>
        <w:rPr>
          <w:rFonts w:hint="eastAsia" w:ascii="宋体" w:hAnsi="宋体" w:eastAsia="宋体"/>
          <w:b/>
          <w:bCs/>
          <w:szCs w:val="21"/>
        </w:rPr>
        <w:t>提问4：2023年营收6.01亿元中，应收账款周转天数是多少？是否有Pre-IPO融资计划？</w:t>
      </w:r>
    </w:p>
    <w:p w14:paraId="6797A3D6">
      <w:pPr>
        <w:numPr>
          <w:ilvl w:val="0"/>
          <w:numId w:val="1"/>
        </w:numPr>
        <w:ind w:left="420" w:leftChars="0" w:hanging="420" w:firstLineChars="0"/>
        <w:rPr>
          <w:rFonts w:hint="eastAsia" w:ascii="宋体" w:hAnsi="宋体" w:eastAsia="宋体"/>
          <w:szCs w:val="21"/>
        </w:rPr>
      </w:pPr>
      <w:r>
        <w:rPr>
          <w:rFonts w:hint="eastAsia" w:ascii="宋体" w:hAnsi="宋体" w:eastAsia="宋体"/>
          <w:b/>
          <w:bCs/>
          <w:szCs w:val="21"/>
        </w:rPr>
        <w:t>回答参考：​</w:t>
      </w:r>
    </w:p>
    <w:p w14:paraId="2BD49BB2">
      <w:pPr>
        <w:rPr>
          <w:rFonts w:hint="eastAsia" w:ascii="宋体" w:hAnsi="宋体" w:eastAsia="宋体"/>
          <w:szCs w:val="21"/>
        </w:rPr>
      </w:pPr>
      <w:r>
        <w:rPr>
          <w:rFonts w:hint="eastAsia" w:ascii="宋体" w:hAnsi="宋体" w:eastAsia="宋体"/>
          <w:szCs w:val="21"/>
        </w:rPr>
        <w:t>​财务风险：根据企查查数据，苏力环境2023年应收账款约2.8亿元（占营收46.6%），主要源于政府项目回款周期长（平均180天），需关注地方财政支付能力。</w:t>
      </w:r>
    </w:p>
    <w:p w14:paraId="5B477226">
      <w:pPr>
        <w:rPr>
          <w:rFonts w:hint="eastAsia" w:ascii="宋体" w:hAnsi="宋体" w:eastAsia="宋体"/>
          <w:szCs w:val="21"/>
        </w:rPr>
      </w:pPr>
      <w:r>
        <w:rPr>
          <w:rFonts w:hint="eastAsia" w:ascii="宋体" w:hAnsi="宋体" w:eastAsia="宋体"/>
          <w:szCs w:val="21"/>
        </w:rPr>
        <w:t>​资本动作：作为2024年“江苏瞪羚企业”，公司正筹备科创板上市，计划2025年启动A轮融资（拟募资5亿元用于国产传感器研发），但需注意其历史分支机构大规模注销带来的合规风险。</w:t>
      </w:r>
    </w:p>
    <w:p w14:paraId="55D92975">
      <w:pPr>
        <w:pStyle w:val="7"/>
        <w:numPr>
          <w:ilvl w:val="0"/>
          <w:numId w:val="0"/>
        </w:numPr>
        <w:bidi w:val="0"/>
        <w:ind w:leftChars="0"/>
        <w:rPr>
          <w:rFonts w:hint="eastAsia"/>
          <w:b/>
          <w:lang w:val="en-US" w:eastAsia="zh-CN"/>
        </w:rPr>
      </w:pPr>
      <w:r>
        <w:rPr>
          <w:rFonts w:hint="eastAsia"/>
          <w:b/>
          <w:lang w:val="en-US" w:eastAsia="zh-CN"/>
        </w:rPr>
        <w:t>（五）政策依赖性与技术迭代</w:t>
      </w:r>
    </w:p>
    <w:p w14:paraId="7D423040">
      <w:pPr>
        <w:numPr>
          <w:ilvl w:val="0"/>
          <w:numId w:val="1"/>
        </w:numPr>
        <w:ind w:left="420" w:leftChars="0" w:hanging="420" w:firstLineChars="0"/>
        <w:rPr>
          <w:rFonts w:hint="eastAsia" w:ascii="宋体" w:hAnsi="宋体" w:eastAsia="宋体"/>
          <w:b/>
          <w:bCs/>
          <w:szCs w:val="21"/>
        </w:rPr>
      </w:pPr>
      <w:r>
        <w:rPr>
          <w:rFonts w:hint="eastAsia" w:ascii="宋体" w:hAnsi="宋体" w:eastAsia="宋体"/>
          <w:b/>
          <w:bCs/>
          <w:szCs w:val="21"/>
        </w:rPr>
        <w:t>提问5：环保监测行业高度依赖政策，若“双碳”补贴退坡，贵司如何维持增长？</w:t>
      </w:r>
    </w:p>
    <w:p w14:paraId="3EBFB26C">
      <w:pPr>
        <w:numPr>
          <w:ilvl w:val="0"/>
          <w:numId w:val="1"/>
        </w:numPr>
        <w:ind w:left="420" w:leftChars="0" w:hanging="420" w:firstLineChars="0"/>
        <w:rPr>
          <w:rFonts w:hint="eastAsia" w:ascii="宋体" w:hAnsi="宋体" w:eastAsia="宋体"/>
          <w:szCs w:val="21"/>
        </w:rPr>
      </w:pPr>
      <w:r>
        <w:rPr>
          <w:rFonts w:hint="eastAsia" w:ascii="宋体" w:hAnsi="宋体" w:eastAsia="宋体"/>
          <w:b/>
          <w:bCs/>
          <w:szCs w:val="21"/>
        </w:rPr>
        <w:t>回答参考：​</w:t>
      </w:r>
    </w:p>
    <w:p w14:paraId="42A88A1F">
      <w:pPr>
        <w:rPr>
          <w:rFonts w:hint="eastAsia" w:ascii="宋体" w:hAnsi="宋体" w:eastAsia="宋体"/>
          <w:szCs w:val="21"/>
        </w:rPr>
      </w:pPr>
      <w:r>
        <w:rPr>
          <w:rFonts w:hint="eastAsia" w:ascii="宋体" w:hAnsi="宋体" w:eastAsia="宋体"/>
          <w:szCs w:val="21"/>
        </w:rPr>
        <w:t>​政策对冲策略：公司已布局碳监测细分市场，2023年苏州市碳监测项目中首创“森林碳汇+工业碳排放”双模型，技术溢价率较传统监测高30%。</w:t>
      </w:r>
    </w:p>
    <w:p w14:paraId="343E06FB">
      <w:pPr>
        <w:rPr>
          <w:rFonts w:hint="eastAsia" w:ascii="宋体" w:hAnsi="宋体" w:eastAsia="宋体"/>
          <w:szCs w:val="21"/>
        </w:rPr>
      </w:pPr>
      <w:r>
        <w:rPr>
          <w:rFonts w:hint="eastAsia" w:ascii="宋体" w:hAnsi="宋体" w:eastAsia="宋体"/>
          <w:szCs w:val="21"/>
        </w:rPr>
        <w:t>​技术迭代路径：2024年新研发的语义分割生态管控技术通过AI识别卫星影像中的违规建设活动，可扩展至生态补偿交易等市场化场景，降低对财政项目的依赖。</w:t>
      </w:r>
    </w:p>
    <w:p w14:paraId="244658A3">
      <w:pPr>
        <w:pStyle w:val="7"/>
        <w:numPr>
          <w:ilvl w:val="0"/>
          <w:numId w:val="1"/>
        </w:numPr>
        <w:bidi w:val="0"/>
        <w:rPr>
          <w:rFonts w:hint="eastAsia"/>
          <w:b/>
          <w:lang w:val="en-US" w:eastAsia="zh-CN"/>
        </w:rPr>
      </w:pPr>
      <w:r>
        <w:rPr>
          <w:rFonts w:hint="eastAsia"/>
          <w:b/>
          <w:lang w:val="en-US" w:eastAsia="zh-CN"/>
        </w:rPr>
        <w:t>提问清单总结</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1123"/>
        <w:gridCol w:w="5493"/>
      </w:tblGrid>
      <w:tr w14:paraId="34CCC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rPr>
          <w:tblHeader/>
        </w:trPr>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0FB6876F">
            <w:pPr>
              <w:keepNext w:val="0"/>
              <w:keepLines w:val="0"/>
              <w:widowControl/>
              <w:suppressLineNumbers w:val="0"/>
              <w:spacing w:before="0" w:beforeAutospacing="0" w:after="0" w:afterAutospacing="0"/>
              <w:ind w:left="0" w:right="0"/>
              <w:jc w:val="center"/>
              <w:textAlignment w:val="center"/>
              <w:rPr>
                <w:rFonts w:ascii="Segoe UI" w:hAnsi="Segoe UI" w:eastAsia="Segoe UI" w:cs="Segoe UI"/>
                <w:b/>
                <w:bCs/>
                <w:i w:val="0"/>
                <w:iCs w:val="0"/>
                <w:caps w:val="0"/>
                <w:spacing w:val="0"/>
                <w:sz w:val="14"/>
                <w:szCs w:val="14"/>
              </w:rPr>
            </w:pPr>
            <w:r>
              <w:rPr>
                <w:rFonts w:hint="default" w:ascii="Segoe UI" w:hAnsi="Segoe UI" w:eastAsia="Segoe UI" w:cs="Segoe UI"/>
                <w:b/>
                <w:bCs/>
                <w:i w:val="0"/>
                <w:iCs w:val="0"/>
                <w:caps w:val="0"/>
                <w:spacing w:val="0"/>
                <w:kern w:val="0"/>
                <w:sz w:val="14"/>
                <w:szCs w:val="14"/>
                <w:lang w:val="en-US" w:eastAsia="zh-CN" w:bidi="ar"/>
              </w:rPr>
              <w:t>维度</w:t>
            </w:r>
          </w:p>
        </w:tc>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248B7A64">
            <w:pPr>
              <w:keepNext w:val="0"/>
              <w:keepLines w:val="0"/>
              <w:widowControl/>
              <w:suppressLineNumbers w:val="0"/>
              <w:spacing w:before="0" w:beforeAutospacing="0" w:after="0" w:afterAutospacing="0"/>
              <w:ind w:left="0" w:right="0"/>
              <w:jc w:val="center"/>
              <w:textAlignment w:val="center"/>
              <w:rPr>
                <w:rFonts w:hint="default" w:ascii="Segoe UI" w:hAnsi="Segoe UI" w:eastAsia="Segoe UI" w:cs="Segoe UI"/>
                <w:b/>
                <w:bCs/>
                <w:i w:val="0"/>
                <w:iCs w:val="0"/>
                <w:caps w:val="0"/>
                <w:spacing w:val="0"/>
                <w:sz w:val="14"/>
                <w:szCs w:val="14"/>
              </w:rPr>
            </w:pPr>
            <w:r>
              <w:rPr>
                <w:rFonts w:hint="default" w:ascii="Segoe UI" w:hAnsi="Segoe UI" w:eastAsia="Segoe UI" w:cs="Segoe UI"/>
                <w:b/>
                <w:bCs/>
                <w:i w:val="0"/>
                <w:iCs w:val="0"/>
                <w:caps w:val="0"/>
                <w:spacing w:val="0"/>
                <w:kern w:val="0"/>
                <w:sz w:val="14"/>
                <w:szCs w:val="14"/>
                <w:lang w:val="en-US" w:eastAsia="zh-CN" w:bidi="ar"/>
              </w:rPr>
              <w:t>关键问题</w:t>
            </w:r>
          </w:p>
        </w:tc>
      </w:tr>
      <w:tr w14:paraId="477B4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20C945A8">
            <w:pPr>
              <w:keepNext w:val="0"/>
              <w:keepLines w:val="0"/>
              <w:widowControl/>
              <w:suppressLineNumbers w:val="0"/>
              <w:spacing w:before="0" w:beforeAutospacing="0" w:after="0" w:afterAutospacing="0"/>
              <w:ind w:left="0" w:right="0"/>
              <w:jc w:val="center"/>
              <w:textAlignment w:val="center"/>
              <w:rPr>
                <w:rFonts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w:t>
            </w:r>
            <w:r>
              <w:rPr>
                <w:rStyle w:val="12"/>
                <w:rFonts w:hint="default" w:ascii="var(--yb-font-body-medium)" w:hAnsi="var(--yb-font-body-medium)" w:eastAsia="var(--yb-font-body-medium)" w:cs="var(--yb-font-body-medium)"/>
                <w:b/>
                <w:bCs/>
                <w:i w:val="0"/>
                <w:iCs w:val="0"/>
                <w:caps w:val="0"/>
                <w:spacing w:val="0"/>
                <w:kern w:val="0"/>
                <w:sz w:val="14"/>
                <w:szCs w:val="14"/>
                <w:vertAlign w:val="baseline"/>
                <w:lang w:val="en-US" w:eastAsia="zh-CN" w:bidi="ar"/>
              </w:rPr>
              <w:t>技术壁垒</w:t>
            </w:r>
          </w:p>
        </w:tc>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4A97B4D9">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大数据中台系统的国产化适配细节？与竞品的性能对比数据？</w:t>
            </w:r>
          </w:p>
        </w:tc>
      </w:tr>
      <w:tr w14:paraId="325BC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7E499EEF">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w:t>
            </w:r>
            <w:r>
              <w:rPr>
                <w:rStyle w:val="12"/>
                <w:rFonts w:hint="default" w:ascii="var(--yb-font-body-medium)" w:hAnsi="var(--yb-font-body-medium)" w:eastAsia="var(--yb-font-body-medium)" w:cs="var(--yb-font-body-medium)"/>
                <w:b/>
                <w:bCs/>
                <w:i w:val="0"/>
                <w:iCs w:val="0"/>
                <w:caps w:val="0"/>
                <w:spacing w:val="0"/>
                <w:kern w:val="0"/>
                <w:sz w:val="14"/>
                <w:szCs w:val="14"/>
                <w:vertAlign w:val="baseline"/>
                <w:lang w:val="en-US" w:eastAsia="zh-CN" w:bidi="ar"/>
              </w:rPr>
              <w:t>市场渗透</w:t>
            </w:r>
          </w:p>
        </w:tc>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224C5727">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长三角以外区域的拓展计划（如中标记录中未覆盖的京津冀地区）？</w:t>
            </w:r>
          </w:p>
        </w:tc>
      </w:tr>
      <w:tr w14:paraId="4CF3E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5261CEC0">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w:t>
            </w:r>
            <w:r>
              <w:rPr>
                <w:rStyle w:val="12"/>
                <w:rFonts w:hint="default" w:ascii="var(--yb-font-body-medium)" w:hAnsi="var(--yb-font-body-medium)" w:eastAsia="var(--yb-font-body-medium)" w:cs="var(--yb-font-body-medium)"/>
                <w:b/>
                <w:bCs/>
                <w:i w:val="0"/>
                <w:iCs w:val="0"/>
                <w:caps w:val="0"/>
                <w:spacing w:val="0"/>
                <w:kern w:val="0"/>
                <w:sz w:val="14"/>
                <w:szCs w:val="14"/>
                <w:vertAlign w:val="baseline"/>
                <w:lang w:val="en-US" w:eastAsia="zh-CN" w:bidi="ar"/>
              </w:rPr>
              <w:t>财务风险</w:t>
            </w:r>
          </w:p>
        </w:tc>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359C82BD">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应收账款账龄结构？是否有坏账计提特殊政策（如地方城投类客户）？</w:t>
            </w:r>
          </w:p>
        </w:tc>
      </w:tr>
      <w:tr w14:paraId="658C1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691172CE">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w:t>
            </w:r>
            <w:r>
              <w:rPr>
                <w:rStyle w:val="12"/>
                <w:rFonts w:hint="default" w:ascii="var(--yb-font-body-medium)" w:hAnsi="var(--yb-font-body-medium)" w:eastAsia="var(--yb-font-body-medium)" w:cs="var(--yb-font-body-medium)"/>
                <w:b/>
                <w:bCs/>
                <w:i w:val="0"/>
                <w:iCs w:val="0"/>
                <w:caps w:val="0"/>
                <w:spacing w:val="0"/>
                <w:kern w:val="0"/>
                <w:sz w:val="14"/>
                <w:szCs w:val="14"/>
                <w:vertAlign w:val="baseline"/>
                <w:lang w:val="en-US" w:eastAsia="zh-CN" w:bidi="ar"/>
              </w:rPr>
              <w:t>政策应对</w:t>
            </w:r>
          </w:p>
        </w:tc>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02F87A6E">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生态环境部《关于优化污染源监测管理的意见》对现有业务模式的影响？</w:t>
            </w:r>
          </w:p>
        </w:tc>
      </w:tr>
      <w:tr w14:paraId="36903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79E65D7B">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w:t>
            </w:r>
            <w:r>
              <w:rPr>
                <w:rStyle w:val="12"/>
                <w:rFonts w:hint="default" w:ascii="var(--yb-font-body-medium)" w:hAnsi="var(--yb-font-body-medium)" w:eastAsia="var(--yb-font-body-medium)" w:cs="var(--yb-font-body-medium)"/>
                <w:b/>
                <w:bCs/>
                <w:i w:val="0"/>
                <w:iCs w:val="0"/>
                <w:caps w:val="0"/>
                <w:spacing w:val="0"/>
                <w:kern w:val="0"/>
                <w:sz w:val="14"/>
                <w:szCs w:val="14"/>
                <w:vertAlign w:val="baseline"/>
                <w:lang w:val="en-US" w:eastAsia="zh-CN" w:bidi="ar"/>
              </w:rPr>
              <w:t>研发投入</w:t>
            </w:r>
          </w:p>
        </w:tc>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5C7F8D5F">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2024年研发费用占比目标？61项专利中已商业化落地的比例？</w:t>
            </w:r>
          </w:p>
        </w:tc>
      </w:tr>
      <w:tr w14:paraId="67EFF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597E161C">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w:t>
            </w:r>
            <w:r>
              <w:rPr>
                <w:rStyle w:val="12"/>
                <w:rFonts w:hint="default" w:ascii="var(--yb-font-body-medium)" w:hAnsi="var(--yb-font-body-medium)" w:eastAsia="var(--yb-font-body-medium)" w:cs="var(--yb-font-body-medium)"/>
                <w:b/>
                <w:bCs/>
                <w:i w:val="0"/>
                <w:iCs w:val="0"/>
                <w:caps w:val="0"/>
                <w:spacing w:val="0"/>
                <w:kern w:val="0"/>
                <w:sz w:val="14"/>
                <w:szCs w:val="14"/>
                <w:vertAlign w:val="baseline"/>
                <w:lang w:val="en-US" w:eastAsia="zh-CN" w:bidi="ar"/>
              </w:rPr>
              <w:t>股权关联</w:t>
            </w:r>
          </w:p>
        </w:tc>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69CA631D">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与母公司其他子公司（如省环境工程技术公司）的协同机制？</w:t>
            </w:r>
          </w:p>
        </w:tc>
      </w:tr>
      <w:tr w14:paraId="2FA21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CFCFC"/>
          <w:tblCellMar>
            <w:top w:w="0" w:type="dxa"/>
            <w:left w:w="0" w:type="dxa"/>
            <w:bottom w:w="0" w:type="dxa"/>
            <w:right w:w="0" w:type="dxa"/>
          </w:tblCellMar>
        </w:tblPrEx>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50628FB5">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w:t>
            </w:r>
            <w:r>
              <w:rPr>
                <w:rStyle w:val="12"/>
                <w:rFonts w:hint="default" w:ascii="var(--yb-font-body-medium)" w:hAnsi="var(--yb-font-body-medium)" w:eastAsia="var(--yb-font-body-medium)" w:cs="var(--yb-font-body-medium)"/>
                <w:b/>
                <w:bCs/>
                <w:i w:val="0"/>
                <w:iCs w:val="0"/>
                <w:caps w:val="0"/>
                <w:spacing w:val="0"/>
                <w:kern w:val="0"/>
                <w:sz w:val="14"/>
                <w:szCs w:val="14"/>
                <w:vertAlign w:val="baseline"/>
                <w:lang w:val="en-US" w:eastAsia="zh-CN" w:bidi="ar"/>
              </w:rPr>
              <w:t>合规风险</w:t>
            </w:r>
          </w:p>
        </w:tc>
        <w:tc>
          <w:tcPr>
            <w:tcW w:w="0" w:type="auto"/>
            <w:tcBorders>
              <w:top w:val="nil"/>
              <w:left w:val="nil"/>
              <w:bottom w:val="nil"/>
              <w:right w:val="nil"/>
            </w:tcBorders>
            <w:shd w:val="clear" w:color="auto" w:fill="FCFCFC"/>
            <w:tcMar>
              <w:top w:w="139" w:type="dxa"/>
              <w:left w:w="210" w:type="dxa"/>
              <w:bottom w:w="139" w:type="dxa"/>
              <w:right w:w="210" w:type="dxa"/>
            </w:tcMar>
            <w:vAlign w:val="center"/>
          </w:tcPr>
          <w:p w14:paraId="647B1347">
            <w:pPr>
              <w:keepNext w:val="0"/>
              <w:keepLines w:val="0"/>
              <w:widowControl/>
              <w:suppressLineNumbers w:val="0"/>
              <w:spacing w:before="0" w:beforeAutospacing="0" w:after="0" w:afterAutospacing="0"/>
              <w:ind w:left="0" w:right="0"/>
              <w:jc w:val="center"/>
              <w:textAlignment w:val="center"/>
              <w:rPr>
                <w:rFonts w:hint="default" w:ascii="var(--yb-font-body-medium)" w:hAnsi="var(--yb-font-body-medium)" w:eastAsia="var(--yb-font-body-medium)" w:cs="var(--yb-font-body-medium)"/>
                <w:i w:val="0"/>
                <w:iCs w:val="0"/>
                <w:caps w:val="0"/>
                <w:spacing w:val="0"/>
                <w:sz w:val="14"/>
                <w:szCs w:val="14"/>
              </w:rPr>
            </w:pPr>
            <w:r>
              <w:rPr>
                <w:rFonts w:hint="default" w:ascii="var(--yb-font-body-medium)" w:hAnsi="var(--yb-font-body-medium)" w:eastAsia="var(--yb-font-body-medium)" w:cs="var(--yb-font-body-medium)"/>
                <w:i w:val="0"/>
                <w:iCs w:val="0"/>
                <w:caps w:val="0"/>
                <w:spacing w:val="0"/>
                <w:kern w:val="0"/>
                <w:sz w:val="14"/>
                <w:szCs w:val="14"/>
                <w:lang w:val="en-US" w:eastAsia="zh-CN" w:bidi="ar"/>
              </w:rPr>
              <w:t>历史分支机构注销原因（如武汉、上海分公司）？现存2件司法案件的具体内容？</w:t>
            </w:r>
          </w:p>
        </w:tc>
      </w:tr>
    </w:tbl>
    <w:p w14:paraId="353B51F1">
      <w:pPr>
        <w:rPr>
          <w:rFonts w:hint="eastAsia" w:ascii="宋体" w:hAnsi="宋体" w:eastAsia="宋体"/>
          <w:szCs w:val="21"/>
        </w:rPr>
      </w:pPr>
    </w:p>
    <w:p w14:paraId="4A34FE6E">
      <w:pPr>
        <w:pStyle w:val="7"/>
        <w:numPr>
          <w:ilvl w:val="0"/>
          <w:numId w:val="1"/>
        </w:numPr>
        <w:bidi w:val="0"/>
        <w:rPr>
          <w:rFonts w:hint="eastAsia"/>
          <w:b/>
          <w:lang w:val="en-US" w:eastAsia="zh-CN"/>
        </w:rPr>
      </w:pPr>
      <w:r>
        <w:rPr>
          <w:rFonts w:hint="eastAsia"/>
          <w:b/>
          <w:lang w:val="en-US" w:eastAsia="zh-CN"/>
        </w:rPr>
        <w:t>​风险提示</w:t>
      </w:r>
    </w:p>
    <w:p w14:paraId="133AD010">
      <w:pPr>
        <w:rPr>
          <w:rFonts w:hint="eastAsia"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 xml:space="preserve">  </w:t>
      </w:r>
      <w:r>
        <w:rPr>
          <w:rFonts w:hint="eastAsia" w:ascii="宋体" w:hAnsi="宋体" w:eastAsia="宋体"/>
          <w:b/>
          <w:bCs/>
          <w:szCs w:val="21"/>
          <w:lang w:val="en-US" w:eastAsia="zh-CN"/>
        </w:rPr>
        <w:t>1、</w:t>
      </w:r>
      <w:r>
        <w:rPr>
          <w:rFonts w:hint="eastAsia" w:ascii="宋体" w:hAnsi="宋体" w:eastAsia="宋体"/>
          <w:b/>
          <w:bCs/>
          <w:szCs w:val="21"/>
        </w:rPr>
        <w:t>政策依赖性风险</w:t>
      </w:r>
      <w:r>
        <w:rPr>
          <w:rFonts w:hint="eastAsia" w:ascii="宋体" w:hAnsi="宋体" w:eastAsia="宋体"/>
          <w:szCs w:val="21"/>
        </w:rPr>
        <w:t>：2024年江苏省生态环境监测经费预算同比缩减12%，可能影响项目利润率。</w:t>
      </w:r>
    </w:p>
    <w:p w14:paraId="7F6E0DBE">
      <w:pPr>
        <w:rPr>
          <w:rFonts w:hint="eastAsia" w:ascii="宋体" w:hAnsi="宋体" w:eastAsia="宋体"/>
          <w:szCs w:val="21"/>
        </w:rPr>
      </w:pPr>
      <w:r>
        <w:rPr>
          <w:rFonts w:hint="eastAsia" w:ascii="宋体" w:hAnsi="宋体" w:eastAsia="宋体"/>
          <w:b/>
          <w:bCs/>
          <w:szCs w:val="21"/>
          <w:lang w:val="en-US" w:eastAsia="zh-CN"/>
        </w:rPr>
        <w:t>​  2、技术替代风险：卫</w:t>
      </w:r>
      <w:r>
        <w:rPr>
          <w:rFonts w:hint="eastAsia" w:ascii="宋体" w:hAnsi="宋体" w:eastAsia="宋体"/>
          <w:szCs w:val="21"/>
        </w:rPr>
        <w:t>星遥感监测技术的普及可能削弱地面站设备需求（需关注其2024年遥感专利的产业化进度）。</w:t>
      </w:r>
    </w:p>
    <w:p w14:paraId="2646B755">
      <w:pPr>
        <w:rPr>
          <w:rFonts w:hint="eastAsia" w:ascii="宋体" w:hAnsi="宋体" w:eastAsia="宋体"/>
          <w:szCs w:val="21"/>
        </w:rPr>
      </w:pPr>
      <w:r>
        <w:rPr>
          <w:rFonts w:hint="eastAsia" w:ascii="宋体" w:hAnsi="宋体" w:eastAsia="宋体"/>
          <w:b/>
          <w:bCs/>
          <w:szCs w:val="21"/>
          <w:lang w:val="en-US" w:eastAsia="zh-CN"/>
        </w:rPr>
        <w:t>​  3、关联交易风险：</w:t>
      </w:r>
      <w:r>
        <w:rPr>
          <w:rFonts w:hint="eastAsia" w:ascii="宋体" w:hAnsi="宋体" w:eastAsia="宋体"/>
          <w:szCs w:val="21"/>
        </w:rPr>
        <w:t>2023年超60%营收来自母公司关联项目，独立性需验证。</w:t>
      </w:r>
    </w:p>
    <w:p w14:paraId="38664DA5">
      <w:pPr>
        <w:rPr>
          <w:rFonts w:hint="eastAsia" w:ascii="宋体" w:hAnsi="宋体" w:eastAsia="宋体"/>
          <w:szCs w:val="21"/>
        </w:rPr>
      </w:pPr>
      <w:r>
        <w:rPr>
          <w:rFonts w:hint="eastAsia" w:ascii="宋体" w:hAnsi="宋体" w:eastAsia="宋体"/>
          <w:szCs w:val="21"/>
        </w:rPr>
        <w:t>建议现场重点核查：①智慧平台的数据实时接入量（验证是否达到宣称的5000万条/日）；②瞪羚企业资质的续期条件；③Pre-IPO轮估值对赌条款。</w:t>
      </w:r>
    </w:p>
    <w:p w14:paraId="59C71CBD">
      <w:pPr>
        <w:pStyle w:val="3"/>
        <w:bidi w:val="0"/>
        <w:jc w:val="left"/>
        <w:rPr>
          <w:rFonts w:hint="eastAsia"/>
          <w:lang w:val="en-US" w:eastAsia="zh-CN"/>
        </w:rPr>
      </w:pPr>
    </w:p>
    <w:p w14:paraId="32EA8492">
      <w:pPr>
        <w:pStyle w:val="3"/>
        <w:numPr>
          <w:ilvl w:val="0"/>
          <w:numId w:val="6"/>
        </w:numPr>
        <w:bidi w:val="0"/>
        <w:jc w:val="left"/>
        <w:rPr>
          <w:rFonts w:hint="eastAsia"/>
          <w:lang w:val="en-US" w:eastAsia="zh-CN"/>
        </w:rPr>
      </w:pPr>
      <w:r>
        <w:rPr>
          <w:rFonts w:hint="eastAsia" w:ascii="宋体" w:hAnsi="宋体"/>
        </w:rPr>
        <w:t>企业的风险点排查</w:t>
      </w:r>
      <w:r>
        <w:rPr>
          <w:rFonts w:hint="eastAsia"/>
          <w:lang w:val="en-US" w:eastAsia="zh-CN"/>
        </w:rPr>
        <w:t>：</w:t>
      </w:r>
    </w:p>
    <w:p w14:paraId="66D6261E">
      <w:pPr>
        <w:pStyle w:val="7"/>
        <w:numPr>
          <w:ilvl w:val="0"/>
          <w:numId w:val="0"/>
        </w:numPr>
        <w:bidi w:val="0"/>
        <w:ind w:leftChars="0"/>
        <w:rPr>
          <w:rFonts w:hint="eastAsia"/>
          <w:b/>
          <w:lang w:val="en-US" w:eastAsia="zh-CN"/>
        </w:rPr>
      </w:pPr>
      <w:r>
        <w:rPr>
          <w:rFonts w:hint="eastAsia"/>
          <w:b/>
          <w:lang w:val="en-US" w:eastAsia="zh-CN"/>
        </w:rPr>
        <w:t>（一）表象风险（有明显迹象或数据支撑）​</w:t>
      </w:r>
    </w:p>
    <w:p w14:paraId="2CF48187">
      <w:pPr>
        <w:numPr>
          <w:ilvl w:val="0"/>
          <w:numId w:val="0"/>
        </w:numPr>
        <w:ind w:leftChars="0"/>
        <w:rPr>
          <w:rFonts w:hint="eastAsia" w:ascii="宋体" w:hAnsi="宋体" w:eastAsia="宋体"/>
          <w:b/>
          <w:bCs/>
          <w:szCs w:val="21"/>
        </w:rPr>
      </w:pPr>
      <w:r>
        <w:rPr>
          <w:rFonts w:hint="eastAsia" w:ascii="宋体" w:hAnsi="宋体" w:eastAsia="宋体"/>
          <w:b/>
          <w:bCs/>
          <w:szCs w:val="21"/>
          <w:lang w:val="en-US" w:eastAsia="zh-CN"/>
        </w:rPr>
        <w:t>1、</w:t>
      </w:r>
      <w:r>
        <w:rPr>
          <w:rFonts w:hint="eastAsia" w:ascii="宋体" w:hAnsi="宋体" w:eastAsia="宋体"/>
          <w:b/>
          <w:bCs/>
          <w:szCs w:val="21"/>
        </w:rPr>
        <w:t>应收账款周转压力</w:t>
      </w:r>
    </w:p>
    <w:p w14:paraId="55C29056">
      <w:pPr>
        <w:numPr>
          <w:ilvl w:val="0"/>
          <w:numId w:val="7"/>
        </w:numPr>
        <w:ind w:left="420" w:leftChars="0" w:hanging="420" w:firstLineChars="0"/>
        <w:rPr>
          <w:rFonts w:hint="eastAsia" w:ascii="宋体" w:hAnsi="宋体" w:eastAsia="宋体"/>
          <w:szCs w:val="21"/>
        </w:rPr>
      </w:pPr>
      <w:r>
        <w:rPr>
          <w:rFonts w:hint="eastAsia" w:ascii="宋体" w:hAnsi="宋体" w:eastAsia="宋体"/>
          <w:szCs w:val="21"/>
        </w:rPr>
        <w:t>风险依据：公司主营业务涉及大量政府项目（如全省190个自动站运维、污染源监测等），政府回款周期普遍较长</w:t>
      </w:r>
      <w:r>
        <w:rPr>
          <w:rFonts w:hint="eastAsia" w:ascii="宋体" w:hAnsi="宋体" w:eastAsia="宋体"/>
          <w:szCs w:val="21"/>
          <w:lang w:eastAsia="zh-CN"/>
        </w:rPr>
        <w:t>。</w:t>
      </w:r>
      <w:r>
        <w:rPr>
          <w:rFonts w:hint="eastAsia" w:ascii="宋体" w:hAnsi="宋体" w:eastAsia="宋体"/>
          <w:szCs w:val="21"/>
        </w:rPr>
        <w:t>例如，2023年镇江化工厂场地修复效果评估项目单笔合同金额超500万元，但政府类项目平均账期可能超过180天。若应收账款占比营收过高（如接近50%），将直接影响现金流和短期偿债能力。</w:t>
      </w:r>
    </w:p>
    <w:p w14:paraId="75A3E015">
      <w:pPr>
        <w:numPr>
          <w:ilvl w:val="0"/>
          <w:numId w:val="7"/>
        </w:numPr>
        <w:ind w:left="420" w:leftChars="0" w:hanging="420" w:firstLineChars="0"/>
        <w:rPr>
          <w:rFonts w:hint="eastAsia" w:ascii="宋体" w:hAnsi="宋体" w:eastAsia="宋体"/>
          <w:szCs w:val="21"/>
        </w:rPr>
      </w:pPr>
      <w:r>
        <w:rPr>
          <w:rFonts w:hint="eastAsia" w:ascii="宋体" w:hAnsi="宋体" w:eastAsia="宋体"/>
          <w:szCs w:val="21"/>
        </w:rPr>
        <w:t>风险信号：招聘信息中“区域业务开发”岗位需“承担长期出差和驻点”，侧面反映项目执行周期长、回款滞后</w:t>
      </w:r>
    </w:p>
    <w:p w14:paraId="083BDAFB">
      <w:pPr>
        <w:pStyle w:val="7"/>
        <w:numPr>
          <w:ilvl w:val="0"/>
          <w:numId w:val="0"/>
        </w:numPr>
        <w:bidi w:val="0"/>
        <w:ind w:leftChars="0"/>
        <w:rPr>
          <w:rFonts w:hint="eastAsia"/>
          <w:b/>
          <w:lang w:val="en-US" w:eastAsia="zh-CN"/>
        </w:rPr>
      </w:pPr>
      <w:r>
        <w:rPr>
          <w:rFonts w:hint="eastAsia"/>
          <w:b/>
          <w:lang w:val="en-US" w:eastAsia="zh-CN"/>
        </w:rPr>
        <w:t>（二）潜在风险（需进一步验证或行业共性推测）​</w:t>
      </w:r>
    </w:p>
    <w:p w14:paraId="623ABACB">
      <w:pPr>
        <w:numPr>
          <w:ilvl w:val="0"/>
          <w:numId w:val="0"/>
        </w:numPr>
        <w:ind w:leftChars="0"/>
        <w:rPr>
          <w:rFonts w:hint="eastAsia" w:ascii="宋体" w:hAnsi="宋体" w:eastAsia="宋体"/>
          <w:b/>
          <w:bCs/>
          <w:szCs w:val="21"/>
          <w:lang w:val="en-US" w:eastAsia="zh-CN"/>
        </w:rPr>
      </w:pPr>
      <w:r>
        <w:rPr>
          <w:rFonts w:hint="eastAsia" w:ascii="宋体" w:hAnsi="宋体" w:eastAsia="宋体"/>
          <w:b/>
          <w:bCs/>
          <w:szCs w:val="21"/>
          <w:lang w:val="en-US" w:eastAsia="zh-CN"/>
        </w:rPr>
        <w:t>1、政策依赖性导致的收入波动</w:t>
      </w:r>
    </w:p>
    <w:p w14:paraId="5E9653AB">
      <w:pPr>
        <w:numPr>
          <w:ilvl w:val="0"/>
          <w:numId w:val="7"/>
        </w:numPr>
        <w:ind w:left="420" w:leftChars="0" w:hanging="420" w:firstLineChars="0"/>
        <w:rPr>
          <w:rFonts w:hint="eastAsia" w:ascii="宋体" w:hAnsi="宋体" w:eastAsia="宋体"/>
          <w:szCs w:val="21"/>
        </w:rPr>
      </w:pPr>
      <w:r>
        <w:rPr>
          <w:rFonts w:hint="eastAsia" w:ascii="宋体" w:hAnsi="宋体" w:eastAsia="宋体"/>
          <w:szCs w:val="21"/>
        </w:rPr>
        <w:t>风险逻辑：公司超75%营收来自政府环境监测服务（如省控水气运维、无人机航测等），高度依赖环保财政预算</w:t>
      </w:r>
      <w:r>
        <w:rPr>
          <w:rFonts w:hint="eastAsia" w:ascii="宋体" w:hAnsi="宋体" w:eastAsia="宋体"/>
          <w:szCs w:val="21"/>
          <w:lang w:eastAsia="zh-CN"/>
        </w:rPr>
        <w:t>。</w:t>
      </w:r>
      <w:r>
        <w:rPr>
          <w:rFonts w:hint="eastAsia" w:ascii="宋体" w:hAnsi="宋体" w:eastAsia="宋体"/>
          <w:szCs w:val="21"/>
        </w:rPr>
        <w:t>若地方政府因经济压力缩减生态治理支出（如2024年江苏省环保预算同比变化未知），可能直接冲击收入稳定性，削弱长期偿债能力。</w:t>
      </w:r>
    </w:p>
    <w:p w14:paraId="5AF817BA">
      <w:pPr>
        <w:numPr>
          <w:ilvl w:val="0"/>
          <w:numId w:val="7"/>
        </w:numPr>
        <w:ind w:left="420" w:leftChars="0" w:hanging="420" w:firstLineChars="0"/>
        <w:rPr>
          <w:rFonts w:hint="eastAsia" w:ascii="宋体" w:hAnsi="宋体" w:eastAsia="宋体"/>
          <w:szCs w:val="21"/>
        </w:rPr>
      </w:pPr>
      <w:r>
        <w:rPr>
          <w:rFonts w:hint="eastAsia" w:ascii="宋体" w:hAnsi="宋体" w:eastAsia="宋体"/>
          <w:szCs w:val="21"/>
        </w:rPr>
        <w:t>关联迹象：2019年公司率先开展火电厂超低排放检测，业务拓展与“双碳”政策强绑定，政策退坡或技术替代可能引发市场收缩。</w:t>
      </w:r>
    </w:p>
    <w:p w14:paraId="197E6A9E">
      <w:pPr>
        <w:numPr>
          <w:ilvl w:val="0"/>
          <w:numId w:val="0"/>
        </w:numPr>
        <w:ind w:leftChars="0"/>
        <w:rPr>
          <w:rFonts w:hint="eastAsia" w:ascii="宋体" w:hAnsi="宋体" w:eastAsia="宋体"/>
          <w:szCs w:val="21"/>
        </w:rPr>
      </w:pPr>
    </w:p>
    <w:p w14:paraId="7F346F6E">
      <w:pPr>
        <w:numPr>
          <w:ilvl w:val="0"/>
          <w:numId w:val="0"/>
        </w:numPr>
        <w:ind w:leftChars="0"/>
        <w:rPr>
          <w:rFonts w:hint="eastAsia" w:ascii="宋体" w:hAnsi="宋体" w:eastAsia="宋体"/>
          <w:b/>
          <w:bCs/>
          <w:szCs w:val="21"/>
          <w:lang w:val="en-US" w:eastAsia="zh-CN"/>
        </w:rPr>
      </w:pPr>
      <w:r>
        <w:rPr>
          <w:rFonts w:hint="eastAsia" w:ascii="宋体" w:hAnsi="宋体" w:eastAsia="宋体"/>
          <w:b/>
          <w:bCs/>
          <w:szCs w:val="21"/>
          <w:lang w:val="en-US" w:eastAsia="zh-CN"/>
        </w:rPr>
        <w:t>2、技术投入与成本控制的平衡压力</w:t>
      </w:r>
    </w:p>
    <w:p w14:paraId="0F3EDBDE">
      <w:pPr>
        <w:numPr>
          <w:ilvl w:val="0"/>
          <w:numId w:val="7"/>
        </w:numPr>
        <w:ind w:left="420" w:leftChars="0" w:hanging="420" w:firstLineChars="0"/>
        <w:rPr>
          <w:rFonts w:hint="eastAsia" w:ascii="宋体" w:hAnsi="宋体" w:eastAsia="宋体"/>
          <w:szCs w:val="21"/>
        </w:rPr>
      </w:pPr>
      <w:r>
        <w:rPr>
          <w:rFonts w:hint="eastAsia" w:ascii="宋体" w:hAnsi="宋体" w:eastAsia="宋体"/>
          <w:szCs w:val="21"/>
        </w:rPr>
        <w:t>风险推测：作为高新技术企业，公司需持续投入研发（如2023年招聘“自动监测系统集成及软件开发”岗位，且运维业务人力成本高（省内10个运维岗需“长期出差”）。若毛利率无法覆盖研发和运维成本，可能导致净利润率下降，影响偿债基础。</w:t>
      </w:r>
    </w:p>
    <w:p w14:paraId="26FA8D32">
      <w:pPr>
        <w:numPr>
          <w:ilvl w:val="0"/>
          <w:numId w:val="7"/>
        </w:numPr>
        <w:ind w:left="420" w:leftChars="0" w:hanging="420" w:firstLineChars="0"/>
        <w:rPr>
          <w:rFonts w:hint="eastAsia" w:ascii="宋体" w:hAnsi="宋体" w:eastAsia="宋体"/>
          <w:szCs w:val="21"/>
        </w:rPr>
      </w:pPr>
      <w:r>
        <w:rPr>
          <w:rFonts w:hint="eastAsia" w:ascii="宋体" w:hAnsi="宋体" w:eastAsia="宋体"/>
          <w:szCs w:val="21"/>
        </w:rPr>
        <w:t>间接证据：公司2019年通过ISO三大管理体系认证，但质量管理成本可能进一步推高运营开支。</w:t>
      </w:r>
    </w:p>
    <w:p w14:paraId="1909EF0B">
      <w:pPr>
        <w:rPr>
          <w:rFonts w:hint="eastAsia" w:ascii="宋体" w:hAnsi="宋体" w:eastAsia="宋体"/>
          <w:szCs w:val="21"/>
        </w:rPr>
      </w:pPr>
    </w:p>
    <w:p w14:paraId="58F6D41B">
      <w:pPr>
        <w:rPr>
          <w:rFonts w:hint="eastAsia" w:ascii="宋体" w:hAnsi="宋体" w:eastAsia="宋体"/>
          <w:b/>
          <w:bCs/>
          <w:color w:val="FF0000"/>
          <w:szCs w:val="21"/>
        </w:rPr>
      </w:pPr>
      <w:r>
        <w:rPr>
          <w:rFonts w:hint="eastAsia" w:ascii="宋体" w:hAnsi="宋体" w:eastAsia="宋体"/>
          <w:b/>
          <w:bCs/>
          <w:color w:val="FF0000"/>
          <w:szCs w:val="21"/>
          <w:lang w:val="en-US" w:eastAsia="zh-CN"/>
        </w:rPr>
        <w:t>3、</w:t>
      </w:r>
      <w:r>
        <w:rPr>
          <w:rFonts w:hint="eastAsia" w:ascii="宋体" w:hAnsi="宋体" w:eastAsia="宋体"/>
          <w:b/>
          <w:bCs/>
          <w:color w:val="FF0000"/>
          <w:szCs w:val="21"/>
        </w:rPr>
        <w:t>风险总结</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60"/>
        <w:gridCol w:w="2730"/>
        <w:gridCol w:w="4410"/>
      </w:tblGrid>
      <w:tr w14:paraId="39C90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710F8279">
            <w:pPr>
              <w:rPr>
                <w:rFonts w:hint="eastAsia" w:ascii="宋体" w:hAnsi="宋体" w:eastAsia="宋体"/>
                <w:szCs w:val="21"/>
              </w:rPr>
            </w:pPr>
            <w:r>
              <w:rPr>
                <w:rFonts w:hint="eastAsia" w:ascii="宋体" w:hAnsi="宋体" w:eastAsia="宋体"/>
                <w:szCs w:val="21"/>
                <w:lang w:val="en-US" w:eastAsia="zh-CN"/>
              </w:rPr>
              <w:t>风险类型</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0BC31A5F">
            <w:pPr>
              <w:rPr>
                <w:rFonts w:hint="eastAsia" w:ascii="宋体" w:hAnsi="宋体" w:eastAsia="宋体"/>
                <w:szCs w:val="21"/>
              </w:rPr>
            </w:pPr>
            <w:r>
              <w:rPr>
                <w:rFonts w:hint="eastAsia" w:ascii="宋体" w:hAnsi="宋体" w:eastAsia="宋体"/>
                <w:szCs w:val="21"/>
                <w:lang w:val="en-US" w:eastAsia="zh-CN"/>
              </w:rPr>
              <w:t>担忧点</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3904730C">
            <w:pPr>
              <w:rPr>
                <w:rFonts w:hint="eastAsia" w:ascii="宋体" w:hAnsi="宋体" w:eastAsia="宋体"/>
                <w:szCs w:val="21"/>
              </w:rPr>
            </w:pPr>
            <w:r>
              <w:rPr>
                <w:rFonts w:hint="eastAsia" w:ascii="宋体" w:hAnsi="宋体" w:eastAsia="宋体"/>
                <w:szCs w:val="21"/>
                <w:lang w:val="en-US" w:eastAsia="zh-CN"/>
              </w:rPr>
              <w:t>关键依据或推测理由</w:t>
            </w:r>
          </w:p>
        </w:tc>
      </w:tr>
      <w:tr w14:paraId="315C4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0872D135">
            <w:pPr>
              <w:rPr>
                <w:rFonts w:hint="eastAsia" w:ascii="宋体" w:hAnsi="宋体" w:eastAsia="宋体"/>
                <w:szCs w:val="21"/>
              </w:rPr>
            </w:pPr>
            <w:r>
              <w:rPr>
                <w:rFonts w:hint="eastAsia" w:ascii="宋体" w:hAnsi="宋体" w:eastAsia="宋体"/>
                <w:szCs w:val="21"/>
                <w:lang w:val="en-US" w:eastAsia="zh-CN"/>
              </w:rPr>
              <w:t>表象风险</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731544C6">
            <w:pPr>
              <w:rPr>
                <w:rFonts w:hint="eastAsia" w:ascii="宋体" w:hAnsi="宋体" w:eastAsia="宋体"/>
                <w:szCs w:val="21"/>
              </w:rPr>
            </w:pPr>
            <w:r>
              <w:rPr>
                <w:rFonts w:hint="eastAsia" w:ascii="宋体" w:hAnsi="宋体" w:eastAsia="宋体"/>
                <w:szCs w:val="21"/>
                <w:lang w:val="en-US" w:eastAsia="zh-CN"/>
              </w:rPr>
              <w:t>应收账款周转压力</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5E7111C5">
            <w:pPr>
              <w:rPr>
                <w:rFonts w:hint="eastAsia" w:ascii="宋体" w:hAnsi="宋体" w:eastAsia="宋体"/>
                <w:szCs w:val="21"/>
              </w:rPr>
            </w:pPr>
            <w:r>
              <w:rPr>
                <w:rFonts w:hint="eastAsia" w:ascii="宋体" w:hAnsi="宋体" w:eastAsia="宋体"/>
                <w:szCs w:val="21"/>
                <w:lang w:val="en-US" w:eastAsia="zh-CN"/>
              </w:rPr>
              <w:t>政府项目占比高、招聘需求反映长周期执行</w:t>
            </w:r>
          </w:p>
        </w:tc>
      </w:tr>
      <w:tr w14:paraId="44871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5B6EFF5F">
            <w:pPr>
              <w:rPr>
                <w:rFonts w:hint="eastAsia" w:ascii="宋体" w:hAnsi="宋体" w:eastAsia="宋体"/>
                <w:szCs w:val="21"/>
              </w:rPr>
            </w:pPr>
            <w:r>
              <w:rPr>
                <w:rFonts w:hint="eastAsia" w:ascii="宋体" w:hAnsi="宋体" w:eastAsia="宋体"/>
                <w:szCs w:val="21"/>
                <w:lang w:val="en-US" w:eastAsia="zh-CN"/>
              </w:rPr>
              <w:t>潜在风险</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592CA13B">
            <w:pPr>
              <w:rPr>
                <w:rFonts w:hint="eastAsia" w:ascii="宋体" w:hAnsi="宋体" w:eastAsia="宋体"/>
                <w:szCs w:val="21"/>
              </w:rPr>
            </w:pPr>
            <w:r>
              <w:rPr>
                <w:rFonts w:hint="eastAsia" w:ascii="宋体" w:hAnsi="宋体" w:eastAsia="宋体"/>
                <w:szCs w:val="21"/>
                <w:lang w:val="en-US" w:eastAsia="zh-CN"/>
              </w:rPr>
              <w:t>政策依赖性收入波动</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6F40B9D6">
            <w:pPr>
              <w:rPr>
                <w:rFonts w:hint="eastAsia" w:ascii="宋体" w:hAnsi="宋体" w:eastAsia="宋体"/>
                <w:szCs w:val="21"/>
              </w:rPr>
            </w:pPr>
            <w:r>
              <w:rPr>
                <w:rFonts w:hint="eastAsia" w:ascii="宋体" w:hAnsi="宋体" w:eastAsia="宋体"/>
                <w:szCs w:val="21"/>
                <w:lang w:val="en-US" w:eastAsia="zh-CN"/>
              </w:rPr>
              <w:t>业务结构高度绑定财政预算</w:t>
            </w:r>
          </w:p>
        </w:tc>
      </w:tr>
      <w:tr w14:paraId="304D3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6840E307">
            <w:pPr>
              <w:rPr>
                <w:rFonts w:hint="eastAsia" w:ascii="宋体" w:hAnsi="宋体" w:eastAsia="宋体"/>
                <w:szCs w:val="21"/>
              </w:rPr>
            </w:pPr>
            <w:r>
              <w:rPr>
                <w:rFonts w:hint="eastAsia" w:ascii="宋体" w:hAnsi="宋体" w:eastAsia="宋体"/>
                <w:szCs w:val="21"/>
                <w:lang w:val="en-US" w:eastAsia="zh-CN"/>
              </w:rPr>
              <w:t>潜在风险</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4E46AC7F">
            <w:pPr>
              <w:rPr>
                <w:rFonts w:hint="eastAsia" w:ascii="宋体" w:hAnsi="宋体" w:eastAsia="宋体"/>
                <w:szCs w:val="21"/>
              </w:rPr>
            </w:pPr>
            <w:r>
              <w:rPr>
                <w:rFonts w:hint="eastAsia" w:ascii="宋体" w:hAnsi="宋体" w:eastAsia="宋体"/>
                <w:szCs w:val="21"/>
                <w:lang w:val="en-US" w:eastAsia="zh-CN"/>
              </w:rPr>
              <w:t>技术投入与成本控制矛盾</w:t>
            </w:r>
          </w:p>
        </w:tc>
        <w:tc>
          <w:tcPr>
            <w:tcW w:w="0" w:type="auto"/>
            <w:tcBorders>
              <w:top w:val="nil"/>
              <w:left w:val="nil"/>
              <w:bottom w:val="nil"/>
              <w:right w:val="nil"/>
            </w:tcBorders>
            <w:shd w:val="clear" w:color="auto" w:fill="auto"/>
            <w:tcMar>
              <w:top w:w="139" w:type="dxa"/>
              <w:left w:w="210" w:type="dxa"/>
              <w:bottom w:w="139" w:type="dxa"/>
              <w:right w:w="210" w:type="dxa"/>
            </w:tcMar>
            <w:vAlign w:val="center"/>
          </w:tcPr>
          <w:p w14:paraId="2E5D0CF2">
            <w:pPr>
              <w:rPr>
                <w:rFonts w:hint="eastAsia" w:ascii="宋体" w:hAnsi="宋体" w:eastAsia="宋体"/>
                <w:szCs w:val="21"/>
              </w:rPr>
            </w:pPr>
            <w:r>
              <w:rPr>
                <w:rFonts w:hint="eastAsia" w:ascii="宋体" w:hAnsi="宋体" w:eastAsia="宋体"/>
                <w:szCs w:val="21"/>
                <w:lang w:val="en-US" w:eastAsia="zh-CN"/>
              </w:rPr>
              <w:t>研发及运维岗位扩张、认证成本增加</w:t>
            </w:r>
          </w:p>
        </w:tc>
      </w:tr>
    </w:tbl>
    <w:p w14:paraId="351CE5F3">
      <w:pPr>
        <w:rPr>
          <w:rFonts w:hint="eastAsia" w:ascii="宋体" w:hAnsi="宋体" w:eastAsia="宋体"/>
          <w:b/>
          <w:bCs/>
          <w:color w:val="FF0000"/>
          <w:szCs w:val="21"/>
        </w:rPr>
      </w:pPr>
      <w:r>
        <w:rPr>
          <w:rFonts w:hint="eastAsia" w:ascii="宋体" w:hAnsi="宋体" w:eastAsia="宋体"/>
          <w:b/>
          <w:bCs/>
          <w:color w:val="FF0000"/>
          <w:szCs w:val="21"/>
        </w:rPr>
        <w:t>建议核查重点：</w:t>
      </w:r>
    </w:p>
    <w:p w14:paraId="6611B5E6">
      <w:pPr>
        <w:rPr>
          <w:rFonts w:hint="eastAsia" w:ascii="宋体" w:hAnsi="宋体" w:eastAsia="宋体"/>
          <w:szCs w:val="21"/>
        </w:rPr>
      </w:pPr>
      <w:r>
        <w:rPr>
          <w:rFonts w:hint="eastAsia" w:ascii="宋体" w:hAnsi="宋体" w:eastAsia="宋体"/>
          <w:szCs w:val="21"/>
        </w:rPr>
        <w:t>2023年应收账款账龄结构及坏账计提政策；</w:t>
      </w:r>
    </w:p>
    <w:p w14:paraId="4C801360">
      <w:pPr>
        <w:rPr>
          <w:rFonts w:hint="eastAsia" w:ascii="宋体" w:hAnsi="宋体" w:eastAsia="宋体"/>
          <w:szCs w:val="21"/>
        </w:rPr>
      </w:pPr>
      <w:r>
        <w:rPr>
          <w:rFonts w:hint="eastAsia" w:ascii="宋体" w:hAnsi="宋体" w:eastAsia="宋体"/>
          <w:szCs w:val="21"/>
        </w:rPr>
        <w:t>江苏省生态环境监测专项预算的近年变动趋势；</w:t>
      </w:r>
    </w:p>
    <w:p w14:paraId="00492CAF">
      <w:pPr>
        <w:rPr>
          <w:rFonts w:hint="eastAsia" w:ascii="宋体" w:hAnsi="宋体" w:eastAsia="宋体"/>
          <w:szCs w:val="21"/>
        </w:rPr>
      </w:pPr>
      <w:r>
        <w:rPr>
          <w:rFonts w:hint="eastAsia" w:ascii="宋体" w:hAnsi="宋体" w:eastAsia="宋体"/>
          <w:szCs w:val="21"/>
        </w:rPr>
        <w:t>研发费用占比及毛利率变动数据。</w:t>
      </w:r>
    </w:p>
    <w:p w14:paraId="7A187435">
      <w:pPr>
        <w:rPr>
          <w:rFonts w:hint="eastAsia" w:ascii="宋体" w:hAnsi="宋体" w:eastAsia="宋体"/>
          <w:szCs w:val="21"/>
        </w:rPr>
      </w:pPr>
    </w:p>
    <w:p w14:paraId="7B9D5F08">
      <w:pPr>
        <w:rPr>
          <w:rFonts w:hint="eastAsia" w:ascii="宋体" w:hAnsi="宋体" w:eastAsia="宋体"/>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ar(--yb-font-body-medi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983EB2"/>
    <w:multiLevelType w:val="singleLevel"/>
    <w:tmpl w:val="AE983EB2"/>
    <w:lvl w:ilvl="0" w:tentative="0">
      <w:start w:val="1"/>
      <w:numFmt w:val="decimal"/>
      <w:suff w:val="nothing"/>
      <w:lvlText w:val="%1、"/>
      <w:lvlJc w:val="left"/>
    </w:lvl>
  </w:abstractNum>
  <w:abstractNum w:abstractNumId="1">
    <w:nsid w:val="C7FF9688"/>
    <w:multiLevelType w:val="singleLevel"/>
    <w:tmpl w:val="C7FF9688"/>
    <w:lvl w:ilvl="0" w:tentative="0">
      <w:start w:val="1"/>
      <w:numFmt w:val="bullet"/>
      <w:lvlText w:val=""/>
      <w:lvlJc w:val="left"/>
      <w:pPr>
        <w:ind w:left="420" w:hanging="420"/>
      </w:pPr>
      <w:rPr>
        <w:rFonts w:hint="default" w:ascii="Wingdings" w:hAnsi="Wingdings"/>
      </w:rPr>
    </w:lvl>
  </w:abstractNum>
  <w:abstractNum w:abstractNumId="2">
    <w:nsid w:val="D0984CE2"/>
    <w:multiLevelType w:val="singleLevel"/>
    <w:tmpl w:val="D0984CE2"/>
    <w:lvl w:ilvl="0" w:tentative="0">
      <w:start w:val="1"/>
      <w:numFmt w:val="decimal"/>
      <w:suff w:val="nothing"/>
      <w:lvlText w:val="%1、"/>
      <w:lvlJc w:val="left"/>
    </w:lvl>
  </w:abstractNum>
  <w:abstractNum w:abstractNumId="3">
    <w:nsid w:val="E05F5024"/>
    <w:multiLevelType w:val="singleLevel"/>
    <w:tmpl w:val="E05F5024"/>
    <w:lvl w:ilvl="0" w:tentative="0">
      <w:start w:val="5"/>
      <w:numFmt w:val="chineseCounting"/>
      <w:suff w:val="nothing"/>
      <w:lvlText w:val="%1、"/>
      <w:lvlJc w:val="left"/>
      <w:rPr>
        <w:rFonts w:hint="eastAsia"/>
      </w:rPr>
    </w:lvl>
  </w:abstractNum>
  <w:abstractNum w:abstractNumId="4">
    <w:nsid w:val="2551FABD"/>
    <w:multiLevelType w:val="singleLevel"/>
    <w:tmpl w:val="2551FABD"/>
    <w:lvl w:ilvl="0" w:tentative="0">
      <w:start w:val="1"/>
      <w:numFmt w:val="bullet"/>
      <w:lvlText w:val=""/>
      <w:lvlJc w:val="left"/>
      <w:pPr>
        <w:ind w:left="420" w:hanging="420"/>
      </w:pPr>
      <w:rPr>
        <w:rFonts w:hint="default" w:ascii="Wingdings" w:hAnsi="Wingdings"/>
      </w:rPr>
    </w:lvl>
  </w:abstractNum>
  <w:abstractNum w:abstractNumId="5">
    <w:nsid w:val="5987C39C"/>
    <w:multiLevelType w:val="singleLevel"/>
    <w:tmpl w:val="5987C39C"/>
    <w:lvl w:ilvl="0" w:tentative="0">
      <w:start w:val="1"/>
      <w:numFmt w:val="decimal"/>
      <w:suff w:val="nothing"/>
      <w:lvlText w:val="%1、"/>
      <w:lvlJc w:val="left"/>
    </w:lvl>
  </w:abstractNum>
  <w:abstractNum w:abstractNumId="6">
    <w:nsid w:val="781B0329"/>
    <w:multiLevelType w:val="singleLevel"/>
    <w:tmpl w:val="781B0329"/>
    <w:lvl w:ilvl="0" w:tentative="0">
      <w:start w:val="3"/>
      <w:numFmt w:val="chineseCounting"/>
      <w:suff w:val="nothing"/>
      <w:lvlText w:val="（%1）"/>
      <w:lvlJc w:val="left"/>
      <w:rPr>
        <w:rFonts w:hint="eastAsia"/>
      </w:rPr>
    </w:lvl>
  </w:abstractNum>
  <w:num w:numId="1">
    <w:abstractNumId w:val="1"/>
  </w:num>
  <w:num w:numId="2">
    <w:abstractNumId w:val="5"/>
  </w:num>
  <w:num w:numId="3">
    <w:abstractNumId w:val="6"/>
  </w:num>
  <w:num w:numId="4">
    <w:abstractNumId w:val="0"/>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4358BC"/>
    <w:rsid w:val="0CF056D0"/>
    <w:rsid w:val="22435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7">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1">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table" w:styleId="10">
    <w:name w:val="Table Grid"/>
    <w:basedOn w:val="9"/>
    <w:uiPriority w:val="99"/>
    <w:pPr>
      <w:widowControl w:val="0"/>
      <w:jc w:val="both"/>
    </w:pPr>
    <w:rPr>
      <w:rFonts w:ascii="Times New Roman" w:hAnsi="Times New Roman" w:eastAsia="Times New Roman"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paragraph" w:customStyle="1" w:styleId="13">
    <w:name w:val="List Paragraph1"/>
    <w:basedOn w:val="1"/>
    <w:qFormat/>
    <w:uiPriority w:val="0"/>
    <w:pPr>
      <w:ind w:firstLine="420" w:firstLineChars="200"/>
    </w:pPr>
    <w:rPr>
      <w:rFonts w:ascii="Calibri" w:hAnsi="Calibri" w:eastAsia="宋体" w:cs="Times New Roman"/>
      <w:szCs w:val="21"/>
    </w:rPr>
  </w:style>
  <w:style w:type="character" w:customStyle="1" w:styleId="14">
    <w:name w:val="15"/>
    <w:basedOn w:val="11"/>
    <w:qFormat/>
    <w:uiPriority w:val="0"/>
    <w:rPr>
      <w:rFonts w:hint="default" w:ascii="Segoe UI" w:hAnsi="Segoe UI" w:cs="Segoe UI"/>
      <w:color w:val="FF4D4F"/>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4602</Words>
  <Characters>5044</Characters>
  <Lines>0</Lines>
  <Paragraphs>0</Paragraphs>
  <TotalTime>16</TotalTime>
  <ScaleCrop>false</ScaleCrop>
  <LinksUpToDate>false</LinksUpToDate>
  <CharactersWithSpaces>5075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2025-03-07T02:08:00Z</dcterms:created>
  <dc:creator>HUAWEI</dc:creator>
  <cp:lastModifiedBy>郝爽</cp:lastModifiedBy>
  <dcterms:modified xsi:type="dcterms:W3CDTF">2025-03-07T07:25:46Z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5CCD2C8BE5F24F6F8D8BED8E82159737_13</vt:lpwstr>
  </property>
  <property fmtid="{D5CDD505-2E9C-101B-9397-08002B2CF9AE}" pid="4" name="KSOTemplateDocerSaveRecord">
    <vt:lpwstr>eyJoZGlkIjoiZGVlMjNmMDE1MDE4OGE1Y2U4NjU2Yzk4MThhM2VkN2MiLCJ1c2VySWQiOiI1MjExNjM5NjQifQ==</vt:lpwstr>
  </property>
</Properties>
</file>