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7C0AC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000000"/>
          <w:sz w:val="36"/>
        </w:rPr>
        <w:t>上海东振环保工程技术有限公司访前一页纸</w:t>
      </w:r>
    </w:p>
    <w:p w14:paraId="1C69047E">
      <w:pPr>
        <w:rPr>
          <w:rFonts w:hint="eastAsia" w:ascii="仿宋" w:hAnsi="仿宋" w:eastAsia="仿宋" w:cs="仿宋"/>
          <w:b/>
          <w:color w:val="FA0000"/>
          <w:sz w:val="32"/>
        </w:rPr>
      </w:pPr>
      <w:r>
        <w:rPr>
          <w:rFonts w:hint="eastAsia" w:ascii="仿宋" w:hAnsi="仿宋" w:eastAsia="仿宋" w:cs="仿宋"/>
          <w:b/>
          <w:color w:val="FA0000"/>
          <w:sz w:val="32"/>
        </w:rPr>
        <w:t>第一章节：企业基本信息</w:t>
      </w:r>
    </w:p>
    <w:p w14:paraId="1FC210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1、基础工商数据</w:t>
      </w:r>
    </w:p>
    <w:p w14:paraId="07C6CF68">
      <w:pPr>
        <w:rPr>
          <w:rFonts w:hint="eastAsia"/>
        </w:rPr>
      </w:pPr>
      <w:r>
        <w:rPr>
          <w:rFonts w:hint="eastAsia"/>
        </w:rPr>
        <w:t xml:space="preserve">（1）成立时间：1998年6月22日，注册资本4185.99万元（实缴同等），注册地址上海市崇明区竖新镇响椿路58号。  </w:t>
      </w:r>
    </w:p>
    <w:p w14:paraId="07565CF6">
      <w:pPr>
        <w:rPr>
          <w:rFonts w:hint="eastAsia"/>
        </w:rPr>
      </w:pPr>
      <w:r>
        <w:rPr>
          <w:rFonts w:hint="eastAsia"/>
        </w:rPr>
        <w:t xml:space="preserve">（2）法定代表人胡伟，实际控制人为胡伟（持股25.31%）。  </w:t>
      </w:r>
    </w:p>
    <w:p w14:paraId="6195A4FB">
      <w:pPr>
        <w:rPr>
          <w:rFonts w:hint="eastAsia"/>
        </w:rPr>
      </w:pPr>
      <w:r>
        <w:rPr>
          <w:rFonts w:hint="eastAsia"/>
        </w:rPr>
        <w:t>（3）经营范围覆盖环保工程设计施工、水污染治理、技术研发与进出口，拥有建设工程设计与施工资质。</w:t>
      </w:r>
    </w:p>
    <w:p w14:paraId="469295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 w:cs="仿宋"/>
          <w:b/>
          <w:bCs/>
          <w:color w:val="auto"/>
          <w:lang w:val="en-US" w:eastAsia="zh-CN"/>
        </w:rPr>
      </w:pPr>
      <w:r>
        <w:rPr>
          <w:rFonts w:hint="eastAsia" w:cs="仿宋"/>
          <w:b/>
          <w:bCs/>
          <w:color w:val="auto"/>
          <w:lang w:val="en-US" w:eastAsia="zh-CN"/>
        </w:rPr>
        <w:t>2</w:t>
      </w:r>
      <w:r>
        <w:rPr>
          <w:rFonts w:hint="eastAsia" w:ascii="仿宋" w:hAnsi="仿宋" w:eastAsia="仿宋" w:cs="仿宋"/>
          <w:b/>
          <w:bCs/>
          <w:color w:val="auto"/>
          <w:lang w:val="en-US" w:eastAsia="zh-CN"/>
        </w:rPr>
        <w:t>、</w:t>
      </w:r>
      <w:r>
        <w:rPr>
          <w:rFonts w:hint="eastAsia" w:cs="仿宋"/>
          <w:b/>
          <w:bCs/>
          <w:color w:val="auto"/>
          <w:lang w:val="en-US" w:eastAsia="zh-CN"/>
        </w:rPr>
        <w:t>股权与股东结构</w:t>
      </w:r>
    </w:p>
    <w:p w14:paraId="3E628176">
      <w:pPr>
        <w:rPr>
          <w:rFonts w:hint="eastAsia"/>
        </w:rPr>
      </w:pPr>
      <w:r>
        <w:rPr>
          <w:rFonts w:hint="eastAsia"/>
        </w:rPr>
        <w:t xml:space="preserve">（1）前三大股东：胡伟（25.31%）、张哲敏（22.81%）、上海子骞投资中心（有限合伙，19.54%），合计持股超67%。  </w:t>
      </w:r>
    </w:p>
    <w:p w14:paraId="28F4442C">
      <w:pPr>
        <w:rPr>
          <w:rFonts w:hint="default" w:cs="仿宋"/>
          <w:b/>
          <w:bCs/>
          <w:color w:val="auto"/>
          <w:lang w:val="en-US" w:eastAsia="zh-CN"/>
        </w:rPr>
      </w:pPr>
      <w:r>
        <w:rPr>
          <w:rFonts w:hint="eastAsia"/>
        </w:rPr>
        <w:t>（2）实控人胡伟系公司创始人，未发现重大股权变更记录。</w:t>
      </w:r>
    </w:p>
    <w:p w14:paraId="1D99D1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cs="仿宋"/>
          <w:b/>
          <w:bCs/>
          <w:color w:val="0000FF"/>
          <w:lang w:val="en-US" w:eastAsia="zh-CN"/>
        </w:rPr>
      </w:pPr>
      <w:r>
        <w:rPr>
          <w:rFonts w:hint="default" w:cs="仿宋"/>
          <w:b/>
          <w:bCs/>
          <w:color w:val="0000FF"/>
          <w:lang w:val="en-US" w:eastAsia="zh-CN"/>
        </w:rPr>
        <w:drawing>
          <wp:inline distT="0" distB="0" distL="114300" distR="114300">
            <wp:extent cx="4546600" cy="2423795"/>
            <wp:effectExtent l="0" t="0" r="0" b="0"/>
            <wp:docPr id="1" name="图片 1" descr="473621945deed1d215c6a2fac7a4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3621945deed1d215c6a2fac7a4f18"/>
                    <pic:cNvPicPr>
                      <a:picLocks noChangeAspect="1"/>
                    </pic:cNvPicPr>
                  </pic:nvPicPr>
                  <pic:blipFill>
                    <a:blip r:embed="rId6"/>
                    <a:srcRect l="6856" r="6868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17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cs="仿宋"/>
          <w:b/>
          <w:bCs/>
          <w:lang w:val="en-US" w:eastAsia="zh-CN"/>
        </w:rPr>
        <w:t>3、</w:t>
      </w:r>
      <w:r>
        <w:rPr>
          <w:rFonts w:hint="eastAsia" w:ascii="仿宋" w:hAnsi="仿宋" w:eastAsia="仿宋" w:cs="仿宋"/>
          <w:b/>
          <w:bCs/>
          <w:lang w:val="en-US" w:eastAsia="zh-CN"/>
        </w:rPr>
        <w:t>行业资质与许可</w:t>
      </w:r>
    </w:p>
    <w:p w14:paraId="42E27FF0">
      <w:pPr>
        <w:rPr>
          <w:rFonts w:hint="eastAsia" w:ascii="仿宋" w:hAnsi="仿宋" w:eastAsia="仿宋" w:cs="仿宋"/>
          <w:b/>
          <w:color w:val="FA0000"/>
          <w:sz w:val="32"/>
          <w:lang w:eastAsia="zh-CN"/>
        </w:rPr>
      </w:pPr>
      <w:r>
        <w:rPr>
          <w:rFonts w:hint="eastAsia" w:cs="仿宋"/>
          <w:lang w:val="en-US" w:eastAsia="zh-CN"/>
        </w:rPr>
        <w:t>资质分：</w:t>
      </w:r>
      <w:r>
        <w:rPr>
          <w:rFonts w:hint="eastAsia" w:cs="仿宋"/>
          <w:color w:val="FF0000"/>
          <w:lang w:val="en-US" w:eastAsia="zh-CN"/>
        </w:rPr>
        <w:t>94.41分</w:t>
      </w:r>
      <w:r>
        <w:rPr>
          <w:rFonts w:hint="eastAsia" w:cs="仿宋"/>
          <w:lang w:val="en-US"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color w:val="FF0000"/>
          <w:lang w:val="en-US" w:eastAsia="zh-CN"/>
        </w:rPr>
        <w:t>疑似规上企业，</w:t>
      </w:r>
      <w:r>
        <w:rPr>
          <w:rFonts w:hint="eastAsia"/>
        </w:rPr>
        <w:t>国家高新技术企业（2024年重新认定）、专精特新中小企业。持有环境工程（水污染防治）专项甲级设计资质、电子与智能化工程专业承包一级资质。</w:t>
      </w:r>
    </w:p>
    <w:p w14:paraId="1C2416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cs="仿宋"/>
          <w:b/>
          <w:bCs/>
          <w:lang w:val="en-US" w:eastAsia="zh-CN"/>
        </w:rPr>
        <w:t>4</w:t>
      </w:r>
      <w:r>
        <w:rPr>
          <w:rFonts w:hint="eastAsia" w:ascii="仿宋" w:hAnsi="仿宋" w:eastAsia="仿宋" w:cs="仿宋"/>
          <w:b/>
          <w:bCs/>
          <w:lang w:val="en-US" w:eastAsia="zh-CN"/>
        </w:rPr>
        <w:t>、专利技术布局</w:t>
      </w:r>
    </w:p>
    <w:p w14:paraId="1B906F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/>
        </w:rPr>
      </w:pPr>
      <w:r>
        <w:rPr>
          <w:rFonts w:hint="eastAsia"/>
        </w:rPr>
        <w:t xml:space="preserve">累计授权专利107项，以废水处理技术为核心，包括2025年新型树脂吸附装置专利（提升金属回收效率）。 </w:t>
      </w:r>
    </w:p>
    <w:p w14:paraId="322166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cs="仿宋"/>
          <w:b/>
          <w:bCs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lang w:val="en-US" w:eastAsia="zh-CN"/>
        </w:rPr>
        <w:t>、司法风险扫描</w:t>
      </w:r>
    </w:p>
    <w:p w14:paraId="3C0AEE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/>
        </w:rPr>
      </w:pPr>
      <w:r>
        <w:rPr>
          <w:rFonts w:hint="eastAsia"/>
        </w:rPr>
        <w:t>存在8起司法案件（多为合同纠纷），2起劳动仲裁（2025年），无经营异常或严重失信记录。</w:t>
      </w:r>
    </w:p>
    <w:p w14:paraId="3376B3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cs="仿宋"/>
          <w:color w:val="auto"/>
          <w:lang w:val="en-US" w:eastAsia="zh-CN"/>
        </w:rPr>
      </w:pPr>
      <w:r>
        <w:rPr>
          <w:rFonts w:hint="eastAsia" w:cs="仿宋"/>
          <w:b/>
          <w:bCs/>
          <w:color w:val="auto"/>
          <w:lang w:val="en-US" w:eastAsia="zh-CN"/>
        </w:rPr>
        <w:t>6、</w:t>
      </w:r>
      <w:r>
        <w:rPr>
          <w:rFonts w:hint="eastAsia" w:ascii="仿宋" w:hAnsi="仿宋" w:eastAsia="仿宋" w:cs="仿宋"/>
          <w:b/>
          <w:bCs/>
          <w:color w:val="auto"/>
          <w:lang w:val="en-US" w:eastAsia="zh-CN"/>
        </w:rPr>
        <w:t>企业营收</w:t>
      </w:r>
    </w:p>
    <w:p w14:paraId="542BF21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cs="仿宋"/>
          <w:lang w:val="en-US" w:eastAsia="zh-CN"/>
        </w:rPr>
      </w:pPr>
      <w:r>
        <w:rPr>
          <w:rFonts w:hint="default" w:cs="仿宋"/>
          <w:lang w:val="en-US" w:eastAsia="zh-CN"/>
        </w:rPr>
        <w:drawing>
          <wp:inline distT="0" distB="0" distL="114300" distR="114300">
            <wp:extent cx="4476750" cy="2423795"/>
            <wp:effectExtent l="0" t="0" r="0" b="0"/>
            <wp:docPr id="2" name="图片 2" descr="17b9c758ce4e65223dbec95bf76c7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b9c758ce4e65223dbec95bf76c7cf"/>
                    <pic:cNvPicPr>
                      <a:picLocks noChangeAspect="1"/>
                    </pic:cNvPicPr>
                  </pic:nvPicPr>
                  <pic:blipFill>
                    <a:blip r:embed="rId7"/>
                    <a:srcRect l="7218" r="783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51F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cs="仿宋"/>
          <w:lang w:val="en-US" w:eastAsia="zh-CN"/>
        </w:rPr>
      </w:pPr>
    </w:p>
    <w:p w14:paraId="7FD630D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cs="仿宋"/>
          <w:lang w:val="en-US" w:eastAsia="zh-CN"/>
        </w:rPr>
      </w:pPr>
    </w:p>
    <w:p w14:paraId="49A0033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 w:ascii="仿宋" w:hAnsi="仿宋" w:eastAsia="仿宋" w:cs="仿宋"/>
          <w:b/>
          <w:color w:val="FA0000"/>
          <w:sz w:val="32"/>
        </w:rPr>
      </w:pPr>
      <w:r>
        <w:rPr>
          <w:rFonts w:hint="eastAsia" w:ascii="仿宋" w:hAnsi="仿宋" w:eastAsia="仿宋" w:cs="仿宋"/>
          <w:b/>
          <w:color w:val="FA0000"/>
          <w:sz w:val="32"/>
        </w:rPr>
        <w:t>第二章节：企业发展历程</w:t>
      </w:r>
    </w:p>
    <w:p w14:paraId="7F91E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1、发展历程</w:t>
      </w:r>
    </w:p>
    <w:p w14:paraId="1CE8E2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（1）成立与初期发展：企业成立于1998年6月22日，注册于上海市崇明区，初始业务聚焦工业废水处理及环保工程设计，依托冶金行业需求快速切入市场。  </w:t>
      </w:r>
    </w:p>
    <w:p w14:paraId="4E0969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（2）里程碑事件：  </w:t>
      </w:r>
    </w:p>
    <w:p w14:paraId="6A9E18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/>
        </w:rPr>
      </w:pPr>
      <w:r>
        <w:rPr>
          <w:rFonts w:hint="eastAsia"/>
        </w:rPr>
        <w:t xml:space="preserve">• 2005年：获环境工程（水污染防治）专项甲级设计资质，确立技术优势。  </w:t>
      </w:r>
    </w:p>
    <w:p w14:paraId="0384A3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/>
        </w:rPr>
      </w:pPr>
      <w:r>
        <w:rPr>
          <w:rFonts w:hint="eastAsia"/>
        </w:rPr>
        <w:t xml:space="preserve">• 2012年：承接缅甸、俄罗斯等海外项目，开启国际化布局。  </w:t>
      </w:r>
    </w:p>
    <w:p w14:paraId="5A7BD7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/>
        </w:rPr>
      </w:pPr>
      <w:r>
        <w:rPr>
          <w:rFonts w:hint="eastAsia"/>
        </w:rPr>
        <w:t xml:space="preserve">• 2020年：被认定为上海市“专精特新”中小企业，技术研发能力获官方认可。  </w:t>
      </w:r>
    </w:p>
    <w:p w14:paraId="0FB890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/>
        </w:rPr>
      </w:pPr>
      <w:r>
        <w:rPr>
          <w:rFonts w:hint="eastAsia"/>
        </w:rPr>
        <w:t xml:space="preserve">• 2023年：升级为“电子与智能化工程专业承包一级”资质，业务范围扩展至半导体行业超纯水处理。  </w:t>
      </w:r>
    </w:p>
    <w:p w14:paraId="457788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/>
        </w:rPr>
        <w:t xml:space="preserve">• 2024年：重新通过国家高新技术企业认定，专利总数突破107项。 </w:t>
      </w:r>
      <w:r>
        <w:rPr>
          <w:rFonts w:hint="eastAsia" w:ascii="仿宋" w:hAnsi="仿宋" w:eastAsia="仿宋" w:cs="仿宋"/>
        </w:rPr>
        <w:t xml:space="preserve"> </w:t>
      </w:r>
    </w:p>
    <w:p w14:paraId="74EDE7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2、战略布局</w:t>
      </w:r>
    </w:p>
    <w:p w14:paraId="5C37B8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（1）</w:t>
      </w:r>
      <w:r>
        <w:rPr>
          <w:rFonts w:hint="eastAsia" w:ascii="仿宋" w:hAnsi="仿宋" w:eastAsia="仿宋" w:cs="仿宋"/>
          <w:b/>
          <w:bCs/>
        </w:rPr>
        <w:t>核心业务</w:t>
      </w:r>
      <w:r>
        <w:rPr>
          <w:rFonts w:hint="eastAsia" w:ascii="仿宋" w:hAnsi="仿宋" w:eastAsia="仿宋" w:cs="仿宋"/>
        </w:rPr>
        <w:t>：</w:t>
      </w:r>
      <w:r>
        <w:rPr>
          <w:rFonts w:hint="eastAsia"/>
        </w:rPr>
        <w:t>聚焦工业废水处理（冶金、电子、化工领域）、废酸再生及废气治理，2024年新增光伏废水处理技术突破。</w:t>
      </w:r>
    </w:p>
    <w:p w14:paraId="7B13E0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（2）</w:t>
      </w:r>
      <w:r>
        <w:rPr>
          <w:rFonts w:hint="eastAsia" w:ascii="仿宋" w:hAnsi="仿宋" w:eastAsia="仿宋" w:cs="仿宋"/>
          <w:b/>
          <w:bCs/>
        </w:rPr>
        <w:t>区域布局：</w:t>
      </w:r>
      <w:r>
        <w:rPr>
          <w:rFonts w:hint="eastAsia"/>
        </w:rPr>
        <w:t>国内覆盖广东、湖北等9省，海外深化东南亚（缅甸、越南）及东欧（俄罗斯）市场，参与“一带一路”环保项目。</w:t>
      </w:r>
    </w:p>
    <w:p w14:paraId="5E3FB8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（3）</w:t>
      </w:r>
      <w:r>
        <w:rPr>
          <w:rFonts w:hint="eastAsia" w:ascii="仿宋" w:hAnsi="仿宋" w:eastAsia="仿宋" w:cs="仿宋"/>
          <w:b/>
          <w:bCs/>
        </w:rPr>
        <w:t>技术投入：</w:t>
      </w:r>
      <w:r>
        <w:rPr>
          <w:rFonts w:hint="eastAsia"/>
        </w:rPr>
        <w:t>近三年研发投入占比超5%，重点布局树脂吸附、膜分离技术，2025年新增2项光伏废水处理专利。</w:t>
      </w:r>
    </w:p>
    <w:p w14:paraId="0AAABE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（4）</w:t>
      </w:r>
      <w:r>
        <w:rPr>
          <w:rFonts w:hint="eastAsia" w:ascii="仿宋" w:hAnsi="仿宋" w:eastAsia="仿宋" w:cs="仿宋"/>
          <w:b/>
          <w:bCs/>
        </w:rPr>
        <w:t>产业链整合：</w:t>
      </w:r>
      <w:r>
        <w:rPr>
          <w:rFonts w:hint="eastAsia"/>
        </w:rPr>
        <w:t>通过投资天津渤钢等供应链企业强化设备自供能力，与丹麦、以色列企业合作引入尖端技术。</w:t>
      </w:r>
    </w:p>
    <w:p w14:paraId="3F35C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3、金融机构合作</w:t>
      </w:r>
    </w:p>
    <w:p w14:paraId="3D6644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（1）银行授信：合作银行包括交通银行、宁波银行，曾通过“科技履约贷”获得政策性贷款支持。  </w:t>
      </w:r>
    </w:p>
    <w:p w14:paraId="158D52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（2）供应链金融：参与政府采购网应收账款融资，中标项目资金回笼周期与授信额度挂钩。  </w:t>
      </w:r>
    </w:p>
    <w:p w14:paraId="5293B1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（3）绿色金融：符合上海市绿色信贷政策导向，但未查询到公开的资产证券化或债券发行记录。</w:t>
      </w:r>
    </w:p>
    <w:p w14:paraId="11AE3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/>
        </w:rPr>
        <w:t xml:space="preserve"> </w:t>
      </w:r>
      <w:r>
        <w:rPr>
          <w:rFonts w:hint="eastAsia" w:ascii="仿宋" w:hAnsi="仿宋" w:eastAsia="仿宋" w:cs="仿宋"/>
          <w:b/>
          <w:bCs/>
        </w:rPr>
        <w:t>4、招投标与新闻动态</w:t>
      </w:r>
    </w:p>
    <w:p w14:paraId="496050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（1）</w:t>
      </w:r>
      <w:r>
        <w:rPr>
          <w:rFonts w:hint="eastAsia" w:ascii="仿宋" w:hAnsi="仿宋" w:eastAsia="仿宋" w:cs="仿宋"/>
          <w:b/>
          <w:bCs/>
        </w:rPr>
        <w:t>重点项目</w:t>
      </w:r>
      <w:r>
        <w:rPr>
          <w:rFonts w:hint="eastAsia" w:ascii="仿宋" w:hAnsi="仿宋" w:eastAsia="仿宋" w:cs="仿宋"/>
        </w:rPr>
        <w:t xml:space="preserve">：2024年中标宝钢硅钢废水处理、新钢冷轧水站药剂总包等标杆项目，巩固冶金行业优势地位。  </w:t>
      </w:r>
    </w:p>
    <w:p w14:paraId="5F1BCD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bCs w:val="0"/>
        </w:rPr>
        <w:t>（2）</w:t>
      </w:r>
      <w:r>
        <w:rPr>
          <w:rFonts w:hint="eastAsia" w:ascii="仿宋" w:hAnsi="仿宋" w:eastAsia="仿宋" w:cs="仿宋"/>
          <w:b/>
          <w:bCs/>
        </w:rPr>
        <w:t>政策关联：</w:t>
      </w:r>
      <w:r>
        <w:rPr>
          <w:rFonts w:hint="eastAsia" w:ascii="仿宋" w:hAnsi="仿宋" w:eastAsia="仿宋" w:cs="仿宋"/>
        </w:rPr>
        <w:t xml:space="preserve">2024年入选工信部“工业水重复利用案例”获奖单位，参与《电子行业废水处理标准》修订。  </w:t>
      </w:r>
    </w:p>
    <w:p w14:paraId="4A2F10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（3）</w:t>
      </w:r>
      <w:r>
        <w:rPr>
          <w:rFonts w:hint="eastAsia" w:ascii="仿宋" w:hAnsi="仿宋" w:eastAsia="仿宋" w:cs="仿宋"/>
          <w:b/>
          <w:bCs/>
        </w:rPr>
        <w:t>管理动态</w:t>
      </w:r>
      <w:r>
        <w:rPr>
          <w:rFonts w:hint="eastAsia" w:ascii="仿宋" w:hAnsi="仿宋" w:eastAsia="仿宋" w:cs="仿宋"/>
        </w:rPr>
        <w:t xml:space="preserve">：董事长胡伟持续主导技术战略，2023年提拔年轻管理者强化项目执行力，无重大管理层变动。  </w:t>
      </w:r>
    </w:p>
    <w:p w14:paraId="2B28F1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（4）</w:t>
      </w:r>
      <w:r>
        <w:rPr>
          <w:rFonts w:hint="eastAsia" w:ascii="仿宋" w:hAnsi="仿宋" w:eastAsia="仿宋" w:cs="仿宋"/>
          <w:b/>
          <w:bCs/>
        </w:rPr>
        <w:t>风险提示</w:t>
      </w:r>
      <w:r>
        <w:rPr>
          <w:rFonts w:hint="eastAsia" w:ascii="仿宋" w:hAnsi="仿宋" w:eastAsia="仿宋" w:cs="仿宋"/>
        </w:rPr>
        <w:t xml:space="preserve">：2024年存在8起合同纠纷诉讼，但无环保处罚或失信记录。  </w:t>
      </w:r>
    </w:p>
    <w:p w14:paraId="6185FEA4">
      <w:pPr>
        <w:rPr>
          <w:rFonts w:hint="eastAsia"/>
        </w:rPr>
      </w:pPr>
      <w:r>
        <w:rPr>
          <w:rFonts w:hint="eastAsia" w:cs="仿宋"/>
          <w:b/>
          <w:bCs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</w:rPr>
        <w:t>、</w:t>
      </w:r>
      <w:r>
        <w:rPr>
          <w:rFonts w:hint="eastAsia"/>
          <w:b/>
          <w:bCs/>
        </w:rPr>
        <w:t>股权与经营变更</w:t>
      </w:r>
      <w:r>
        <w:rPr>
          <w:rFonts w:hint="eastAsia"/>
        </w:rPr>
        <w:t xml:space="preserve">  </w:t>
      </w:r>
    </w:p>
    <w:p w14:paraId="7E6307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（1）</w:t>
      </w:r>
      <w:r>
        <w:rPr>
          <w:rFonts w:hint="eastAsia" w:ascii="仿宋" w:hAnsi="仿宋" w:eastAsia="仿宋" w:cs="仿宋"/>
          <w:b/>
          <w:bCs/>
        </w:rPr>
        <w:t>股权结构</w:t>
      </w:r>
      <w:r>
        <w:rPr>
          <w:rFonts w:hint="eastAsia" w:ascii="仿宋" w:hAnsi="仿宋" w:eastAsia="仿宋" w:cs="仿宋"/>
        </w:rPr>
        <w:t xml:space="preserve">：实控人胡伟持股25.31%，与张哲敏（22.81%）、上海子骞投资（19.54%）形成稳定控制权，近三年无重大股权变动。  </w:t>
      </w:r>
    </w:p>
    <w:p w14:paraId="60235F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（2）</w:t>
      </w:r>
      <w:r>
        <w:rPr>
          <w:rFonts w:hint="eastAsia" w:ascii="仿宋" w:hAnsi="仿宋" w:eastAsia="仿宋" w:cs="仿宋"/>
          <w:b/>
          <w:bCs/>
        </w:rPr>
        <w:t>经营调整</w:t>
      </w:r>
      <w:r>
        <w:rPr>
          <w:rFonts w:hint="eastAsia" w:ascii="仿宋" w:hAnsi="仿宋" w:eastAsia="仿宋" w:cs="仿宋"/>
        </w:rPr>
        <w:t xml:space="preserve">：2023年新增“污泥回流工艺”专利授权，2024年经营范围扩展“零排放技术研发”。  </w:t>
      </w:r>
    </w:p>
    <w:p w14:paraId="2DB94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/>
        </w:rPr>
        <w:t>（3）</w:t>
      </w:r>
      <w:r>
        <w:rPr>
          <w:rFonts w:hint="eastAsia" w:ascii="仿宋" w:hAnsi="仿宋" w:eastAsia="仿宋" w:cs="仿宋"/>
          <w:b/>
          <w:bCs/>
        </w:rPr>
        <w:t>分支机构</w:t>
      </w:r>
      <w:r>
        <w:rPr>
          <w:rFonts w:hint="eastAsia"/>
        </w:rPr>
        <w:t xml:space="preserve">：2025年新增天津、厦门分支机构，强化区域服务能力。 </w:t>
      </w:r>
    </w:p>
    <w:p w14:paraId="063E9A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6、进出口与供应链</w:t>
      </w:r>
    </w:p>
    <w:p w14:paraId="43BE6E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（1）</w:t>
      </w:r>
      <w:r>
        <w:rPr>
          <w:rFonts w:hint="default" w:ascii="仿宋" w:hAnsi="仿宋" w:eastAsia="仿宋" w:cs="仿宋"/>
          <w:b/>
          <w:bCs/>
          <w:lang w:val="en-US" w:eastAsia="zh-CN"/>
        </w:rPr>
        <w:t>贸易特征</w:t>
      </w:r>
      <w:r>
        <w:rPr>
          <w:rFonts w:hint="default" w:ascii="仿宋" w:hAnsi="仿宋" w:eastAsia="仿宋" w:cs="仿宋"/>
          <w:lang w:val="en-US" w:eastAsia="zh-CN"/>
        </w:rPr>
        <w:t xml:space="preserve">：核心出口产品为定制化废水处理设备及技术服务，主要市场为东南亚（占比约60%）、东欧（30%）。  </w:t>
      </w:r>
    </w:p>
    <w:p w14:paraId="2C45A6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（2）</w:t>
      </w:r>
      <w:r>
        <w:rPr>
          <w:rFonts w:hint="default" w:ascii="仿宋" w:hAnsi="仿宋" w:eastAsia="仿宋" w:cs="仿宋"/>
          <w:b/>
          <w:bCs/>
          <w:lang w:val="en-US" w:eastAsia="zh-CN"/>
        </w:rPr>
        <w:t>供应链管理</w:t>
      </w:r>
      <w:r>
        <w:rPr>
          <w:rFonts w:hint="default" w:ascii="仿宋" w:hAnsi="仿宋" w:eastAsia="仿宋" w:cs="仿宋"/>
          <w:lang w:val="en-US" w:eastAsia="zh-CN"/>
        </w:rPr>
        <w:t xml:space="preserve">：关键膜组件依赖德国进口（占比约15%），2024年通过战略投资降低核心材料进口依赖度。  </w:t>
      </w:r>
    </w:p>
    <w:p w14:paraId="76A287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（3）</w:t>
      </w:r>
      <w:r>
        <w:rPr>
          <w:rFonts w:hint="default" w:ascii="仿宋" w:hAnsi="仿宋" w:eastAsia="仿宋" w:cs="仿宋"/>
          <w:b/>
          <w:bCs/>
          <w:lang w:val="en-US" w:eastAsia="zh-CN"/>
        </w:rPr>
        <w:t>结算方式</w:t>
      </w:r>
      <w:r>
        <w:rPr>
          <w:rFonts w:hint="default" w:ascii="仿宋" w:hAnsi="仿宋" w:eastAsia="仿宋" w:cs="仿宋"/>
          <w:lang w:val="en-US" w:eastAsia="zh-CN"/>
        </w:rPr>
        <w:t xml:space="preserve">：跨境结算以美元为主（70%）、欧元为辅（25%），采用远期锁汇对冲汇率风险。  </w:t>
      </w:r>
    </w:p>
    <w:p w14:paraId="79874A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</w:p>
    <w:p w14:paraId="19976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FA0000"/>
          <w:sz w:val="32"/>
        </w:rPr>
        <w:t>第三章节：关键人信息</w:t>
      </w:r>
    </w:p>
    <w:p w14:paraId="4626D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1、教育背景</w:t>
      </w:r>
    </w:p>
    <w:p w14:paraId="4CF5D8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（1）实控人</w:t>
      </w:r>
      <w:r>
        <w:rPr>
          <w:rFonts w:hint="eastAsia"/>
        </w:rPr>
        <w:t>胡伟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实控人胡伟的学</w:t>
      </w:r>
      <w:bookmarkStart w:id="0" w:name="_GoBack"/>
      <w:bookmarkEnd w:id="0"/>
      <w:r>
        <w:rPr>
          <w:rFonts w:hint="eastAsia"/>
        </w:rPr>
        <w:t xml:space="preserve">历信息未在公开渠道明确披露，但根据公司技术密集属性及核心团队构成推测，其可能具备环保/工程领域专业背景。  </w:t>
      </w:r>
    </w:p>
    <w:p w14:paraId="0F645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2、职业履历分析</w:t>
      </w:r>
    </w:p>
    <w:p w14:paraId="1EE678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 xml:space="preserve">（1）职业轨迹：  </w:t>
      </w:r>
    </w:p>
    <w:p w14:paraId="38EAAB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 xml:space="preserve">• 1998年创立上海东振环保，担任法定代表人至今，主导企业从初创团队发展为长三角环保行业标杆。  </w:t>
      </w:r>
    </w:p>
    <w:p w14:paraId="466479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 xml:space="preserve">• 2005年推动企业获取环境工程专项甲级资质，实现从工程承包商到技术方案提供商的转型。  </w:t>
      </w:r>
    </w:p>
    <w:p w14:paraId="2CE221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 xml:space="preserve">• 2012年启动海外市场拓展，带队承接缅甸、俄罗斯环保项目，完成国际化布局突破。  </w:t>
      </w:r>
    </w:p>
    <w:p w14:paraId="502485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 xml:space="preserve">（2）跨领域整合：通过投资天津渤钢等供应链企业（持股0.47%）强化产业链协同，布局设备制造领域。  </w:t>
      </w:r>
    </w:p>
    <w:p w14:paraId="5960A5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3、社会影响评估</w:t>
      </w:r>
    </w:p>
    <w:p w14:paraId="72661C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（1）行业地位：</w:t>
      </w:r>
      <w:r>
        <w:rPr>
          <w:rFonts w:hint="eastAsia"/>
        </w:rPr>
        <w:t>中国环保产业协会理事单位成员，主导参与《电子行业废水处理标准》修订，技术决策影响行业规范。</w:t>
      </w:r>
    </w:p>
    <w:p w14:paraId="71B319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（2）资源网络：</w:t>
      </w:r>
      <w:r>
        <w:rPr>
          <w:rFonts w:hint="eastAsia"/>
        </w:rPr>
        <w:t>与丹麦、以色列环保企业建立长期技术合作，在张江高科技园区形成产学研联动生态。</w:t>
      </w:r>
    </w:p>
    <w:p w14:paraId="5CD45A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4、风险信号识别</w:t>
      </w:r>
    </w:p>
    <w:p w14:paraId="46B7B2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/>
        </w:rPr>
      </w:pPr>
      <w:r>
        <w:rPr>
          <w:rFonts w:hint="default" w:ascii="仿宋" w:hAnsi="仿宋" w:eastAsia="仿宋" w:cs="仿宋"/>
          <w:lang w:val="en-US" w:eastAsia="zh-CN"/>
        </w:rPr>
        <w:t>（1）</w:t>
      </w:r>
      <w:r>
        <w:rPr>
          <w:rFonts w:hint="eastAsia"/>
        </w:rPr>
        <w:t>未检索到实控人个人失信、股权质押或关联交易违规记录，但需关注其直接控制的6家关联企业潜在连带责任风险。</w:t>
      </w:r>
    </w:p>
    <w:p w14:paraId="6C222E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/>
          <w:lang w:val="en-US" w:eastAsia="zh-CN"/>
        </w:rPr>
      </w:pPr>
    </w:p>
    <w:p w14:paraId="6A619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color w:val="FA0000"/>
          <w:sz w:val="32"/>
        </w:rPr>
        <w:t>第四章节：企业关键技术</w:t>
      </w:r>
    </w:p>
    <w:p w14:paraId="439DA5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1、主营产品与关键技术定义</w:t>
      </w:r>
    </w:p>
    <w:p w14:paraId="5EF72C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（1）核心产品线</w:t>
      </w:r>
      <w:r>
        <w:rPr>
          <w:rFonts w:hint="default" w:ascii="仿宋" w:hAnsi="仿宋" w:eastAsia="仿宋" w:cs="仿宋"/>
          <w:lang w:val="en-US" w:eastAsia="zh-CN"/>
        </w:rPr>
        <w:t>：</w:t>
      </w:r>
    </w:p>
    <w:p w14:paraId="0B598D67">
      <w:pPr>
        <w:rPr>
          <w:rFonts w:hint="eastAsia"/>
        </w:rPr>
      </w:pPr>
      <w:r>
        <w:rPr>
          <w:rFonts w:hint="eastAsia"/>
        </w:rPr>
        <w:t xml:space="preserve">• 工业废水处理系统：覆盖冶金（冷轧废水）、石油化工（焦化废水）、电子（超纯水制备）等高难度废水处理  </w:t>
      </w:r>
    </w:p>
    <w:p w14:paraId="0CCE327E">
      <w:pPr>
        <w:rPr>
          <w:rFonts w:hint="eastAsia"/>
        </w:rPr>
      </w:pPr>
      <w:r>
        <w:rPr>
          <w:rFonts w:hint="eastAsia"/>
        </w:rPr>
        <w:t xml:space="preserve">• 废酸再生装置：采用树脂吸附技术回收金属离子（如铜、镍等），实现废酸资源化利用  </w:t>
      </w:r>
    </w:p>
    <w:p w14:paraId="07A1BC64">
      <w:pPr>
        <w:rPr>
          <w:rFonts w:hint="eastAsia"/>
        </w:rPr>
      </w:pPr>
      <w:r>
        <w:rPr>
          <w:rFonts w:hint="eastAsia"/>
        </w:rPr>
        <w:t xml:space="preserve">• 废气治理系统：包含等离子除臭、SCR/SNCR脱硝技术，应用于化工废气处理  </w:t>
      </w:r>
    </w:p>
    <w:p w14:paraId="452C7EAE">
      <w:pPr>
        <w:rPr>
          <w:rFonts w:hint="eastAsia"/>
        </w:rPr>
      </w:pPr>
      <w:r>
        <w:rPr>
          <w:rFonts w:hint="eastAsia"/>
        </w:rPr>
        <w:t>• 智能化运维平台：基于三维管道设计软件（PMP管理模式）的工程管理系统</w:t>
      </w:r>
    </w:p>
    <w:p w14:paraId="5B8BFCE4">
      <w:pPr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br w:type="textWrapping"/>
      </w:r>
      <w:r>
        <w:rPr>
          <w:rFonts w:hint="default" w:ascii="仿宋" w:hAnsi="仿宋" w:eastAsia="仿宋" w:cs="仿宋"/>
          <w:b/>
          <w:bCs/>
          <w:lang w:val="en-US" w:eastAsia="zh-CN"/>
        </w:rPr>
        <w:t>（2）关键技术</w:t>
      </w:r>
      <w:r>
        <w:rPr>
          <w:rFonts w:hint="default" w:ascii="仿宋" w:hAnsi="仿宋" w:eastAsia="仿宋" w:cs="仿宋"/>
          <w:lang w:val="en-US" w:eastAsia="zh-CN"/>
        </w:rPr>
        <w:t>：</w:t>
      </w:r>
    </w:p>
    <w:p w14:paraId="2667F9EF">
      <w:pPr>
        <w:rPr>
          <w:rFonts w:hint="eastAsia"/>
        </w:rPr>
      </w:pPr>
      <w:r>
        <w:rPr>
          <w:rFonts w:hint="eastAsia"/>
        </w:rPr>
        <w:t xml:space="preserve">• 树脂吸附富集技术（CN222758010U专利）：通过树脂罐分层吸附实现金属离子高效回收，降低电积工艺成本30%  </w:t>
      </w:r>
    </w:p>
    <w:p w14:paraId="10109133">
      <w:pPr>
        <w:rPr>
          <w:rFonts w:hint="eastAsia"/>
        </w:rPr>
      </w:pPr>
      <w:r>
        <w:rPr>
          <w:rFonts w:hint="eastAsia"/>
        </w:rPr>
        <w:t xml:space="preserve">• 冷轧废水零排放工艺：膜分离+蒸发结晶组合技术，水回用率&gt;95%  </w:t>
      </w:r>
    </w:p>
    <w:p w14:paraId="58A7C1AE">
      <w:pPr>
        <w:rPr>
          <w:rFonts w:hint="default" w:ascii="仿宋" w:hAnsi="仿宋" w:eastAsia="仿宋" w:cs="仿宋"/>
          <w:lang w:val="en-US" w:eastAsia="zh-CN"/>
        </w:rPr>
      </w:pPr>
      <w:r>
        <w:rPr>
          <w:rFonts w:hint="eastAsia"/>
        </w:rPr>
        <w:t xml:space="preserve">• 废酸SCR再生技术：将废酸转化为工业级硫酸，金属回收率≥98% </w:t>
      </w:r>
    </w:p>
    <w:p w14:paraId="302B6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2、费曼学习法解析关键技术</w:t>
      </w:r>
    </w:p>
    <w:p w14:paraId="46BDEF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（1）热解技术类比：</w:t>
      </w:r>
      <w:r>
        <w:rPr>
          <w:rFonts w:hint="default" w:ascii="仿宋" w:hAnsi="仿宋" w:eastAsia="仿宋" w:cs="仿宋"/>
          <w:lang w:val="en-US" w:eastAsia="zh-CN"/>
        </w:rPr>
        <w:t>"像用微波炉烤面包"：将危废密封在缺氧窑体，通过外部加热（600-800℃）分解有机物，避免明火焚烧产生毒气</w:t>
      </w:r>
      <w:r>
        <w:rPr>
          <w:rFonts w:hint="default" w:ascii="仿宋" w:hAnsi="仿宋" w:eastAsia="仿宋" w:cs="仿宋"/>
          <w:lang w:val="en-US" w:eastAsia="zh-CN"/>
        </w:rPr>
        <w:br w:type="textWrapping"/>
      </w:r>
      <w:r>
        <w:rPr>
          <w:rFonts w:hint="default" w:ascii="仿宋" w:hAnsi="仿宋" w:eastAsia="仿宋" w:cs="仿宋"/>
          <w:b/>
          <w:bCs/>
          <w:lang w:val="en-US" w:eastAsia="zh-CN"/>
        </w:rPr>
        <w:t>（2）二噁英抑制系统</w:t>
      </w:r>
      <w:r>
        <w:rPr>
          <w:rFonts w:hint="default" w:ascii="仿宋" w:hAnsi="仿宋" w:eastAsia="仿宋" w:cs="仿宋"/>
          <w:lang w:val="en-US" w:eastAsia="zh-CN"/>
        </w:rPr>
        <w:t>："给废气装过滤器"：通过急冷塔（1秒降温至200℃）阻止二噁英再合成，结合活性炭/陶瓷膜四级净化</w:t>
      </w:r>
    </w:p>
    <w:p w14:paraId="251908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3、典型应用场景</w:t>
      </w:r>
    </w:p>
    <w:p w14:paraId="47A04694">
      <w:pPr>
        <w:rPr>
          <w:rFonts w:hint="eastAsia"/>
        </w:rPr>
      </w:pPr>
      <w:r>
        <w:rPr>
          <w:rFonts w:hint="default" w:ascii="仿宋" w:hAnsi="仿宋" w:eastAsia="仿宋" w:cs="仿宋"/>
          <w:lang w:val="en-US" w:eastAsia="zh-CN"/>
        </w:rPr>
        <w:t>（1）应用案例</w:t>
      </w:r>
      <w:r>
        <w:rPr>
          <w:rFonts w:hint="default" w:ascii="仿宋" w:hAnsi="仿宋" w:eastAsia="仿宋" w:cs="仿宋"/>
          <w:lang w:val="en-US" w:eastAsia="zh-CN"/>
        </w:rPr>
        <w:t>：宝钢湛江基地含油污泥处理项目（日处理量50吨，热值回收率超85%）</w:t>
      </w:r>
      <w:r>
        <w:rPr>
          <w:rFonts w:hint="eastAsia" w:ascii="仿宋" w:hAnsi="仿宋" w:eastAsia="仿宋" w:cs="仿宋"/>
          <w:lang w:val="en-US" w:eastAsia="zh-CN"/>
        </w:rPr>
        <w:t>、</w:t>
      </w:r>
      <w:r>
        <w:rPr>
          <w:rFonts w:hint="eastAsia"/>
        </w:rPr>
        <w:t>甸铜矿废酸再生项目：日处理废酸500吨，金属回收价值超200万元/月</w:t>
      </w:r>
    </w:p>
    <w:p w14:paraId="21F10D4C">
      <w:pPr>
        <w:rPr>
          <w:rFonts w:hint="eastAsia"/>
        </w:rPr>
      </w:pPr>
      <w:r>
        <w:rPr>
          <w:rFonts w:hint="default" w:ascii="仿宋" w:hAnsi="仿宋" w:eastAsia="仿宋" w:cs="仿宋"/>
          <w:lang w:val="en-US" w:eastAsia="zh-CN"/>
        </w:rPr>
        <w:t>（2）目标客户：</w:t>
      </w:r>
      <w:r>
        <w:rPr>
          <w:rFonts w:hint="eastAsia"/>
        </w:rPr>
        <w:t xml:space="preserve">•冶金行业（宝钢、新钢等冷轧产线） </w:t>
      </w:r>
      <w:r>
        <w:rPr>
          <w:rFonts w:hint="eastAsia"/>
          <w:lang w:eastAsia="zh-CN"/>
        </w:rPr>
        <w:t>、</w:t>
      </w:r>
      <w:r>
        <w:rPr>
          <w:rFonts w:hint="eastAsia"/>
        </w:rPr>
        <w:t>半导体企业（芯片制造超纯水系统）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 xml:space="preserve"> 化工园区（煤化工废水集中处理）  </w:t>
      </w:r>
    </w:p>
    <w:p w14:paraId="69B5EC85">
      <w:pPr>
        <w:rPr>
          <w:rFonts w:hint="default" w:ascii="仿宋" w:hAnsi="仿宋" w:eastAsia="仿宋" w:cs="仿宋"/>
          <w:lang w:val="en-US" w:eastAsia="zh-CN"/>
        </w:rPr>
      </w:pPr>
    </w:p>
    <w:p w14:paraId="2B43BB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4、企业专利分析</w:t>
      </w:r>
    </w:p>
    <w:p w14:paraId="44572D3E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CN222758010U（树脂吸附装置）：简化金属富集流程，入选2024年上海市重点推广技术目录  </w:t>
      </w:r>
    </w:p>
    <w:p w14:paraId="11D4F9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焦化废水深度处理技术：与中南大学联合研发，获2011年国家优质工程金奖</w:t>
      </w:r>
    </w:p>
    <w:p w14:paraId="4A8C48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5、同区域竞品对标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4"/>
        <w:gridCol w:w="3893"/>
        <w:gridCol w:w="1090"/>
      </w:tblGrid>
      <w:tr w14:paraId="41C43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  <w:tblHeader/>
          <w:tblCellSpacing w:w="15" w:type="dxa"/>
        </w:trPr>
        <w:tc>
          <w:tcPr>
            <w:tcW w:w="1929" w:type="dxa"/>
            <w:tcBorders>
              <w:tl2br w:val="nil"/>
              <w:tr2bl w:val="nil"/>
            </w:tcBorders>
            <w:shd w:val="clear"/>
            <w:vAlign w:val="center"/>
          </w:tcPr>
          <w:p w14:paraId="3ECE53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360" w:lineRule="auto"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lang w:val="en-US" w:eastAsia="zh-CN"/>
              </w:rPr>
              <w:t>竞品</w:t>
            </w:r>
            <w:r>
              <w:rPr>
                <w:rFonts w:hint="eastAsia" w:cs="仿宋"/>
                <w:b/>
                <w:bCs/>
                <w:lang w:val="en-US" w:eastAsia="zh-CN"/>
              </w:rPr>
              <w:t>企业</w:t>
            </w:r>
          </w:p>
        </w:tc>
        <w:tc>
          <w:tcPr>
            <w:tcW w:w="3863" w:type="dxa"/>
            <w:tcBorders>
              <w:tl2br w:val="nil"/>
              <w:tr2bl w:val="nil"/>
            </w:tcBorders>
            <w:shd w:val="clear"/>
            <w:vAlign w:val="center"/>
          </w:tcPr>
          <w:p w14:paraId="171636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360" w:lineRule="auto"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lang w:val="en-US" w:eastAsia="zh-CN"/>
              </w:rPr>
              <w:t>技术差异</w:t>
            </w:r>
          </w:p>
        </w:tc>
        <w:tc>
          <w:tcPr>
            <w:tcW w:w="1045" w:type="dxa"/>
            <w:tcBorders>
              <w:tl2br w:val="nil"/>
              <w:tr2bl w:val="nil"/>
            </w:tcBorders>
            <w:shd w:val="clear"/>
            <w:vAlign w:val="center"/>
          </w:tcPr>
          <w:p w14:paraId="744D09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360" w:lineRule="auto"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cs="仿宋"/>
                <w:b/>
                <w:bCs/>
                <w:lang w:val="en-US" w:eastAsia="zh-CN"/>
              </w:rPr>
              <w:t>竞品分类</w:t>
            </w:r>
          </w:p>
        </w:tc>
      </w:tr>
      <w:tr w14:paraId="09185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  <w:tblCellSpacing w:w="15" w:type="dxa"/>
        </w:trPr>
        <w:tc>
          <w:tcPr>
            <w:tcW w:w="1929" w:type="dxa"/>
            <w:tcBorders>
              <w:tl2br w:val="nil"/>
              <w:tr2bl w:val="nil"/>
            </w:tcBorders>
            <w:shd w:val="clear"/>
            <w:vAlign w:val="center"/>
          </w:tcPr>
          <w:p w14:paraId="37FB6F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360" w:lineRule="auto"/>
              <w:jc w:val="left"/>
              <w:textAlignment w:val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/>
              </w:rPr>
              <w:t>湖南湘牛环保</w:t>
            </w:r>
          </w:p>
        </w:tc>
        <w:tc>
          <w:tcPr>
            <w:tcW w:w="3863" w:type="dxa"/>
            <w:tcBorders>
              <w:tl2br w:val="nil"/>
              <w:tr2bl w:val="nil"/>
            </w:tcBorders>
            <w:shd w:val="clear"/>
            <w:vAlign w:val="center"/>
          </w:tcPr>
          <w:p w14:paraId="1B9FF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360" w:lineRule="auto"/>
              <w:jc w:val="left"/>
              <w:textAlignment w:val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/>
              </w:rPr>
              <w:t>| "分子活化降解+膜"技术处理焦化废水，但设备投资高30%</w:t>
            </w:r>
          </w:p>
        </w:tc>
        <w:tc>
          <w:tcPr>
            <w:tcW w:w="1045" w:type="dxa"/>
            <w:tcBorders>
              <w:tl2br w:val="nil"/>
              <w:tr2bl w:val="nil"/>
            </w:tcBorders>
            <w:shd w:val="clear"/>
            <w:vAlign w:val="center"/>
          </w:tcPr>
          <w:p w14:paraId="4AB4B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360" w:lineRule="auto"/>
              <w:jc w:val="left"/>
              <w:textAlignment w:val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/>
              </w:rPr>
              <w:t>直接竞品</w:t>
            </w:r>
          </w:p>
        </w:tc>
      </w:tr>
      <w:tr w14:paraId="3A4A3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5" w:hRule="atLeast"/>
          <w:tblCellSpacing w:w="15" w:type="dxa"/>
        </w:trPr>
        <w:tc>
          <w:tcPr>
            <w:tcW w:w="1929" w:type="dxa"/>
            <w:tcBorders>
              <w:tl2br w:val="nil"/>
              <w:tr2bl w:val="nil"/>
            </w:tcBorders>
            <w:shd w:val="clear"/>
            <w:vAlign w:val="center"/>
          </w:tcPr>
          <w:p w14:paraId="4DDCC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360" w:lineRule="auto"/>
              <w:jc w:val="left"/>
              <w:textAlignment w:val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/>
              </w:rPr>
              <w:t>丹麦KRüger</w:t>
            </w:r>
          </w:p>
        </w:tc>
        <w:tc>
          <w:tcPr>
            <w:tcW w:w="3863" w:type="dxa"/>
            <w:tcBorders>
              <w:tl2br w:val="nil"/>
              <w:tr2bl w:val="nil"/>
            </w:tcBorders>
            <w:shd w:val="clear"/>
            <w:vAlign w:val="center"/>
          </w:tcPr>
          <w:p w14:paraId="6A9F12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360" w:lineRule="auto"/>
              <w:jc w:val="left"/>
              <w:textAlignment w:val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/>
              </w:rPr>
              <w:t>同等处理效率下，东振运维成本低40%但膜组件依赖进口</w:t>
            </w:r>
          </w:p>
        </w:tc>
        <w:tc>
          <w:tcPr>
            <w:tcW w:w="1045" w:type="dxa"/>
            <w:tcBorders>
              <w:tl2br w:val="nil"/>
              <w:tr2bl w:val="nil"/>
            </w:tcBorders>
            <w:shd w:val="clear"/>
            <w:vAlign w:val="center"/>
          </w:tcPr>
          <w:p w14:paraId="00407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360" w:lineRule="auto"/>
              <w:jc w:val="left"/>
              <w:textAlignment w:val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/>
              </w:rPr>
              <w:t>替代竞品</w:t>
            </w:r>
          </w:p>
        </w:tc>
      </w:tr>
      <w:tr w14:paraId="4EF89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  <w:tblCellSpacing w:w="15" w:type="dxa"/>
        </w:trPr>
        <w:tc>
          <w:tcPr>
            <w:tcW w:w="1929" w:type="dxa"/>
            <w:tcBorders>
              <w:tl2br w:val="nil"/>
              <w:tr2bl w:val="nil"/>
            </w:tcBorders>
            <w:shd w:val="clear"/>
            <w:vAlign w:val="center"/>
          </w:tcPr>
          <w:p w14:paraId="11BDB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360" w:lineRule="auto"/>
              <w:jc w:val="left"/>
              <w:textAlignment w:val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/>
              </w:rPr>
              <w:t>上海晶宇环境</w:t>
            </w:r>
          </w:p>
        </w:tc>
        <w:tc>
          <w:tcPr>
            <w:tcW w:w="3863" w:type="dxa"/>
            <w:tcBorders>
              <w:tl2br w:val="nil"/>
              <w:tr2bl w:val="nil"/>
            </w:tcBorders>
            <w:shd w:val="clear"/>
            <w:vAlign w:val="center"/>
          </w:tcPr>
          <w:p w14:paraId="711DCD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360" w:lineRule="auto"/>
              <w:jc w:val="left"/>
              <w:textAlignment w:val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/>
              </w:rPr>
              <w:t>专注光伏废水处理，与东振在电子行业形成互补</w:t>
            </w:r>
          </w:p>
        </w:tc>
        <w:tc>
          <w:tcPr>
            <w:tcW w:w="1045" w:type="dxa"/>
            <w:tcBorders>
              <w:tl2br w:val="nil"/>
              <w:tr2bl w:val="nil"/>
            </w:tcBorders>
            <w:shd w:val="clear"/>
            <w:vAlign w:val="center"/>
          </w:tcPr>
          <w:p w14:paraId="1DD28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360" w:lineRule="auto"/>
              <w:jc w:val="left"/>
              <w:textAlignment w:val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/>
              </w:rPr>
              <w:t>观察级</w:t>
            </w:r>
          </w:p>
        </w:tc>
      </w:tr>
    </w:tbl>
    <w:p w14:paraId="74C344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6、国产化与供应链安全</w:t>
      </w:r>
    </w:p>
    <w:p w14:paraId="3220FC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（1）</w:t>
      </w:r>
      <w:r>
        <w:rPr>
          <w:rFonts w:hint="default" w:ascii="仿宋" w:hAnsi="仿宋" w:eastAsia="仿宋" w:cs="仿宋"/>
          <w:b/>
          <w:bCs/>
          <w:lang w:val="en-US" w:eastAsia="zh-CN"/>
        </w:rPr>
        <w:t>国产化率</w:t>
      </w:r>
      <w:r>
        <w:rPr>
          <w:rFonts w:hint="default" w:ascii="仿宋" w:hAnsi="仿宋" w:eastAsia="仿宋" w:cs="仿宋"/>
          <w:lang w:val="en-US" w:eastAsia="zh-CN"/>
        </w:rPr>
        <w:t>：</w:t>
      </w:r>
    </w:p>
    <w:p w14:paraId="0317C7AB">
      <w:pPr>
        <w:rPr>
          <w:rFonts w:hint="eastAsia"/>
        </w:rPr>
      </w:pPr>
      <w:r>
        <w:rPr>
          <w:rFonts w:hint="eastAsia"/>
        </w:rPr>
        <w:t xml:space="preserve">• 核心树脂材料（国产：浙江争光化工）占比85%  </w:t>
      </w:r>
    </w:p>
    <w:p w14:paraId="2C0D865C">
      <w:pPr>
        <w:rPr>
          <w:rFonts w:hint="eastAsia"/>
        </w:rPr>
      </w:pPr>
      <w:r>
        <w:rPr>
          <w:rFonts w:hint="eastAsia"/>
        </w:rPr>
        <w:t xml:space="preserve">• 关键膜组件（进口：德国西门子）占比15%  </w:t>
      </w:r>
    </w:p>
    <w:p w14:paraId="275A5916">
      <w:pPr>
        <w:rPr>
          <w:rFonts w:hint="eastAsia"/>
        </w:rPr>
      </w:pPr>
      <w:r>
        <w:rPr>
          <w:rFonts w:hint="default" w:ascii="仿宋" w:hAnsi="仿宋" w:eastAsia="仿宋" w:cs="仿宋"/>
          <w:lang w:val="en-US" w:eastAsia="zh-CN"/>
        </w:rPr>
        <w:br w:type="textWrapping"/>
      </w:r>
      <w:r>
        <w:rPr>
          <w:rFonts w:hint="default" w:ascii="仿宋" w:hAnsi="仿宋" w:eastAsia="仿宋" w:cs="仿宋"/>
          <w:lang w:val="en-US" w:eastAsia="zh-CN"/>
        </w:rPr>
        <w:t>（2</w:t>
      </w:r>
      <w:r>
        <w:rPr>
          <w:rFonts w:hint="default" w:ascii="仿宋" w:hAnsi="仿宋" w:eastAsia="仿宋" w:cs="仿宋"/>
          <w:b w:val="0"/>
          <w:bCs w:val="0"/>
          <w:lang w:val="en-US" w:eastAsia="zh-CN"/>
        </w:rPr>
        <w:t>）</w:t>
      </w:r>
      <w:r>
        <w:rPr>
          <w:rFonts w:hint="eastAsia"/>
          <w:b/>
          <w:bCs/>
        </w:rPr>
        <w:t>供应链风险</w:t>
      </w:r>
      <w:r>
        <w:rPr>
          <w:rFonts w:hint="eastAsia"/>
        </w:rPr>
        <w:t xml:space="preserve">：  </w:t>
      </w:r>
    </w:p>
    <w:p w14:paraId="53CFEEAC">
      <w:pPr>
        <w:rPr>
          <w:rFonts w:hint="eastAsia"/>
        </w:rPr>
      </w:pPr>
      <w:r>
        <w:rPr>
          <w:rFonts w:hint="eastAsia"/>
        </w:rPr>
        <w:t xml:space="preserve">• 三维设计软件（美国AutoCAD）需搭配自研模块使用  </w:t>
      </w:r>
    </w:p>
    <w:p w14:paraId="0CFEFCCE">
      <w:pPr>
        <w:rPr>
          <w:rFonts w:hint="eastAsia"/>
        </w:rPr>
      </w:pPr>
      <w:r>
        <w:rPr>
          <w:rFonts w:hint="eastAsia"/>
        </w:rPr>
        <w:t xml:space="preserve">• 2024年通过战略投资天津渤钢（持股0.47%）强化不锈钢反应釜自供能力  </w:t>
      </w:r>
    </w:p>
    <w:p w14:paraId="63E8F0EE">
      <w:pPr>
        <w:rPr>
          <w:rFonts w:hint="default" w:ascii="仿宋" w:hAnsi="仿宋" w:eastAsia="仿宋" w:cs="仿宋"/>
          <w:b/>
          <w:bCs/>
          <w:lang w:val="en-US" w:eastAsia="zh-CN"/>
        </w:rPr>
      </w:pPr>
    </w:p>
    <w:p w14:paraId="4E26A9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总结</w:t>
      </w:r>
      <w:r>
        <w:rPr>
          <w:rFonts w:hint="eastAsia" w:cs="仿宋"/>
          <w:b/>
          <w:bCs/>
          <w:lang w:val="en-US" w:eastAsia="zh-CN"/>
        </w:rPr>
        <w:t>：</w:t>
      </w:r>
    </w:p>
    <w:p w14:paraId="36ABF0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/>
        </w:rPr>
      </w:pPr>
      <w:r>
        <w:rPr>
          <w:rFonts w:hint="eastAsia"/>
        </w:rPr>
        <w:t>上海东振环保以树脂吸附和膜分离技术为核心，在冶金/电子行业高难度废水处理领域形成差异化优势。其专利布局聚焦工艺简化与成本控制，但需警惕关键膜组件进口依赖风险。建议客户重点关注其在"一带一路"海外项目中的工程经验，以及废酸资源化技术的规模化应用案例。</w:t>
      </w:r>
    </w:p>
    <w:p w14:paraId="1E941E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/>
          <w:lang w:val="en-US" w:eastAsia="zh-CN"/>
        </w:rPr>
      </w:pPr>
    </w:p>
    <w:p w14:paraId="6BE72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 w:ascii="仿宋" w:hAnsi="仿宋" w:eastAsia="仿宋" w:cs="仿宋"/>
          <w:b/>
          <w:color w:val="FA0000"/>
          <w:sz w:val="32"/>
        </w:rPr>
      </w:pPr>
      <w:r>
        <w:rPr>
          <w:rFonts w:hint="eastAsia" w:ascii="仿宋" w:hAnsi="仿宋" w:eastAsia="仿宋" w:cs="仿宋"/>
          <w:b/>
          <w:color w:val="FA0000"/>
          <w:sz w:val="32"/>
        </w:rPr>
        <w:t>第五章节：企业风险提示</w:t>
      </w:r>
    </w:p>
    <w:p w14:paraId="101768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1、宏观经济与行业风险</w:t>
      </w:r>
    </w:p>
    <w:p w14:paraId="225B4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环保行业受地方财政压力影响，市场需求释放滞缓，价格战与技术竞争加剧。  </w:t>
      </w:r>
    </w:p>
    <w:p w14:paraId="049D2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/>
        </w:rPr>
      </w:pPr>
      <w:r>
        <w:rPr>
          <w:rFonts w:hint="eastAsia"/>
        </w:rPr>
        <w:t>（2）国际业务占比约30%（东南亚/东欧），地缘政治波动可能影响海外项目回款周期。</w:t>
      </w:r>
    </w:p>
    <w:p w14:paraId="09A59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cs="仿宋"/>
          <w:b/>
          <w:bCs/>
          <w:lang w:val="en-US" w:eastAsia="zh-CN"/>
        </w:rPr>
        <w:t>2、</w:t>
      </w:r>
      <w:r>
        <w:rPr>
          <w:rFonts w:hint="eastAsia" w:ascii="仿宋" w:hAnsi="仿宋" w:eastAsia="仿宋" w:cs="仿宋"/>
          <w:b/>
          <w:bCs/>
        </w:rPr>
        <w:t>技术与创新风险</w:t>
      </w:r>
    </w:p>
    <w:p w14:paraId="3F865E36">
      <w:pPr>
        <w:rPr>
          <w:rFonts w:hint="eastAsia"/>
        </w:rPr>
      </w:pPr>
      <w:r>
        <w:rPr>
          <w:rFonts w:hint="eastAsia"/>
        </w:rPr>
        <w:t xml:space="preserve">（1）核心膜组件依赖德国进口（占比15%），国产替代进程滞后于技术迭代需求。  </w:t>
      </w:r>
    </w:p>
    <w:p w14:paraId="53E09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/>
        </w:rPr>
      </w:pPr>
      <w:r>
        <w:rPr>
          <w:rFonts w:hint="eastAsia"/>
        </w:rPr>
        <w:t>（2）光伏废水处理等新兴技术专利占比不足20%，面临湘牛环保等技术追赶压力。</w:t>
      </w:r>
    </w:p>
    <w:p w14:paraId="7484E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3、法律与合规风险</w:t>
      </w:r>
    </w:p>
    <w:p w14:paraId="3D8F637A">
      <w:pPr>
        <w:rPr>
          <w:rFonts w:hint="eastAsia"/>
        </w:rPr>
      </w:pPr>
      <w:r>
        <w:rPr>
          <w:rFonts w:hint="eastAsia"/>
        </w:rPr>
        <w:t xml:space="preserve">（1）2024年涉8起司法案件（合同纠纷为主），2起劳动仲裁暴露项目管理风险。  </w:t>
      </w:r>
    </w:p>
    <w:p w14:paraId="2336F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 w:ascii="仿宋" w:hAnsi="仿宋" w:eastAsia="仿宋" w:cs="仿宋"/>
          <w:b/>
          <w:color w:val="FA0000"/>
          <w:sz w:val="32"/>
        </w:rPr>
      </w:pPr>
      <w:r>
        <w:rPr>
          <w:rFonts w:hint="eastAsia"/>
        </w:rPr>
        <w:t>（2）无环保处罚记录，但诉讼纠纷可能影响招投标资质审核。</w:t>
      </w:r>
    </w:p>
    <w:p w14:paraId="75BAA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4、财务与运营风险</w:t>
      </w:r>
    </w:p>
    <w:p w14:paraId="5DCF3660">
      <w:pPr>
        <w:rPr>
          <w:rFonts w:hint="eastAsia"/>
        </w:rPr>
      </w:pPr>
      <w:r>
        <w:rPr>
          <w:rFonts w:hint="eastAsia"/>
        </w:rPr>
        <w:t xml:space="preserve">（1）应收账款规模较大，冶金/市政项目回款周期普遍超过6个月。  </w:t>
      </w:r>
    </w:p>
    <w:p w14:paraId="66A5FC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/>
        </w:rPr>
      </w:pPr>
      <w:r>
        <w:rPr>
          <w:rFonts w:hint="eastAsia"/>
        </w:rPr>
        <w:t>（2）原材料成本波动敏感（钢材/铜占采购成本40%），2025年供应链协议覆盖率仅65%。</w:t>
      </w:r>
    </w:p>
    <w:p w14:paraId="07D46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eastAsia" w:ascii="仿宋" w:hAnsi="仿宋" w:eastAsia="仿宋" w:cs="仿宋"/>
          <w:b/>
          <w:color w:val="FA0000"/>
          <w:sz w:val="32"/>
        </w:rPr>
        <w:t>第六章节：企业产品推荐</w:t>
      </w:r>
    </w:p>
    <w:p w14:paraId="31E0DA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1. 应收账款保理​​</w:t>
      </w:r>
    </w:p>
    <w:p w14:paraId="3CEAD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bCs/>
        </w:rPr>
        <w:t>优先级：</w:t>
      </w:r>
      <w:r>
        <w:rPr>
          <w:rFonts w:hint="eastAsia" w:ascii="仿宋" w:hAnsi="仿宋" w:eastAsia="仿宋" w:cs="仿宋"/>
        </w:rPr>
        <w:t>★★★★★</w:t>
      </w:r>
    </w:p>
    <w:p w14:paraId="075019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营销理由：</w:t>
      </w:r>
      <w:r>
        <w:rPr>
          <w:rFonts w:hint="default" w:ascii="仿宋" w:hAnsi="仿宋" w:eastAsia="仿宋" w:cs="仿宋"/>
          <w:lang w:val="en-US" w:eastAsia="zh-CN"/>
        </w:rPr>
        <w:t>企业2024年连续中标多地政府环保项目，应收账款周期长且质押融资占比高（上海票据交易所数据）。</w:t>
      </w:r>
    </w:p>
    <w:p w14:paraId="07E74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eastAsia" w:cs="仿宋"/>
          <w:b/>
          <w:bCs/>
          <w:lang w:val="en-US" w:eastAsia="zh-CN"/>
        </w:rPr>
        <w:t>营销</w:t>
      </w:r>
      <w:r>
        <w:rPr>
          <w:rFonts w:hint="default" w:ascii="仿宋" w:hAnsi="仿宋" w:eastAsia="仿宋" w:cs="仿宋"/>
          <w:b/>
          <w:bCs/>
          <w:lang w:val="en-US" w:eastAsia="zh-CN"/>
        </w:rPr>
        <w:t>话术：</w:t>
      </w:r>
      <w:r>
        <w:rPr>
          <w:rFonts w:hint="eastAsia" w:cs="仿宋"/>
          <w:b w:val="0"/>
          <w:bCs w:val="0"/>
          <w:lang w:val="en-US" w:eastAsia="zh-CN"/>
        </w:rPr>
        <w:t>“</w:t>
      </w:r>
      <w:r>
        <w:rPr>
          <w:rFonts w:hint="default" w:ascii="仿宋" w:hAnsi="仿宋" w:eastAsia="仿宋" w:cs="仿宋"/>
          <w:lang w:val="en-US" w:eastAsia="zh-CN"/>
        </w:rPr>
        <w:t>我行为贵司提供应收账款买断式保理，可提前将EPC项目回款周期缩短至T+15天，同步配套外汇避险工具对冲东南亚项目结算风险。</w:t>
      </w:r>
      <w:r>
        <w:rPr>
          <w:rFonts w:hint="eastAsia" w:cs="仿宋"/>
          <w:lang w:val="en-US" w:eastAsia="zh-CN"/>
        </w:rPr>
        <w:t>”</w:t>
      </w:r>
    </w:p>
    <w:p w14:paraId="35E95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2. 流动资金贷款（绿色信贷专项）​</w:t>
      </w:r>
      <w:r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  <w:t>​</w:t>
      </w:r>
    </w:p>
    <w:p w14:paraId="4EC68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bCs/>
        </w:rPr>
        <w:t>优先级：</w:t>
      </w:r>
      <w:r>
        <w:rPr>
          <w:rFonts w:hint="eastAsia" w:ascii="仿宋" w:hAnsi="仿宋" w:eastAsia="仿宋" w:cs="仿宋"/>
        </w:rPr>
        <w:t>★★★★☆</w:t>
      </w:r>
    </w:p>
    <w:p w14:paraId="26676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营销理由：企业资产负债率高于行业均值，叠加中期票据兑付压力（上海清算所公告），需补充营运资金。</w:t>
      </w:r>
    </w:p>
    <w:p w14:paraId="30D3C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话术：</w:t>
      </w:r>
      <w:r>
        <w:rPr>
          <w:rFonts w:hint="eastAsia" w:cs="仿宋"/>
          <w:lang w:val="en-US" w:eastAsia="zh-CN"/>
        </w:rPr>
        <w:t>“</w:t>
      </w:r>
      <w:r>
        <w:rPr>
          <w:rFonts w:hint="default" w:ascii="仿宋" w:hAnsi="仿宋" w:eastAsia="仿宋" w:cs="仿宋"/>
          <w:lang w:val="en-US" w:eastAsia="zh-CN"/>
        </w:rPr>
        <w:t>针对贵司高新技术企业资质，可申请LPR基准利率下浮15%的绿色贷款，定向用于滁州基地智能化改造，符合央行碳减排支持工具要求。</w:t>
      </w:r>
      <w:r>
        <w:rPr>
          <w:rFonts w:hint="eastAsia" w:cs="仿宋"/>
          <w:lang w:val="en-US" w:eastAsia="zh-CN"/>
        </w:rPr>
        <w:t>”</w:t>
      </w:r>
    </w:p>
    <w:p w14:paraId="6FCDA07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外汇结算（含远期锁汇）​​</w:t>
      </w:r>
    </w:p>
    <w:p w14:paraId="6B0AC0E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</w:rPr>
        <w:t>优先级：</w:t>
      </w:r>
      <w:r>
        <w:rPr>
          <w:rFonts w:hint="eastAsia" w:ascii="仿宋" w:hAnsi="仿宋" w:eastAsia="仿宋" w:cs="仿宋"/>
        </w:rPr>
        <w:t>★★★☆☆</w:t>
      </w:r>
    </w:p>
    <w:p w14:paraId="511BF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营销理由：核心设备传感器依赖德国进口（欧元结算），东南亚热解炉出口以美元计价（海关HS编码查询）。</w:t>
      </w:r>
    </w:p>
    <w:p w14:paraId="22A06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话术：</w:t>
      </w:r>
      <w:r>
        <w:rPr>
          <w:rFonts w:hint="eastAsia" w:cs="仿宋"/>
          <w:lang w:val="en-US" w:eastAsia="zh-CN"/>
        </w:rPr>
        <w:t>“</w:t>
      </w:r>
      <w:r>
        <w:rPr>
          <w:rFonts w:hint="default" w:ascii="仿宋" w:hAnsi="仿宋" w:eastAsia="仿宋" w:cs="仿宋"/>
          <w:lang w:val="en-US" w:eastAsia="zh-CN"/>
        </w:rPr>
        <w:t>我行欧元/美元即期汇率报价较市场均值优惠50点，针对贵司Q4德国贺利氏采购计划，建议配套6个月远期锁汇锁定成本。</w:t>
      </w:r>
      <w:r>
        <w:rPr>
          <w:rFonts w:hint="eastAsia" w:cs="仿宋"/>
          <w:lang w:val="en-US" w:eastAsia="zh-CN"/>
        </w:rPr>
        <w:t>“”</w:t>
      </w:r>
    </w:p>
    <w:p w14:paraId="16D75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4. 进口押汇​</w:t>
      </w:r>
      <w:r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  <w:t>​</w:t>
      </w:r>
    </w:p>
    <w:p w14:paraId="6AA40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bCs/>
        </w:rPr>
        <w:t>优先级</w:t>
      </w:r>
      <w:r>
        <w:rPr>
          <w:rFonts w:hint="eastAsia" w:ascii="仿宋" w:hAnsi="仿宋" w:eastAsia="仿宋" w:cs="仿宋"/>
        </w:rPr>
        <w:t>：★★★☆☆</w:t>
      </w:r>
    </w:p>
    <w:p w14:paraId="43A6D7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营销理由：关键部件进口周期与项目回款存在3-6个月错配（企业社会责任报告披露）。</w:t>
      </w:r>
    </w:p>
    <w:p w14:paraId="013BA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话术：</w:t>
      </w:r>
      <w:r>
        <w:rPr>
          <w:rFonts w:hint="eastAsia" w:cs="仿宋"/>
          <w:lang w:val="en-US" w:eastAsia="zh-CN"/>
        </w:rPr>
        <w:t>“</w:t>
      </w:r>
      <w:r>
        <w:rPr>
          <w:rFonts w:hint="default" w:ascii="仿宋" w:hAnsi="仿宋" w:eastAsia="仿宋" w:cs="仿宋"/>
          <w:lang w:val="en-US" w:eastAsia="zh-CN"/>
        </w:rPr>
        <w:t>凭德国供应商的跟单信用证，可办理90天进口押汇融资，同步联动出口订单融资形成闭环现金流管理。</w:t>
      </w:r>
      <w:r>
        <w:rPr>
          <w:rFonts w:hint="eastAsia" w:cs="仿宋"/>
          <w:lang w:val="en-US" w:eastAsia="zh-CN"/>
        </w:rPr>
        <w:t>”</w:t>
      </w:r>
    </w:p>
    <w:p w14:paraId="721A1D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5. 国内订单融资​​</w:t>
      </w:r>
    </w:p>
    <w:p w14:paraId="2116A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eastAsia" w:ascii="仿宋" w:hAnsi="仿宋" w:eastAsia="仿宋" w:cs="仿宋"/>
          <w:b/>
          <w:bCs/>
        </w:rPr>
        <w:t>优先级：</w:t>
      </w:r>
      <w:r>
        <w:rPr>
          <w:rFonts w:hint="eastAsia" w:ascii="仿宋" w:hAnsi="仿宋" w:eastAsia="仿宋" w:cs="仿宋"/>
        </w:rPr>
        <w:t>★★☆☆☆</w:t>
      </w:r>
    </w:p>
    <w:p w14:paraId="55C4A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营销理由：</w:t>
      </w:r>
      <w:r>
        <w:rPr>
          <w:rFonts w:hint="eastAsia"/>
        </w:rPr>
        <w:t>2025年连续中标宝钢、新钢等冶金行业标杆项目，需基于中标合同快速获取资金用于设备采购及施工启动。</w:t>
      </w:r>
    </w:p>
    <w:p w14:paraId="4080D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>话术：</w:t>
      </w:r>
      <w:r>
        <w:rPr>
          <w:rFonts w:hint="eastAsia"/>
        </w:rPr>
        <w:t>“针对贵司的中标项目，我行可提供订单融资专项额度，无需抵押担保，凭中标通知书及合同即可快速放款，助力项目高效推进。”</w:t>
      </w:r>
    </w:p>
    <w:p w14:paraId="1F0B1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风险控制与组合策略​</w:t>
      </w:r>
      <w:r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  <w:t>​</w:t>
      </w:r>
    </w:p>
    <w:p w14:paraId="125BBB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风险缓释：</w:t>
      </w:r>
    </w:p>
    <w:p w14:paraId="69B5B646">
      <w:pPr>
        <w:rPr>
          <w:rFonts w:hint="eastAsia"/>
        </w:rPr>
      </w:pPr>
      <w:r>
        <w:rPr>
          <w:rFonts w:hint="eastAsia"/>
        </w:rPr>
        <w:t xml:space="preserve">1. 应收账款账期长，需重点核查核心客户（如宝钢）的付款能力及合同履约条款。  </w:t>
      </w:r>
    </w:p>
    <w:p w14:paraId="42BA2FFC">
      <w:pPr>
        <w:rPr>
          <w:rFonts w:hint="default"/>
          <w:lang w:val="en-US" w:eastAsia="zh-CN"/>
        </w:rPr>
      </w:pPr>
      <w:r>
        <w:rPr>
          <w:rFonts w:hint="eastAsia"/>
        </w:rPr>
        <w:t>2. 供应链融资需验证中标合同真实性，避免虚构交易风险。</w:t>
      </w:r>
    </w:p>
    <w:p w14:paraId="21F0E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组合策略：</w:t>
      </w:r>
    </w:p>
    <w:p w14:paraId="4167DD29">
      <w:pPr>
        <w:rPr>
          <w:rFonts w:hint="eastAsia"/>
        </w:rPr>
      </w:pPr>
      <w:r>
        <w:rPr>
          <w:rFonts w:hint="eastAsia"/>
        </w:rPr>
        <w:t xml:space="preserve">  • 以“绿色信贷+订单融资”为核心，叠加外汇避险工具，形成“项目全周期+跨境一体化”服务方案。  </w:t>
      </w:r>
    </w:p>
    <w:p w14:paraId="42F1805C">
      <w:pPr>
        <w:rPr>
          <w:rFonts w:hint="eastAsia"/>
        </w:rPr>
      </w:pPr>
      <w:r>
        <w:rPr>
          <w:rFonts w:hint="eastAsia"/>
        </w:rPr>
        <w:t xml:space="preserve">  • 优先支持设备采购类融资，强化资金闭环管理（如定向支付至德国西门子等供应商）。  </w:t>
      </w:r>
    </w:p>
    <w:p w14:paraId="1394A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实地考察验证要点​</w:t>
      </w:r>
      <w:r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  <w:t>​</w:t>
      </w:r>
    </w:p>
    <w:p w14:paraId="0B6F9634">
      <w:pPr>
        <w:rPr>
          <w:rFonts w:hint="eastAsia"/>
        </w:rPr>
      </w:pPr>
      <w:r>
        <w:rPr>
          <w:rFonts w:hint="eastAsia"/>
        </w:rPr>
        <w:t xml:space="preserve">1. 项目真实性：核验2025年中标的宝钢硅钢废水处理项目施工进度及回款凭证。  </w:t>
      </w:r>
    </w:p>
    <w:p w14:paraId="3327E145">
      <w:pPr>
        <w:rPr>
          <w:rFonts w:hint="eastAsia"/>
        </w:rPr>
      </w:pPr>
      <w:r>
        <w:rPr>
          <w:rFonts w:hint="eastAsia"/>
        </w:rPr>
        <w:t xml:space="preserve">2. 技术壁垒：现场查看树脂吸附装置专利（CN222758010U）的实际应用场景及产能。  </w:t>
      </w:r>
    </w:p>
    <w:p w14:paraId="76DBF15F">
      <w:pPr>
        <w:rPr>
          <w:rFonts w:hint="eastAsia"/>
        </w:rPr>
      </w:pPr>
      <w:r>
        <w:rPr>
          <w:rFonts w:hint="eastAsia"/>
        </w:rPr>
        <w:t xml:space="preserve">3. 环保合规：检查环境工程专项甲级资质、ISO认证等原件，确认无环保处罚记录。  </w:t>
      </w:r>
    </w:p>
    <w:p w14:paraId="36D3D761">
      <w:pPr>
        <w:rPr>
          <w:rFonts w:hint="eastAsia"/>
        </w:rPr>
      </w:pPr>
    </w:p>
    <w:p w14:paraId="0C212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color w:val="FA0000"/>
          <w:sz w:val="32"/>
        </w:rPr>
        <w:t>第七章节：营销储备</w:t>
      </w:r>
    </w:p>
    <w:p w14:paraId="79035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1. 企业发展历程与战略规划​​</w:t>
      </w:r>
    </w:p>
    <w:p w14:paraId="26663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t>核心问题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东振环保成立27年来，从工业废水处理扩展到半导体超纯水领域，能否分享未来3年核心业务拓展方向？</w:t>
      </w:r>
    </w:p>
    <w:p w14:paraId="2D213DCF">
      <w:pPr>
        <w:rPr>
          <w:rFonts w:hint="eastAsia"/>
        </w:rPr>
      </w:pPr>
      <w:r>
        <w:rPr>
          <w:rFonts w:hint="eastAsia" w:ascii="仿宋" w:hAnsi="仿宋" w:eastAsia="仿宋" w:cs="仿宋"/>
        </w:rPr>
        <w:t>参考回答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 xml:space="preserve">（1）技术深化：聚焦光伏废水处理（2025年新增2项相关专利）及零排放技术研发，计划在电子行业废水处理领域市占率提升至30%。  </w:t>
      </w:r>
    </w:p>
    <w:p w14:paraId="14C23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/>
        </w:rPr>
        <w:t>（2）区域扩张：依托“一带一路”深化东南亚（缅甸、越南）及东欧（俄罗斯）市场布局，预计海外业务占比将从30%提升至40%。</w:t>
      </w:r>
    </w:p>
    <w:p w14:paraId="6E030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2. 创始人资源整合​​</w:t>
      </w:r>
    </w:p>
    <w:p w14:paraId="08D60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t>核心问题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实控人胡伟先生持股25.31%，核心团队是否有跨领域技术整合经验？</w:t>
      </w:r>
    </w:p>
    <w:p w14:paraId="7216E0AF">
      <w:pPr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eastAsia" w:ascii="仿宋" w:hAnsi="仿宋" w:eastAsia="仿宋" w:cs="仿宋"/>
        </w:rPr>
        <w:t>参考回答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（1）技术背景：胡伟主导完成从冶金废水到电子行业的技术转型，团队研发总监肖凡（浦东工匠）主导开发树脂吸附技术，金属回收率超98%。（2）合作生态：与丹麦KRüger、以色列企业合作引入膜分离技术，形成“自主专利+国际技术适配”模式。</w:t>
      </w:r>
    </w:p>
    <w:p w14:paraId="5B5FF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3. 风险管控​​</w:t>
      </w:r>
    </w:p>
    <w:p w14:paraId="476B9B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t>核心问题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2024年中标的宝钢硅钢废水处理项目对利润率有何贡献？</w:t>
      </w:r>
    </w:p>
    <w:p w14:paraId="57540E0E">
      <w:pPr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eastAsia" w:ascii="仿宋" w:hAnsi="仿宋" w:eastAsia="仿宋" w:cs="仿宋"/>
        </w:rPr>
        <w:t>参考回答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（1）项目价值：该项目采用树脂吸附+膜分离组合工艺，运维成本较同行低40%，毛利率预计达35%-40%</w:t>
      </w:r>
      <w:r>
        <w:rPr>
          <w:rFonts w:hint="eastAsia"/>
          <w:lang w:eastAsia="zh-CN"/>
        </w:rPr>
        <w:t>。</w:t>
      </w:r>
      <w:r>
        <w:rPr>
          <w:rFonts w:hint="eastAsia"/>
        </w:rPr>
        <w:t>（2）盈利延伸：通过“工程总包+长期运维”模式锁定客户，合同周期平均延长至8-10年。</w:t>
      </w:r>
    </w:p>
    <w:p w14:paraId="26845B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4. 现金流管理策略​​</w:t>
      </w:r>
    </w:p>
    <w:p w14:paraId="38476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t>核心问题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如何处理海外项目长账期（如缅甸铜矿项目）带来的现金流压力？</w:t>
      </w:r>
      <w:r>
        <w:rPr>
          <w:rFonts w:hint="default" w:ascii="仿宋" w:hAnsi="仿宋" w:eastAsia="仿宋" w:cs="仿宋"/>
          <w:lang w:val="en-US" w:eastAsia="zh-CN"/>
        </w:rPr>
        <w:t>？</w:t>
      </w:r>
    </w:p>
    <w:p w14:paraId="4F0A0B38">
      <w:pPr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eastAsia" w:ascii="仿宋" w:hAnsi="仿宋" w:eastAsia="仿宋" w:cs="仿宋"/>
        </w:rPr>
        <w:t>参考回答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（1）金融工具：使用国际订单融资匹配回款周期，并通过远期锁汇对冲80%汇率风险敞口。（2）供应链协同：与景津装备等供应商签订“季度结算+质量保证金”协议，应付账款周转率提升至6次/年。</w:t>
      </w:r>
    </w:p>
    <w:p w14:paraId="280F3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5. 融资规划与金融机构合作​</w:t>
      </w:r>
      <w:r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  <w:t>​</w:t>
      </w:r>
    </w:p>
    <w:p w14:paraId="6ABCA8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t>核心问题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当前与交通银行、宁波银行的合作是否涉及绿色金融产品？</w:t>
      </w:r>
    </w:p>
    <w:p w14:paraId="4F42EAAB">
      <w:p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t>参考回答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（1）现有授信：通过“科技履约贷”获得交通银行500万政策性贷款，利率较基准下浮10%。（2）规划方向：计划申请碳排放权质押贷款，将废酸再生碳减排量资产化，目标新增授信额度1亿元。</w:t>
      </w:r>
    </w:p>
    <w:p w14:paraId="6AB6A9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6. 技术研发投入​​</w:t>
      </w:r>
    </w:p>
    <w:p w14:paraId="1639CB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t>核心问题</w:t>
      </w:r>
      <w:r>
        <w:rPr>
          <w:rFonts w:hint="eastAsia" w:cs="仿宋"/>
          <w:lang w:eastAsia="zh-CN"/>
        </w:rPr>
        <w:t>：</w:t>
      </w:r>
      <w:r>
        <w:rPr>
          <w:rFonts w:hint="eastAsia"/>
        </w:rPr>
        <w:t>近三年研发投入占比5%，重点投入方向是什么？</w:t>
      </w:r>
    </w:p>
    <w:p w14:paraId="29631A86">
      <w:pPr>
        <w:rPr>
          <w:rFonts w:hint="default" w:ascii="仿宋" w:hAnsi="仿宋" w:eastAsia="仿宋" w:cs="仿宋"/>
          <w:b/>
          <w:color w:val="FA0000"/>
          <w:sz w:val="32"/>
          <w:lang w:val="en-US" w:eastAsia="zh-CN"/>
        </w:rPr>
      </w:pPr>
      <w:r>
        <w:rPr>
          <w:rFonts w:hint="eastAsia" w:ascii="仿宋" w:hAnsi="仿宋" w:eastAsia="仿宋" w:cs="仿宋"/>
        </w:rPr>
        <w:t>参考回答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（1）技术攻坚：70%研发资源投向光伏废水处理及树脂再生效率提升（2025年专利CN222758010U效率提高20%）。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产学研合作：与中南大学共建实验室，聚焦重金属离子富集技术产业化。</w:t>
      </w:r>
    </w:p>
    <w:p w14:paraId="3BEB5F6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供应链安全与国产化</w:t>
      </w:r>
    </w:p>
    <w:p w14:paraId="2A3A3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核心问题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 xml:space="preserve">核心膜组件依赖德国进口，国产替代进展如何？  </w:t>
      </w:r>
    </w:p>
    <w:p w14:paraId="68091FC9">
      <w:pPr>
        <w:rPr>
          <w:rFonts w:hint="eastAsia"/>
        </w:rPr>
      </w:pPr>
      <w:r>
        <w:rPr>
          <w:rFonts w:hint="eastAsia" w:ascii="仿宋" w:hAnsi="仿宋" w:eastAsia="仿宋" w:cs="仿宋"/>
        </w:rPr>
        <w:t>参考回答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（1）替代策略：关键膜组件国产化率已从2020年5%提升至2025年15%，目标2027年突破30%。 （2）风险对冲：战略投资天津渤钢（持股0.47%）强化不锈钢反应釜自供能力，降低原材料波动影响。</w:t>
      </w:r>
    </w:p>
    <w:p w14:paraId="3BEC5E5D">
      <w:pPr>
        <w:rPr>
          <w:rFonts w:hint="eastAsia"/>
        </w:rPr>
      </w:pPr>
    </w:p>
    <w:p w14:paraId="450A96C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行业竞争与差异化优势</w:t>
      </w:r>
    </w:p>
    <w:p w14:paraId="5FA32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核心问题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/>
        </w:rPr>
        <w:t>相较湖南湘牛环保，东振的核心竞争力体现在哪些方面</w:t>
      </w:r>
      <w:r>
        <w:rPr>
          <w:rFonts w:hint="eastAsia" w:ascii="仿宋" w:hAnsi="仿宋" w:eastAsia="仿宋" w:cs="仿宋"/>
        </w:rPr>
        <w:t xml:space="preserve">？  </w:t>
      </w:r>
    </w:p>
    <w:p w14:paraId="0B152D58">
      <w:pPr>
        <w:rPr>
          <w:rFonts w:hint="eastAsia"/>
        </w:rPr>
      </w:pPr>
      <w:r>
        <w:rPr>
          <w:rFonts w:hint="eastAsia" w:ascii="仿宋" w:hAnsi="仿宋" w:eastAsia="仿宋" w:cs="仿宋"/>
        </w:rPr>
        <w:t>参考回答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（1）技术差异化：湘牛采用分子活化降解技术投资成本高30%，东振的树脂吸附工艺简化2道工序，运维成本低40%。 （2）客户粘性：在冶金行业市占率超60%，宝钢、新钢等头部客户复购率达85%。</w:t>
      </w:r>
    </w:p>
    <w:p w14:paraId="19207BF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政策红利与风险应对</w:t>
      </w:r>
    </w:p>
    <w:p w14:paraId="4CD9DD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核心问题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/>
        </w:rPr>
        <w:t>如何利用“双碳”政策拓展业务？是否面临产能过剩风险？</w:t>
      </w:r>
      <w:r>
        <w:rPr>
          <w:rFonts w:hint="eastAsia" w:ascii="仿宋" w:hAnsi="仿宋" w:eastAsia="仿宋" w:cs="仿宋"/>
        </w:rPr>
        <w:t xml:space="preserve">  </w:t>
      </w:r>
    </w:p>
    <w:p w14:paraId="3E844B0C">
      <w:pPr>
        <w:rPr>
          <w:rFonts w:hint="eastAsia"/>
        </w:rPr>
      </w:pPr>
      <w:r>
        <w:rPr>
          <w:rFonts w:hint="eastAsia" w:ascii="仿宋" w:hAnsi="仿宋" w:eastAsia="仿宋" w:cs="仿宋"/>
        </w:rPr>
        <w:t>参考回答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（1）政策抓手：参与工信部工业水重复利用标准修订，2024年获政府专项补贴用于零排放技术研发。 （2）风险管控：通过设备模块化设计实现产能弹性调配，应对区域需求波动。</w:t>
      </w:r>
    </w:p>
    <w:p w14:paraId="1DC4DD80">
      <w:pPr>
        <w:rPr>
          <w:rFonts w:hint="default"/>
          <w:lang w:val="en-US" w:eastAsia="zh-CN"/>
        </w:rPr>
      </w:pPr>
    </w:p>
    <w:p w14:paraId="0E4C0A2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jc w:val="left"/>
        <w:textAlignment w:val="auto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default" w:ascii="仿宋" w:hAnsi="仿宋" w:eastAsia="仿宋" w:cs="仿宋"/>
          <w:b/>
          <w:bCs/>
          <w:lang w:val="en-US" w:eastAsia="zh-CN"/>
        </w:rPr>
        <w:t>管理层梯队建设</w:t>
      </w:r>
    </w:p>
    <w:p w14:paraId="309B43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核心问题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/>
        </w:rPr>
        <w:t xml:space="preserve">2023年提拔年轻管理者后，如何平衡经验传承与创新？ </w:t>
      </w:r>
      <w:r>
        <w:rPr>
          <w:rFonts w:hint="eastAsia" w:ascii="仿宋" w:hAnsi="仿宋" w:eastAsia="仿宋" w:cs="仿宋"/>
        </w:rPr>
        <w:t xml:space="preserve">  </w:t>
      </w:r>
    </w:p>
    <w:p w14:paraId="7B2D900E">
      <w:p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t>参考回答</w:t>
      </w:r>
      <w:r>
        <w:rPr>
          <w:rFonts w:hint="default" w:ascii="仿宋" w:hAnsi="仿宋" w:eastAsia="仿宋" w:cs="仿宋"/>
          <w:lang w:val="en-US" w:eastAsia="zh-CN"/>
        </w:rPr>
        <w:t>：</w:t>
      </w:r>
      <w:r>
        <w:rPr>
          <w:rFonts w:hint="eastAsia"/>
        </w:rPr>
        <w:t>（1）培养机制：实行“导师制+项目责任制”，新晋管理者需主导至少2个5000万级项目。  （2）创新激励：设立技术攻关奖金池，专利转化收益的15%分配给研发团队。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6B8EED"/>
    <w:multiLevelType w:val="singleLevel"/>
    <w:tmpl w:val="E36B8EED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0FBDB810"/>
    <w:multiLevelType w:val="singleLevel"/>
    <w:tmpl w:val="0FBDB810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5D3B12"/>
    <w:rsid w:val="65D2051C"/>
    <w:rsid w:val="6D5D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76" w:lineRule="auto"/>
    </w:pPr>
    <w:rPr>
      <w:rFonts w:ascii="仿宋" w:hAnsi="仿宋" w:eastAsia="仿宋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2025-04-28T00:43:00Z</dcterms:created>
  <dc:creator>陈玮琪</dc:creator>
  <cp:lastModifiedBy>陈玮琪</cp:lastModifiedBy>
  <dcterms:modified xsi:type="dcterms:W3CDTF">2025-04-28T02:41:17Z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EE9751DB7A4B413CBCC56B15F3131224_11</vt:lpwstr>
  </property>
  <property fmtid="{D5CDD505-2E9C-101B-9397-08002B2CF9AE}" pid="4" name="KSOTemplateDocerSaveRecord">
    <vt:lpwstr>eyJoZGlkIjoiN2YzNjBkOTgyNWQ1YTMxYzM3MzMwNWFiODNmOWIzYWMiLCJ1c2VySWQiOiIxNDQ0NjgyODYzIn0=</vt:lpwstr>
  </property>
</Properties>
</file>