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B3DA4">
      <w:pPr>
        <w:keepNext w:val="0"/>
        <w:keepLines w:val="0"/>
        <w:pageBreakBefore w:val="0"/>
        <w:kinsoku/>
        <w:wordWrap/>
        <w:overflowPunct/>
        <w:topLinePunct w:val="0"/>
        <w:autoSpaceDN/>
        <w:bidi w:val="0"/>
        <w:adjustRightInd/>
        <w:snapToGrid/>
        <w:spacing w:line="360" w:lineRule="auto"/>
        <w:ind w:firstLine="482" w:firstLineChars="200"/>
        <w:textAlignment w:val="auto"/>
        <w:rPr>
          <w:rFonts w:hint="eastAsia" w:ascii="方正仿宋_GB2312" w:hAnsi="方正仿宋_GB2312" w:eastAsia="方正仿宋_GB2312" w:cs="方正仿宋_GB2312"/>
          <w:b/>
          <w:bCs/>
          <w:sz w:val="24"/>
          <w:szCs w:val="32"/>
          <w:highlight w:val="none"/>
        </w:rPr>
      </w:pPr>
      <w:r>
        <w:rPr>
          <w:rFonts w:hint="eastAsia" w:ascii="方正仿宋_GB2312" w:hAnsi="方正仿宋_GB2312" w:eastAsia="方正仿宋_GB2312" w:cs="方正仿宋_GB2312"/>
          <w:b/>
          <w:bCs/>
          <w:sz w:val="24"/>
          <w:szCs w:val="32"/>
          <w:highlight w:val="none"/>
        </w:rPr>
        <w:t>目标企业：</w:t>
      </w:r>
      <w:r>
        <w:rPr>
          <w:rFonts w:hint="eastAsia" w:ascii="方正仿宋_GB2312" w:hAnsi="方正仿宋_GB2312" w:eastAsia="方正仿宋_GB2312" w:cs="方正仿宋_GB2312"/>
          <w:b/>
          <w:bCs/>
          <w:sz w:val="24"/>
          <w:szCs w:val="32"/>
          <w:highlight w:val="none"/>
          <w:lang w:val="en-US" w:eastAsia="zh-CN"/>
        </w:rPr>
        <w:t>杭州中好智造有限公司</w:t>
      </w:r>
    </w:p>
    <w:p w14:paraId="29A3497A">
      <w:pPr>
        <w:pStyle w:val="5"/>
        <w:keepNext w:val="0"/>
        <w:keepLines w:val="0"/>
        <w:pageBreakBefore w:val="0"/>
        <w:numPr>
          <w:ilvl w:val="0"/>
          <w:numId w:val="1"/>
        </w:numPr>
        <w:kinsoku/>
        <w:wordWrap/>
        <w:overflowPunct/>
        <w:topLinePunct w:val="0"/>
        <w:autoSpaceDN/>
        <w:bidi w:val="0"/>
        <w:adjustRightInd/>
        <w:snapToGrid/>
        <w:spacing w:line="360" w:lineRule="auto"/>
        <w:ind w:left="-420" w:leftChars="0" w:firstLine="480" w:firstLineChars="200"/>
        <w:textAlignment w:val="auto"/>
        <w:rPr>
          <w:rFonts w:hint="eastAsia" w:ascii="方正仿宋_GB2312" w:hAnsi="方正仿宋_GB2312" w:eastAsia="方正仿宋_GB2312" w:cs="方正仿宋_GB2312"/>
          <w:sz w:val="24"/>
          <w:szCs w:val="32"/>
          <w:highlight w:val="none"/>
        </w:rPr>
      </w:pPr>
      <w:r>
        <w:rPr>
          <w:rFonts w:hint="eastAsia" w:ascii="方正仿宋_GB2312" w:hAnsi="方正仿宋_GB2312" w:eastAsia="方正仿宋_GB2312" w:cs="方正仿宋_GB2312"/>
          <w:sz w:val="24"/>
          <w:szCs w:val="32"/>
          <w:highlight w:val="none"/>
        </w:rPr>
        <w:t>基本情况</w:t>
      </w:r>
    </w:p>
    <w:p w14:paraId="0C2C39B8">
      <w:pPr>
        <w:keepNext w:val="0"/>
        <w:keepLines w:val="0"/>
        <w:pageBreakBefore w:val="0"/>
        <w:numPr>
          <w:ilvl w:val="0"/>
          <w:numId w:val="0"/>
        </w:numPr>
        <w:kinsoku/>
        <w:wordWrap/>
        <w:overflowPunct/>
        <w:topLinePunct w:val="0"/>
        <w:autoSpaceDE w:val="0"/>
        <w:autoSpaceDN/>
        <w:bidi w:val="0"/>
        <w:adjustRightInd/>
        <w:snapToGrid/>
        <w:spacing w:line="360" w:lineRule="auto"/>
        <w:ind w:leftChars="200"/>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shd w:val="clear" w:color="auto" w:fill="FFFFFF"/>
        </w:rPr>
        <w:t>企业名称：</w:t>
      </w:r>
      <w:r>
        <w:rPr>
          <w:rFonts w:hint="eastAsia" w:ascii="方正仿宋_GB2312" w:hAnsi="方正仿宋_GB2312" w:eastAsia="方正仿宋_GB2312" w:cs="方正仿宋_GB2312"/>
          <w:highlight w:val="none"/>
          <w:lang w:val="en-US" w:eastAsia="zh-CN"/>
        </w:rPr>
        <w:t>杭</w:t>
      </w:r>
      <w:bookmarkStart w:id="0" w:name="_GoBack"/>
      <w:r>
        <w:rPr>
          <w:rFonts w:hint="eastAsia" w:ascii="方正仿宋_GB2312" w:hAnsi="方正仿宋_GB2312" w:eastAsia="方正仿宋_GB2312" w:cs="方正仿宋_GB2312"/>
          <w:highlight w:val="none"/>
          <w:lang w:val="en-US" w:eastAsia="zh-CN"/>
        </w:rPr>
        <w:t>州中好智造有限公司(曾用名：杭州中好电子有限公司、杭州飞凤总业通信配件有限公司)</w:t>
      </w:r>
    </w:p>
    <w:p w14:paraId="6BCCE9CF">
      <w:pPr>
        <w:keepNext w:val="0"/>
        <w:keepLines w:val="0"/>
        <w:pageBreakBefore w:val="0"/>
        <w:numPr>
          <w:ilvl w:val="0"/>
          <w:numId w:val="0"/>
        </w:numPr>
        <w:kinsoku/>
        <w:wordWrap/>
        <w:overflowPunct/>
        <w:topLinePunct w:val="0"/>
        <w:autoSpaceDE w:val="0"/>
        <w:autoSpaceDN/>
        <w:bidi w:val="0"/>
        <w:adjustRightInd/>
        <w:snapToGrid/>
        <w:spacing w:line="360" w:lineRule="auto"/>
        <w:ind w:leftChars="200"/>
        <w:textAlignment w:val="auto"/>
        <w:rPr>
          <w:rFonts w:hint="eastAsia" w:ascii="方正仿宋_GB2312" w:hAnsi="方正仿宋_GB2312" w:eastAsia="方正仿宋_GB2312" w:cs="方正仿宋_GB2312"/>
          <w:highlight w:val="none"/>
          <w:shd w:val="clear" w:color="auto" w:fill="FFFFFF"/>
        </w:rPr>
      </w:pPr>
      <w:r>
        <w:rPr>
          <w:rFonts w:hint="eastAsia" w:ascii="方正仿宋_GB2312" w:hAnsi="方正仿宋_GB2312" w:eastAsia="方正仿宋_GB2312" w:cs="方正仿宋_GB2312"/>
          <w:highlight w:val="none"/>
          <w:shd w:val="clear" w:color="auto" w:fill="FFFFFF"/>
        </w:rPr>
        <w:t>资质：</w:t>
      </w:r>
      <w:r>
        <w:rPr>
          <w:rFonts w:hint="eastAsia" w:ascii="方正仿宋_GB2312" w:hAnsi="方正仿宋_GB2312" w:eastAsia="方正仿宋_GB2312" w:cs="方正仿宋_GB2312"/>
          <w:highlight w:val="none"/>
          <w:shd w:val="clear" w:color="auto" w:fill="FFFFFF"/>
          <w:lang w:val="en-US" w:eastAsia="zh-CN"/>
        </w:rPr>
        <w:t>科创企业</w:t>
      </w:r>
      <w:r>
        <w:rPr>
          <w:rFonts w:hint="eastAsia" w:ascii="方正仿宋_GB2312" w:hAnsi="方正仿宋_GB2312" w:eastAsia="方正仿宋_GB2312" w:cs="方正仿宋_GB2312"/>
          <w:highlight w:val="none"/>
          <w:shd w:val="clear" w:color="auto" w:fill="FFFFFF"/>
        </w:rPr>
        <w:t>，</w:t>
      </w:r>
      <w:r>
        <w:rPr>
          <w:rFonts w:hint="eastAsia" w:ascii="方正仿宋_GB2312" w:hAnsi="方正仿宋_GB2312" w:eastAsia="方正仿宋_GB2312" w:cs="方正仿宋_GB2312"/>
          <w:highlight w:val="none"/>
          <w:shd w:val="clear" w:color="auto" w:fill="FFFFFF"/>
          <w:lang w:val="en-US" w:eastAsia="zh-CN"/>
        </w:rPr>
        <w:t>浙江省专精特新，</w:t>
      </w:r>
      <w:r>
        <w:rPr>
          <w:rFonts w:hint="eastAsia" w:ascii="方正仿宋_GB2312" w:hAnsi="方正仿宋_GB2312" w:eastAsia="方正仿宋_GB2312" w:cs="方正仿宋_GB2312"/>
          <w:highlight w:val="none"/>
          <w:shd w:val="clear" w:color="auto" w:fill="FFFFFF"/>
        </w:rPr>
        <w:t>疑似规上，拥有ISO 9001、IATF16949等质量管理体系认证及31项资质证书</w:t>
      </w:r>
    </w:p>
    <w:p w14:paraId="48A22AFE">
      <w:pPr>
        <w:keepNext w:val="0"/>
        <w:keepLines w:val="0"/>
        <w:pageBreakBefore w:val="0"/>
        <w:numPr>
          <w:ilvl w:val="0"/>
          <w:numId w:val="0"/>
        </w:numPr>
        <w:kinsoku/>
        <w:wordWrap/>
        <w:overflowPunct/>
        <w:topLinePunct w:val="0"/>
        <w:autoSpaceDE w:val="0"/>
        <w:autoSpaceDN/>
        <w:bidi w:val="0"/>
        <w:adjustRightInd/>
        <w:snapToGrid/>
        <w:spacing w:line="360" w:lineRule="auto"/>
        <w:ind w:leftChars="200"/>
        <w:textAlignment w:val="auto"/>
        <w:rPr>
          <w:rFonts w:hint="eastAsia" w:ascii="方正仿宋_GB2312" w:hAnsi="方正仿宋_GB2312" w:eastAsia="方正仿宋_GB2312" w:cs="方正仿宋_GB2312"/>
          <w:highlight w:val="none"/>
          <w:shd w:val="clear" w:color="auto" w:fill="FFFFFF"/>
        </w:rPr>
      </w:pPr>
      <w:r>
        <w:rPr>
          <w:rFonts w:hint="eastAsia" w:ascii="方正仿宋_GB2312" w:hAnsi="方正仿宋_GB2312" w:eastAsia="方正仿宋_GB2312" w:cs="方正仿宋_GB2312"/>
          <w:highlight w:val="none"/>
          <w:shd w:val="clear" w:color="auto" w:fill="FFFFFF"/>
        </w:rPr>
        <w:t>成立日期：200</w:t>
      </w:r>
      <w:r>
        <w:rPr>
          <w:rFonts w:hint="eastAsia" w:ascii="方正仿宋_GB2312" w:hAnsi="方正仿宋_GB2312" w:eastAsia="方正仿宋_GB2312" w:cs="方正仿宋_GB2312"/>
          <w:highlight w:val="none"/>
          <w:shd w:val="clear" w:color="auto" w:fill="FFFFFF"/>
          <w:lang w:val="en-US" w:eastAsia="zh-CN"/>
        </w:rPr>
        <w:t>3</w:t>
      </w:r>
      <w:r>
        <w:rPr>
          <w:rFonts w:hint="eastAsia" w:ascii="方正仿宋_GB2312" w:hAnsi="方正仿宋_GB2312" w:eastAsia="方正仿宋_GB2312" w:cs="方正仿宋_GB2312"/>
          <w:highlight w:val="none"/>
          <w:shd w:val="clear" w:color="auto" w:fill="FFFFFF"/>
        </w:rPr>
        <w:t>年</w:t>
      </w:r>
      <w:r>
        <w:rPr>
          <w:rFonts w:hint="eastAsia" w:ascii="方正仿宋_GB2312" w:hAnsi="方正仿宋_GB2312" w:eastAsia="方正仿宋_GB2312" w:cs="方正仿宋_GB2312"/>
          <w:highlight w:val="none"/>
          <w:shd w:val="clear" w:color="auto" w:fill="FFFFFF"/>
          <w:lang w:val="en-US" w:eastAsia="zh-CN"/>
        </w:rPr>
        <w:t>9</w:t>
      </w:r>
      <w:r>
        <w:rPr>
          <w:rFonts w:hint="eastAsia" w:ascii="方正仿宋_GB2312" w:hAnsi="方正仿宋_GB2312" w:eastAsia="方正仿宋_GB2312" w:cs="方正仿宋_GB2312"/>
          <w:highlight w:val="none"/>
          <w:shd w:val="clear" w:color="auto" w:fill="FFFFFF"/>
        </w:rPr>
        <w:t>月</w:t>
      </w:r>
      <w:r>
        <w:rPr>
          <w:rFonts w:hint="eastAsia" w:ascii="方正仿宋_GB2312" w:hAnsi="方正仿宋_GB2312" w:eastAsia="方正仿宋_GB2312" w:cs="方正仿宋_GB2312"/>
          <w:highlight w:val="none"/>
          <w:shd w:val="clear" w:color="auto" w:fill="FFFFFF"/>
          <w:lang w:val="en-US" w:eastAsia="zh-CN"/>
        </w:rPr>
        <w:t>9</w:t>
      </w:r>
      <w:r>
        <w:rPr>
          <w:rFonts w:hint="eastAsia" w:ascii="方正仿宋_GB2312" w:hAnsi="方正仿宋_GB2312" w:eastAsia="方正仿宋_GB2312" w:cs="方正仿宋_GB2312"/>
          <w:highlight w:val="none"/>
          <w:shd w:val="clear" w:color="auto" w:fill="FFFFFF"/>
        </w:rPr>
        <w:t>日</w:t>
      </w:r>
    </w:p>
    <w:p w14:paraId="1B3F9AE9">
      <w:pPr>
        <w:pStyle w:val="5"/>
        <w:keepNext w:val="0"/>
        <w:keepLines w:val="0"/>
        <w:pageBreakBefore w:val="0"/>
        <w:numPr>
          <w:ilvl w:val="0"/>
          <w:numId w:val="0"/>
        </w:numPr>
        <w:kinsoku/>
        <w:wordWrap/>
        <w:overflowPunct/>
        <w:topLinePunct w:val="0"/>
        <w:autoSpaceDE w:val="0"/>
        <w:autoSpaceDN/>
        <w:bidi w:val="0"/>
        <w:adjustRightInd/>
        <w:snapToGrid/>
        <w:spacing w:line="360" w:lineRule="auto"/>
        <w:ind w:leftChars="200"/>
        <w:textAlignment w:val="auto"/>
        <w:rPr>
          <w:rFonts w:hint="eastAsia" w:ascii="方正仿宋_GB2312" w:hAnsi="方正仿宋_GB2312" w:eastAsia="方正仿宋_GB2312" w:cs="方正仿宋_GB2312"/>
          <w:highlight w:val="none"/>
          <w:shd w:val="clear" w:color="auto" w:fill="FFFFFF"/>
          <w:lang w:eastAsia="zh-CN"/>
        </w:rPr>
      </w:pPr>
      <w:r>
        <w:rPr>
          <w:rFonts w:hint="eastAsia" w:ascii="方正仿宋_GB2312" w:hAnsi="方正仿宋_GB2312" w:eastAsia="方正仿宋_GB2312" w:cs="方正仿宋_GB2312"/>
          <w:highlight w:val="none"/>
          <w:shd w:val="clear" w:color="auto" w:fill="FFFFFF"/>
        </w:rPr>
        <w:t>注册资本：</w:t>
      </w:r>
      <w:r>
        <w:rPr>
          <w:rFonts w:hint="eastAsia" w:ascii="方正仿宋_GB2312" w:hAnsi="方正仿宋_GB2312" w:eastAsia="方正仿宋_GB2312" w:cs="方正仿宋_GB2312"/>
          <w:highlight w:val="none"/>
          <w:shd w:val="clear" w:color="auto" w:fill="FFFFFF"/>
          <w:lang w:val="en-US" w:eastAsia="zh-CN"/>
        </w:rPr>
        <w:t>566</w:t>
      </w:r>
      <w:r>
        <w:rPr>
          <w:rFonts w:hint="eastAsia" w:ascii="方正仿宋_GB2312" w:hAnsi="方正仿宋_GB2312" w:eastAsia="方正仿宋_GB2312" w:cs="方正仿宋_GB2312"/>
          <w:highlight w:val="none"/>
          <w:shd w:val="clear" w:color="auto" w:fill="FFFFFF"/>
        </w:rPr>
        <w:t>万</w:t>
      </w:r>
      <w:r>
        <w:rPr>
          <w:rFonts w:hint="eastAsia" w:ascii="方正仿宋_GB2312" w:hAnsi="方正仿宋_GB2312" w:eastAsia="方正仿宋_GB2312" w:cs="方正仿宋_GB2312"/>
          <w:highlight w:val="none"/>
          <w:shd w:val="clear" w:color="auto" w:fill="FFFFFF"/>
          <w:lang w:val="en-US" w:eastAsia="zh-CN"/>
        </w:rPr>
        <w:t>美元</w:t>
      </w:r>
    </w:p>
    <w:p w14:paraId="41460A4D">
      <w:pPr>
        <w:pStyle w:val="5"/>
        <w:keepNext w:val="0"/>
        <w:keepLines w:val="0"/>
        <w:pageBreakBefore w:val="0"/>
        <w:numPr>
          <w:ilvl w:val="0"/>
          <w:numId w:val="0"/>
        </w:numPr>
        <w:kinsoku/>
        <w:wordWrap/>
        <w:overflowPunct/>
        <w:topLinePunct w:val="0"/>
        <w:autoSpaceDE w:val="0"/>
        <w:autoSpaceDN/>
        <w:bidi w:val="0"/>
        <w:adjustRightInd/>
        <w:snapToGrid/>
        <w:spacing w:line="360" w:lineRule="auto"/>
        <w:ind w:leftChars="200"/>
        <w:textAlignment w:val="auto"/>
        <w:rPr>
          <w:rFonts w:hint="eastAsia" w:ascii="方正仿宋_GB2312" w:hAnsi="方正仿宋_GB2312" w:eastAsia="方正仿宋_GB2312" w:cs="方正仿宋_GB2312"/>
          <w:highlight w:val="none"/>
          <w:shd w:val="clear" w:color="auto" w:fill="FFFFFF"/>
        </w:rPr>
      </w:pPr>
      <w:r>
        <w:rPr>
          <w:rFonts w:hint="eastAsia" w:ascii="方正仿宋_GB2312" w:hAnsi="方正仿宋_GB2312" w:eastAsia="方正仿宋_GB2312" w:cs="方正仿宋_GB2312"/>
          <w:highlight w:val="none"/>
          <w:shd w:val="clear" w:color="auto" w:fill="FFFFFF"/>
        </w:rPr>
        <w:t>注册地：浙江省杭州市钱塘区临江街道临江高新技术产业园区纬二路259号1层A区</w:t>
      </w:r>
    </w:p>
    <w:p w14:paraId="11B8FDEF">
      <w:pPr>
        <w:pStyle w:val="5"/>
        <w:keepNext w:val="0"/>
        <w:keepLines w:val="0"/>
        <w:pageBreakBefore w:val="0"/>
        <w:numPr>
          <w:ilvl w:val="0"/>
          <w:numId w:val="0"/>
        </w:numPr>
        <w:kinsoku/>
        <w:wordWrap/>
        <w:overflowPunct/>
        <w:topLinePunct w:val="0"/>
        <w:autoSpaceDN/>
        <w:bidi w:val="0"/>
        <w:adjustRightInd/>
        <w:snapToGrid/>
        <w:spacing w:line="360" w:lineRule="auto"/>
        <w:ind w:leftChars="200"/>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rPr>
        <w:t>产业园：</w:t>
      </w:r>
      <w:r>
        <w:rPr>
          <w:rFonts w:hint="eastAsia" w:ascii="方正仿宋_GB2312" w:hAnsi="方正仿宋_GB2312" w:eastAsia="方正仿宋_GB2312" w:cs="方正仿宋_GB2312"/>
          <w:highlight w:val="none"/>
          <w:lang w:val="en-US" w:eastAsia="zh-CN"/>
        </w:rPr>
        <w:t>万纬杭州大江东临江物流园</w:t>
      </w:r>
    </w:p>
    <w:p w14:paraId="62ACD2A9">
      <w:pPr>
        <w:pStyle w:val="5"/>
        <w:keepNext w:val="0"/>
        <w:keepLines w:val="0"/>
        <w:pageBreakBefore w:val="0"/>
        <w:numPr>
          <w:ilvl w:val="0"/>
          <w:numId w:val="0"/>
        </w:numPr>
        <w:kinsoku/>
        <w:wordWrap/>
        <w:overflowPunct/>
        <w:topLinePunct w:val="0"/>
        <w:autoSpaceDN/>
        <w:bidi w:val="0"/>
        <w:adjustRightInd/>
        <w:snapToGrid/>
        <w:spacing w:line="360" w:lineRule="auto"/>
        <w:ind w:leftChars="200"/>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b/>
          <w:bCs/>
          <w:highlight w:val="none"/>
          <w:lang w:val="en-US" w:eastAsia="zh-CN"/>
        </w:rPr>
        <w:t>与我行合作情况：</w:t>
      </w:r>
      <w:r>
        <w:rPr>
          <w:rFonts w:hint="eastAsia" w:ascii="方正仿宋_GB2312" w:hAnsi="方正仿宋_GB2312" w:eastAsia="方正仿宋_GB2312" w:cs="方正仿宋_GB2312"/>
          <w:highlight w:val="none"/>
          <w:lang w:val="en-US" w:eastAsia="zh-CN"/>
        </w:rPr>
        <w:t>该公司为我行授信客户，授信额度为5000000元。当前在我行开立了一般户，已签约我行鑫e伴及代发业务，历史持有我行普通流贷产品，当前持有一般活期存款，存款时点余额5811820.81元</w:t>
      </w:r>
    </w:p>
    <w:bookmarkEnd w:id="0"/>
    <w:p w14:paraId="5AA38A45">
      <w:pPr>
        <w:pStyle w:val="5"/>
        <w:keepNext w:val="0"/>
        <w:keepLines w:val="0"/>
        <w:pageBreakBefore w:val="0"/>
        <w:numPr>
          <w:ilvl w:val="0"/>
          <w:numId w:val="0"/>
        </w:numPr>
        <w:kinsoku/>
        <w:wordWrap/>
        <w:overflowPunct/>
        <w:topLinePunct w:val="0"/>
        <w:autoSpaceDN/>
        <w:bidi w:val="0"/>
        <w:adjustRightInd/>
        <w:snapToGrid/>
        <w:spacing w:line="360" w:lineRule="auto"/>
        <w:ind w:leftChars="200"/>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b/>
          <w:bCs/>
          <w:highlight w:val="none"/>
          <w:lang w:val="en-US" w:eastAsia="zh-CN"/>
        </w:rPr>
        <w:t>管户情况：</w:t>
      </w:r>
      <w:r>
        <w:rPr>
          <w:rFonts w:hint="eastAsia" w:ascii="方正仿宋_GB2312" w:hAnsi="方正仿宋_GB2312" w:eastAsia="方正仿宋_GB2312" w:cs="方正仿宋_GB2312"/>
          <w:highlight w:val="none"/>
          <w:lang w:val="en-US" w:eastAsia="zh-CN"/>
        </w:rPr>
        <w:t>（信贷系统&amp;鑫公司）黄剑，杭州城西小伟企业专营支行小企业金融部</w:t>
      </w:r>
    </w:p>
    <w:p w14:paraId="0A235522">
      <w:pPr>
        <w:pStyle w:val="5"/>
        <w:keepNext w:val="0"/>
        <w:keepLines w:val="0"/>
        <w:pageBreakBefore w:val="0"/>
        <w:numPr>
          <w:ilvl w:val="0"/>
          <w:numId w:val="1"/>
        </w:numPr>
        <w:kinsoku/>
        <w:wordWrap/>
        <w:overflowPunct/>
        <w:topLinePunct w:val="0"/>
        <w:autoSpaceDN/>
        <w:bidi w:val="0"/>
        <w:adjustRightInd/>
        <w:snapToGrid/>
        <w:spacing w:line="360" w:lineRule="auto"/>
        <w:ind w:left="-420" w:leftChars="0" w:firstLine="480" w:firstLineChars="200"/>
        <w:textAlignment w:val="auto"/>
        <w:rPr>
          <w:rFonts w:hint="eastAsia" w:ascii="方正仿宋_GB2312" w:hAnsi="方正仿宋_GB2312" w:eastAsia="方正仿宋_GB2312" w:cs="方正仿宋_GB2312"/>
          <w:sz w:val="24"/>
          <w:szCs w:val="32"/>
          <w:highlight w:val="none"/>
          <w:lang w:val="en-US" w:eastAsia="zh-CN"/>
        </w:rPr>
      </w:pPr>
      <w:r>
        <w:rPr>
          <w:rFonts w:hint="eastAsia" w:ascii="方正仿宋_GB2312" w:hAnsi="方正仿宋_GB2312" w:eastAsia="方正仿宋_GB2312" w:cs="方正仿宋_GB2312"/>
          <w:sz w:val="24"/>
          <w:szCs w:val="32"/>
          <w:highlight w:val="none"/>
          <w:lang w:val="en-US" w:eastAsia="zh-CN"/>
        </w:rPr>
        <w:t>创始人情况</w:t>
      </w:r>
    </w:p>
    <w:p w14:paraId="30C69577">
      <w:pPr>
        <w:pStyle w:val="5"/>
        <w:keepNext w:val="0"/>
        <w:keepLines w:val="0"/>
        <w:pageBreakBefore w:val="0"/>
        <w:widowControl w:val="0"/>
        <w:numPr>
          <w:ilvl w:val="0"/>
          <w:numId w:val="0"/>
        </w:numPr>
        <w:kinsoku/>
        <w:wordWrap/>
        <w:overflowPunct/>
        <w:topLinePunct w:val="0"/>
        <w:autoSpaceDN/>
        <w:bidi w:val="0"/>
        <w:adjustRightInd/>
        <w:snapToGrid/>
        <w:spacing w:line="360" w:lineRule="auto"/>
        <w:ind w:firstLine="422" w:firstLineChars="200"/>
        <w:jc w:val="both"/>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b/>
          <w:bCs/>
          <w:highlight w:val="none"/>
          <w:lang w:val="en-US" w:eastAsia="zh-CN"/>
        </w:rPr>
        <w:t>实际控制人裴晓玲（加拿大籍）：</w:t>
      </w:r>
      <w:r>
        <w:rPr>
          <w:rFonts w:hint="eastAsia" w:ascii="方正仿宋_GB2312" w:hAnsi="方正仿宋_GB2312" w:eastAsia="方正仿宋_GB2312" w:cs="方正仿宋_GB2312"/>
          <w:highlight w:val="none"/>
          <w:lang w:val="en-US" w:eastAsia="zh-CN"/>
        </w:rPr>
        <w:t>通过全资控股中好智能集团，主导杭州中好智能制造有限公司（曾用名：杭州中好电子有限公司、杭州飞凤总业通信配件有限公司）的资本运作。2003年9月公司成立时注册资本151万美元，2024年增至566万美元，实缴资本130万美元，形成以模具制造为核心的外资制造体系。</w:t>
      </w:r>
    </w:p>
    <w:p w14:paraId="4716BA0B">
      <w:pPr>
        <w:pStyle w:val="5"/>
        <w:keepNext w:val="0"/>
        <w:keepLines w:val="0"/>
        <w:pageBreakBefore w:val="0"/>
        <w:widowControl w:val="0"/>
        <w:numPr>
          <w:ilvl w:val="0"/>
          <w:numId w:val="0"/>
        </w:numPr>
        <w:kinsoku/>
        <w:wordWrap/>
        <w:overflowPunct/>
        <w:topLinePunct w:val="0"/>
        <w:autoSpaceDN/>
        <w:bidi w:val="0"/>
        <w:adjustRightInd/>
        <w:snapToGrid/>
        <w:spacing w:line="360" w:lineRule="auto"/>
        <w:ind w:firstLine="422" w:firstLineChars="200"/>
        <w:jc w:val="both"/>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b/>
          <w:bCs/>
          <w:highlight w:val="none"/>
          <w:lang w:val="en-US" w:eastAsia="zh-CN"/>
        </w:rPr>
        <w:t>法定代表人赵亚辉</w:t>
      </w:r>
      <w:r>
        <w:rPr>
          <w:rFonts w:hint="eastAsia" w:ascii="方正仿宋_GB2312" w:hAnsi="方正仿宋_GB2312" w:eastAsia="方正仿宋_GB2312" w:cs="方正仿宋_GB2312"/>
          <w:highlight w:val="none"/>
          <w:lang w:val="en-US" w:eastAsia="zh-CN"/>
        </w:rPr>
        <w:t>：自2023年起担任公司法人，负责日常运营。在任期间推动企业完成8次对外投资（控股4家），涉及通信设备、医疗器械、餐饮管理等领域，并主导2024年经营范围扩展至光伏设备、电子测量仪器等20余个制造门类。</w:t>
      </w:r>
    </w:p>
    <w:p w14:paraId="5E1165D3">
      <w:pPr>
        <w:pStyle w:val="5"/>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200"/>
        <w:jc w:val="both"/>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发展脉络：</w:t>
      </w:r>
    </w:p>
    <w:p w14:paraId="2D165BD3">
      <w:pPr>
        <w:pStyle w:val="5"/>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200"/>
        <w:jc w:val="both"/>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2003年成立初期：聚焦通信配件与汽车模具制造，获ISO四大体系认证，形成260-400套/年模具产能；</w:t>
      </w:r>
    </w:p>
    <w:p w14:paraId="7513575D">
      <w:pPr>
        <w:pStyle w:val="5"/>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200"/>
        <w:jc w:val="both"/>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2010-2020年：拓展医疗、家电行业，注塑机规模达96台（800T以内），研发投入推动45项专利积累；</w:t>
      </w:r>
    </w:p>
    <w:p w14:paraId="2A04A316">
      <w:pPr>
        <w:pStyle w:val="5"/>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200"/>
        <w:jc w:val="both"/>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2023-2024年：战略升级为智能制造，新增"中好智造"等商标，注册资本增长375%，布局热食类食品制售等新业态。</w:t>
      </w:r>
    </w:p>
    <w:p w14:paraId="349EC513">
      <w:pPr>
        <w:pStyle w:val="5"/>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200"/>
        <w:jc w:val="both"/>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当前团队：2023年员工102人，技术研发人员占比未公开，拥有专利45项（含2024年新增汽车充电枪壳体自动取出设备专利），通过31项资质认证构建行业壁垒。</w:t>
      </w:r>
    </w:p>
    <w:p w14:paraId="02A5B810">
      <w:pPr>
        <w:pStyle w:val="5"/>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200"/>
        <w:jc w:val="both"/>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资本布局：外资全资控股结构下，通过中好智能集团控制8家关联企业，重点投资通信设备制造（持股85%）、医疗器械销售等领域，2024年对外投资规模达115万美元。</w:t>
      </w:r>
    </w:p>
    <w:p w14:paraId="3049BA74">
      <w:pPr>
        <w:keepNext w:val="0"/>
        <w:keepLines w:val="0"/>
        <w:pageBreakBefore w:val="0"/>
        <w:numPr>
          <w:ilvl w:val="0"/>
          <w:numId w:val="1"/>
        </w:numPr>
        <w:kinsoku/>
        <w:wordWrap/>
        <w:overflowPunct/>
        <w:topLinePunct w:val="0"/>
        <w:autoSpaceDN/>
        <w:bidi w:val="0"/>
        <w:adjustRightInd/>
        <w:snapToGrid/>
        <w:spacing w:line="360" w:lineRule="auto"/>
        <w:ind w:left="-420" w:leftChars="0" w:firstLine="480" w:firstLineChars="200"/>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sz w:val="24"/>
          <w:szCs w:val="32"/>
          <w:highlight w:val="none"/>
          <w:lang w:val="en-US" w:eastAsia="zh-CN"/>
        </w:rPr>
        <w:t>主营产品</w:t>
      </w:r>
    </w:p>
    <w:p w14:paraId="5AA489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方正仿宋_GB2312" w:hAnsi="方正仿宋_GB2312" w:eastAsia="方正仿宋_GB2312" w:cs="方正仿宋_GB2312"/>
          <w:kern w:val="2"/>
          <w:sz w:val="21"/>
          <w:szCs w:val="24"/>
          <w:highlight w:val="none"/>
          <w:lang w:val="en-US" w:eastAsia="zh-CN" w:bidi="ar-SA"/>
        </w:rPr>
      </w:pPr>
      <w:r>
        <w:rPr>
          <w:rFonts w:hint="eastAsia" w:ascii="方正仿宋_GB2312" w:hAnsi="方正仿宋_GB2312" w:eastAsia="方正仿宋_GB2312" w:cs="方正仿宋_GB2312"/>
          <w:kern w:val="2"/>
          <w:sz w:val="21"/>
          <w:szCs w:val="24"/>
          <w:highlight w:val="none"/>
          <w:lang w:val="en-US" w:eastAsia="zh-CN" w:bidi="ar-SA"/>
        </w:rPr>
        <w:t>杭州中好智造的核心业务是模具设计与注塑加工。他们拥有进口的牧野、沙迪克等数控设备，能快速完成复杂零部件的模具制作。同时，公司还配备了三次元测量仪、光谱分析仪等“质量安检神器”，确保每个注塑件的精度和性能达标。</w:t>
      </w:r>
    </w:p>
    <w:p w14:paraId="6D7E0B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方正仿宋_GB2312" w:hAnsi="方正仿宋_GB2312" w:eastAsia="方正仿宋_GB2312" w:cs="方正仿宋_GB2312"/>
          <w:kern w:val="2"/>
          <w:sz w:val="21"/>
          <w:szCs w:val="24"/>
          <w:highlight w:val="none"/>
          <w:lang w:val="en-US" w:eastAsia="zh-CN" w:bidi="ar-SA"/>
        </w:rPr>
      </w:pPr>
      <w:r>
        <w:rPr>
          <w:rFonts w:hint="eastAsia" w:ascii="方正仿宋_GB2312" w:hAnsi="方正仿宋_GB2312" w:eastAsia="方正仿宋_GB2312" w:cs="方正仿宋_GB2312"/>
          <w:kern w:val="2"/>
          <w:sz w:val="21"/>
          <w:szCs w:val="24"/>
          <w:highlight w:val="none"/>
          <w:lang w:val="en-US" w:eastAsia="zh-CN" w:bidi="ar-SA"/>
        </w:rPr>
        <w:t>传统制造业的模具开发周期长、成本高、质量不稳定。中好智造通过进口设备将模具开发周期压缩至2-6周，比行业平均快一倍。规模化生产模式下，单件成本降低15%-20%，而且自动化检测让次品率大幅下降。比如汽车零部件厂商再也不用为模具交期延误发愁，医疗企业也能用上更耐用的精密注塑件。</w:t>
      </w:r>
    </w:p>
    <w:p w14:paraId="0E7490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方正仿宋_GB2312" w:hAnsi="方正仿宋_GB2312" w:eastAsia="方正仿宋_GB2312" w:cs="方正仿宋_GB2312"/>
          <w:kern w:val="2"/>
          <w:sz w:val="21"/>
          <w:szCs w:val="24"/>
          <w:highlight w:val="none"/>
          <w:lang w:val="en-US" w:eastAsia="zh-CN" w:bidi="ar-SA"/>
        </w:rPr>
      </w:pPr>
      <w:r>
        <w:rPr>
          <w:rFonts w:hint="eastAsia" w:ascii="方正仿宋_GB2312" w:hAnsi="方正仿宋_GB2312" w:eastAsia="方正仿宋_GB2312" w:cs="方正仿宋_GB2312"/>
          <w:kern w:val="2"/>
          <w:sz w:val="21"/>
          <w:szCs w:val="24"/>
          <w:highlight w:val="none"/>
          <w:lang w:val="en-US" w:eastAsia="zh-CN" w:bidi="ar-SA"/>
        </w:rPr>
        <w:t>目标客户主要服务汽车、医疗、家电、IT通信等行业。汽车厂需要定制化模具生产安全气囊等关键部件，医疗企业依赖高精度注塑件制造手术器械，而手机厂商则追求快速换模生产不同型号外壳。这些领域对模具的需求量大，且对交期和品质要求严苛，中好智造的标准化服务正好能精准匹配需求。</w:t>
      </w:r>
    </w:p>
    <w:p w14:paraId="224F9D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方正仿宋_GB2312" w:hAnsi="方正仿宋_GB2312" w:eastAsia="方正仿宋_GB2312" w:cs="方正仿宋_GB2312"/>
          <w:highlight w:val="none"/>
        </w:rPr>
      </w:pPr>
      <w:r>
        <w:rPr>
          <w:rFonts w:hint="eastAsia" w:ascii="方正仿宋_GB2312" w:hAnsi="方正仿宋_GB2312" w:eastAsia="方正仿宋_GB2312" w:cs="方正仿宋_GB2312"/>
          <w:highlight w:val="none"/>
        </w:rPr>
        <w:drawing>
          <wp:inline distT="0" distB="0" distL="114300" distR="114300">
            <wp:extent cx="2343150" cy="1972310"/>
            <wp:effectExtent l="0" t="0" r="381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2343150" cy="1972310"/>
                    </a:xfrm>
                    <a:prstGeom prst="rect">
                      <a:avLst/>
                    </a:prstGeom>
                    <a:noFill/>
                    <a:ln>
                      <a:noFill/>
                    </a:ln>
                  </pic:spPr>
                </pic:pic>
              </a:graphicData>
            </a:graphic>
          </wp:inline>
        </w:drawing>
      </w:r>
      <w:r>
        <w:rPr>
          <w:rFonts w:hint="eastAsia" w:ascii="方正仿宋_GB2312" w:hAnsi="方正仿宋_GB2312" w:eastAsia="方正仿宋_GB2312" w:cs="方正仿宋_GB2312"/>
          <w:highlight w:val="none"/>
        </w:rPr>
        <w:drawing>
          <wp:inline distT="0" distB="0" distL="114300" distR="114300">
            <wp:extent cx="2296795" cy="2143760"/>
            <wp:effectExtent l="0" t="0" r="444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2296795" cy="2143760"/>
                    </a:xfrm>
                    <a:prstGeom prst="rect">
                      <a:avLst/>
                    </a:prstGeom>
                    <a:noFill/>
                    <a:ln>
                      <a:noFill/>
                    </a:ln>
                  </pic:spPr>
                </pic:pic>
              </a:graphicData>
            </a:graphic>
          </wp:inline>
        </w:drawing>
      </w:r>
    </w:p>
    <w:p w14:paraId="630CB087">
      <w:pPr>
        <w:pStyle w:val="5"/>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textAlignment w:val="auto"/>
        <w:rPr>
          <w:rFonts w:hint="eastAsia" w:ascii="方正仿宋_GB2312" w:hAnsi="方正仿宋_GB2312" w:eastAsia="方正仿宋_GB2312" w:cs="方正仿宋_GB2312"/>
          <w:highlight w:val="none"/>
          <w:lang w:val="en-US" w:eastAsia="zh-CN"/>
        </w:rPr>
      </w:pPr>
    </w:p>
    <w:p w14:paraId="7EBBEC4F">
      <w:pPr>
        <w:pStyle w:val="5"/>
        <w:keepNext w:val="0"/>
        <w:keepLines w:val="0"/>
        <w:pageBreakBefore w:val="0"/>
        <w:numPr>
          <w:ilvl w:val="0"/>
          <w:numId w:val="1"/>
        </w:numPr>
        <w:kinsoku/>
        <w:wordWrap/>
        <w:overflowPunct/>
        <w:topLinePunct w:val="0"/>
        <w:autoSpaceDN/>
        <w:bidi w:val="0"/>
        <w:adjustRightInd/>
        <w:snapToGrid/>
        <w:spacing w:line="360" w:lineRule="auto"/>
        <w:ind w:left="-420" w:leftChars="0" w:firstLine="480" w:firstLineChars="200"/>
        <w:textAlignment w:val="auto"/>
        <w:rPr>
          <w:rFonts w:hint="eastAsia" w:ascii="方正仿宋_GB2312" w:hAnsi="方正仿宋_GB2312" w:eastAsia="方正仿宋_GB2312" w:cs="方正仿宋_GB2312"/>
          <w:sz w:val="24"/>
          <w:szCs w:val="32"/>
          <w:highlight w:val="none"/>
        </w:rPr>
      </w:pPr>
      <w:r>
        <w:rPr>
          <w:rFonts w:hint="eastAsia" w:ascii="方正仿宋_GB2312" w:hAnsi="方正仿宋_GB2312" w:eastAsia="方正仿宋_GB2312" w:cs="方正仿宋_GB2312"/>
          <w:sz w:val="24"/>
          <w:szCs w:val="32"/>
          <w:highlight w:val="none"/>
        </w:rPr>
        <w:t>经营情况、盈利结构、金融机构合作</w:t>
      </w:r>
    </w:p>
    <w:p w14:paraId="7EA84501">
      <w:pPr>
        <w:keepNext w:val="0"/>
        <w:keepLines w:val="0"/>
        <w:pageBreakBefore w:val="0"/>
        <w:numPr>
          <w:ilvl w:val="0"/>
          <w:numId w:val="2"/>
        </w:numPr>
        <w:kinsoku/>
        <w:wordWrap/>
        <w:overflowPunct/>
        <w:topLinePunct w:val="0"/>
        <w:autoSpaceDN/>
        <w:bidi w:val="0"/>
        <w:adjustRightInd/>
        <w:snapToGrid/>
        <w:spacing w:line="360" w:lineRule="auto"/>
        <w:ind w:left="0"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经营情况</w:t>
      </w:r>
    </w:p>
    <w:tbl>
      <w:tblPr>
        <w:tblStyle w:val="3"/>
        <w:tblW w:w="85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041"/>
        <w:gridCol w:w="2891"/>
        <w:gridCol w:w="2551"/>
      </w:tblGrid>
      <w:tr w14:paraId="5A8C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center"/>
          </w:tcPr>
          <w:p w14:paraId="3430DCF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1" w:firstLineChars="200"/>
              <w:jc w:val="center"/>
              <w:textAlignment w:val="auto"/>
              <w:rPr>
                <w:rFonts w:hint="eastAsia" w:ascii="方正仿宋_GB2312" w:hAnsi="方正仿宋_GB2312" w:eastAsia="方正仿宋_GB2312" w:cs="方正仿宋_GB2312"/>
                <w:b/>
                <w:i w:val="0"/>
                <w:caps w:val="0"/>
                <w:spacing w:val="0"/>
                <w:kern w:val="2"/>
                <w:sz w:val="18"/>
                <w:szCs w:val="18"/>
                <w:highlight w:val="none"/>
                <w:lang w:val="en-US" w:eastAsia="zh-CN" w:bidi="ar-SA"/>
              </w:rPr>
            </w:pPr>
            <w:r>
              <w:rPr>
                <w:rFonts w:hint="eastAsia" w:ascii="方正仿宋_GB2312" w:hAnsi="方正仿宋_GB2312" w:eastAsia="方正仿宋_GB2312" w:cs="方正仿宋_GB2312"/>
                <w:b/>
                <w:i w:val="0"/>
                <w:caps w:val="0"/>
                <w:spacing w:val="0"/>
                <w:kern w:val="0"/>
                <w:sz w:val="18"/>
                <w:szCs w:val="18"/>
                <w:highlight w:val="none"/>
                <w:lang w:val="en-US" w:eastAsia="zh-CN" w:bidi="ar"/>
              </w:rPr>
              <w:t>分类</w:t>
            </w:r>
          </w:p>
        </w:tc>
        <w:tc>
          <w:tcPr>
            <w:tcW w:w="2041" w:type="dxa"/>
            <w:vAlign w:val="center"/>
          </w:tcPr>
          <w:p w14:paraId="2AD494A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1" w:firstLineChars="200"/>
              <w:jc w:val="center"/>
              <w:textAlignment w:val="auto"/>
              <w:rPr>
                <w:rFonts w:hint="eastAsia" w:ascii="方正仿宋_GB2312" w:hAnsi="方正仿宋_GB2312" w:eastAsia="方正仿宋_GB2312" w:cs="方正仿宋_GB2312"/>
                <w:b/>
                <w:i w:val="0"/>
                <w:caps w:val="0"/>
                <w:spacing w:val="0"/>
                <w:kern w:val="2"/>
                <w:sz w:val="18"/>
                <w:szCs w:val="18"/>
                <w:highlight w:val="none"/>
                <w:lang w:val="en-US" w:eastAsia="zh-CN" w:bidi="ar-SA"/>
              </w:rPr>
            </w:pPr>
            <w:r>
              <w:rPr>
                <w:rFonts w:hint="eastAsia" w:ascii="方正仿宋_GB2312" w:hAnsi="方正仿宋_GB2312" w:eastAsia="方正仿宋_GB2312" w:cs="方正仿宋_GB2312"/>
                <w:b/>
                <w:i w:val="0"/>
                <w:caps w:val="0"/>
                <w:spacing w:val="0"/>
                <w:kern w:val="0"/>
                <w:sz w:val="18"/>
                <w:szCs w:val="18"/>
                <w:highlight w:val="none"/>
                <w:lang w:val="en-US" w:eastAsia="zh-CN" w:bidi="ar"/>
              </w:rPr>
              <w:t>指标名称</w:t>
            </w:r>
          </w:p>
        </w:tc>
        <w:tc>
          <w:tcPr>
            <w:tcW w:w="2891" w:type="dxa"/>
            <w:vAlign w:val="center"/>
          </w:tcPr>
          <w:p w14:paraId="5938AE5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1" w:firstLineChars="200"/>
              <w:jc w:val="center"/>
              <w:textAlignment w:val="auto"/>
              <w:rPr>
                <w:rFonts w:hint="eastAsia" w:ascii="方正仿宋_GB2312" w:hAnsi="方正仿宋_GB2312" w:eastAsia="方正仿宋_GB2312" w:cs="方正仿宋_GB2312"/>
                <w:b/>
                <w:i w:val="0"/>
                <w:caps w:val="0"/>
                <w:spacing w:val="0"/>
                <w:kern w:val="2"/>
                <w:sz w:val="18"/>
                <w:szCs w:val="18"/>
                <w:highlight w:val="none"/>
                <w:lang w:val="en-US" w:eastAsia="zh-CN" w:bidi="ar-SA"/>
              </w:rPr>
            </w:pPr>
            <w:r>
              <w:rPr>
                <w:rFonts w:hint="eastAsia" w:ascii="方正仿宋_GB2312" w:hAnsi="方正仿宋_GB2312" w:eastAsia="方正仿宋_GB2312" w:cs="方正仿宋_GB2312"/>
                <w:b/>
                <w:i w:val="0"/>
                <w:caps w:val="0"/>
                <w:spacing w:val="0"/>
                <w:kern w:val="0"/>
                <w:sz w:val="18"/>
                <w:szCs w:val="18"/>
                <w:highlight w:val="none"/>
                <w:lang w:val="en-US" w:eastAsia="zh-CN" w:bidi="ar"/>
              </w:rPr>
              <w:t>2023年指标值区间</w:t>
            </w:r>
          </w:p>
        </w:tc>
        <w:tc>
          <w:tcPr>
            <w:tcW w:w="2551" w:type="dxa"/>
            <w:vAlign w:val="center"/>
          </w:tcPr>
          <w:p w14:paraId="7519311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1" w:firstLineChars="200"/>
              <w:jc w:val="center"/>
              <w:textAlignment w:val="auto"/>
              <w:rPr>
                <w:rFonts w:hint="eastAsia" w:ascii="方正仿宋_GB2312" w:hAnsi="方正仿宋_GB2312" w:eastAsia="方正仿宋_GB2312" w:cs="方正仿宋_GB2312"/>
                <w:b/>
                <w:i w:val="0"/>
                <w:caps w:val="0"/>
                <w:spacing w:val="0"/>
                <w:kern w:val="2"/>
                <w:sz w:val="18"/>
                <w:szCs w:val="18"/>
                <w:highlight w:val="none"/>
                <w:lang w:val="en-US" w:eastAsia="zh-CN" w:bidi="ar-SA"/>
              </w:rPr>
            </w:pPr>
            <w:r>
              <w:rPr>
                <w:rFonts w:hint="eastAsia" w:ascii="方正仿宋_GB2312" w:hAnsi="方正仿宋_GB2312" w:eastAsia="方正仿宋_GB2312" w:cs="方正仿宋_GB2312"/>
                <w:b/>
                <w:i w:val="0"/>
                <w:caps w:val="0"/>
                <w:spacing w:val="0"/>
                <w:kern w:val="0"/>
                <w:sz w:val="18"/>
                <w:szCs w:val="18"/>
                <w:highlight w:val="none"/>
                <w:lang w:val="en-US" w:eastAsia="zh-CN" w:bidi="ar"/>
              </w:rPr>
              <w:t>2022年指标值区间</w:t>
            </w:r>
          </w:p>
        </w:tc>
      </w:tr>
      <w:tr w14:paraId="1FC5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restart"/>
            <w:vAlign w:val="center"/>
          </w:tcPr>
          <w:p w14:paraId="27C0247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资产负债表</w:t>
            </w:r>
          </w:p>
        </w:tc>
        <w:tc>
          <w:tcPr>
            <w:tcW w:w="2041" w:type="dxa"/>
            <w:vAlign w:val="center"/>
          </w:tcPr>
          <w:p w14:paraId="1A6E580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资产总额</w:t>
            </w:r>
          </w:p>
        </w:tc>
        <w:tc>
          <w:tcPr>
            <w:tcW w:w="2891" w:type="dxa"/>
            <w:vAlign w:val="center"/>
          </w:tcPr>
          <w:p w14:paraId="12351709">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[1亿,5亿)</w:t>
            </w:r>
          </w:p>
        </w:tc>
        <w:tc>
          <w:tcPr>
            <w:tcW w:w="2551" w:type="dxa"/>
            <w:vAlign w:val="center"/>
          </w:tcPr>
          <w:p w14:paraId="5612290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[3000万,5000万)</w:t>
            </w:r>
          </w:p>
        </w:tc>
      </w:tr>
      <w:tr w14:paraId="672B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continue"/>
            <w:vAlign w:val="center"/>
          </w:tcPr>
          <w:p w14:paraId="06493E82">
            <w:pPr>
              <w:keepNext w:val="0"/>
              <w:keepLines w:val="0"/>
              <w:pageBreakBefore w:val="0"/>
              <w:kinsoku/>
              <w:wordWrap/>
              <w:overflowPunct/>
              <w:topLinePunct w:val="0"/>
              <w:autoSpaceDN/>
              <w:bidi w:val="0"/>
              <w:adjustRightInd/>
              <w:snapToGrid/>
              <w:spacing w:line="360" w:lineRule="auto"/>
              <w:ind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p>
        </w:tc>
        <w:tc>
          <w:tcPr>
            <w:tcW w:w="2041" w:type="dxa"/>
            <w:vAlign w:val="center"/>
          </w:tcPr>
          <w:p w14:paraId="74BA54B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负债总额</w:t>
            </w:r>
          </w:p>
        </w:tc>
        <w:tc>
          <w:tcPr>
            <w:tcW w:w="2891" w:type="dxa"/>
            <w:vAlign w:val="center"/>
          </w:tcPr>
          <w:p w14:paraId="3A7DABF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[1亿,5亿)</w:t>
            </w:r>
          </w:p>
        </w:tc>
        <w:tc>
          <w:tcPr>
            <w:tcW w:w="2551" w:type="dxa"/>
            <w:vAlign w:val="center"/>
          </w:tcPr>
          <w:p w14:paraId="5F2F96F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[2000万,3000万)</w:t>
            </w:r>
          </w:p>
        </w:tc>
      </w:tr>
      <w:tr w14:paraId="5CA7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continue"/>
            <w:vAlign w:val="center"/>
          </w:tcPr>
          <w:p w14:paraId="70DA8270">
            <w:pPr>
              <w:keepNext w:val="0"/>
              <w:keepLines w:val="0"/>
              <w:pageBreakBefore w:val="0"/>
              <w:kinsoku/>
              <w:wordWrap/>
              <w:overflowPunct/>
              <w:topLinePunct w:val="0"/>
              <w:autoSpaceDN/>
              <w:bidi w:val="0"/>
              <w:adjustRightInd/>
              <w:snapToGrid/>
              <w:spacing w:line="360" w:lineRule="auto"/>
              <w:ind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p>
        </w:tc>
        <w:tc>
          <w:tcPr>
            <w:tcW w:w="2041" w:type="dxa"/>
            <w:vAlign w:val="center"/>
          </w:tcPr>
          <w:p w14:paraId="0D14E43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所有者权益</w:t>
            </w:r>
          </w:p>
        </w:tc>
        <w:tc>
          <w:tcPr>
            <w:tcW w:w="2891" w:type="dxa"/>
            <w:vAlign w:val="center"/>
          </w:tcPr>
          <w:p w14:paraId="6D78B02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[1000万,5000万)</w:t>
            </w:r>
          </w:p>
        </w:tc>
        <w:tc>
          <w:tcPr>
            <w:tcW w:w="2551" w:type="dxa"/>
            <w:vAlign w:val="center"/>
          </w:tcPr>
          <w:p w14:paraId="20DD9F7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[300万,500万)</w:t>
            </w:r>
          </w:p>
        </w:tc>
      </w:tr>
      <w:tr w14:paraId="27F6C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restart"/>
            <w:vAlign w:val="center"/>
          </w:tcPr>
          <w:p w14:paraId="7254F14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利润表</w:t>
            </w:r>
          </w:p>
        </w:tc>
        <w:tc>
          <w:tcPr>
            <w:tcW w:w="2041" w:type="dxa"/>
            <w:vAlign w:val="center"/>
          </w:tcPr>
          <w:p w14:paraId="78E010A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营业总收入</w:t>
            </w:r>
          </w:p>
        </w:tc>
        <w:tc>
          <w:tcPr>
            <w:tcW w:w="2891" w:type="dxa"/>
            <w:vAlign w:val="center"/>
          </w:tcPr>
          <w:p w14:paraId="3A7A382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[7500万,1亿)</w:t>
            </w:r>
          </w:p>
        </w:tc>
        <w:tc>
          <w:tcPr>
            <w:tcW w:w="2551" w:type="dxa"/>
            <w:vAlign w:val="center"/>
          </w:tcPr>
          <w:p w14:paraId="47D4C25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[7500万,1亿)</w:t>
            </w:r>
          </w:p>
        </w:tc>
      </w:tr>
      <w:tr w14:paraId="28BC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continue"/>
            <w:vAlign w:val="center"/>
          </w:tcPr>
          <w:p w14:paraId="00628B12">
            <w:pPr>
              <w:keepNext w:val="0"/>
              <w:keepLines w:val="0"/>
              <w:pageBreakBefore w:val="0"/>
              <w:kinsoku/>
              <w:wordWrap/>
              <w:overflowPunct/>
              <w:topLinePunct w:val="0"/>
              <w:autoSpaceDN/>
              <w:bidi w:val="0"/>
              <w:adjustRightInd/>
              <w:snapToGrid/>
              <w:spacing w:line="360" w:lineRule="auto"/>
              <w:ind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p>
        </w:tc>
        <w:tc>
          <w:tcPr>
            <w:tcW w:w="2041" w:type="dxa"/>
            <w:vAlign w:val="center"/>
          </w:tcPr>
          <w:p w14:paraId="18DE271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主营业务收入</w:t>
            </w:r>
          </w:p>
        </w:tc>
        <w:tc>
          <w:tcPr>
            <w:tcW w:w="2891" w:type="dxa"/>
            <w:vAlign w:val="center"/>
          </w:tcPr>
          <w:p w14:paraId="070144F9">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[7500万,1亿)</w:t>
            </w:r>
          </w:p>
        </w:tc>
        <w:tc>
          <w:tcPr>
            <w:tcW w:w="2551" w:type="dxa"/>
            <w:vAlign w:val="center"/>
          </w:tcPr>
          <w:p w14:paraId="334D270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[7500万,1亿)</w:t>
            </w:r>
          </w:p>
        </w:tc>
      </w:tr>
      <w:tr w14:paraId="77CD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continue"/>
            <w:vAlign w:val="center"/>
          </w:tcPr>
          <w:p w14:paraId="5AB37571">
            <w:pPr>
              <w:keepNext w:val="0"/>
              <w:keepLines w:val="0"/>
              <w:pageBreakBefore w:val="0"/>
              <w:kinsoku/>
              <w:wordWrap/>
              <w:overflowPunct/>
              <w:topLinePunct w:val="0"/>
              <w:autoSpaceDN/>
              <w:bidi w:val="0"/>
              <w:adjustRightInd/>
              <w:snapToGrid/>
              <w:spacing w:line="360" w:lineRule="auto"/>
              <w:ind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p>
        </w:tc>
        <w:tc>
          <w:tcPr>
            <w:tcW w:w="2041" w:type="dxa"/>
            <w:vAlign w:val="center"/>
          </w:tcPr>
          <w:p w14:paraId="09331C2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纳税总额</w:t>
            </w:r>
          </w:p>
        </w:tc>
        <w:tc>
          <w:tcPr>
            <w:tcW w:w="2891" w:type="dxa"/>
            <w:vAlign w:val="center"/>
          </w:tcPr>
          <w:p w14:paraId="0B9D414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[500万,1000万)</w:t>
            </w:r>
          </w:p>
        </w:tc>
        <w:tc>
          <w:tcPr>
            <w:tcW w:w="2551" w:type="dxa"/>
            <w:vAlign w:val="center"/>
          </w:tcPr>
          <w:p w14:paraId="1BA900F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[500万,1000万)</w:t>
            </w:r>
          </w:p>
        </w:tc>
      </w:tr>
      <w:tr w14:paraId="648E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continue"/>
            <w:vAlign w:val="center"/>
          </w:tcPr>
          <w:p w14:paraId="74995EBA">
            <w:pPr>
              <w:keepNext w:val="0"/>
              <w:keepLines w:val="0"/>
              <w:pageBreakBefore w:val="0"/>
              <w:kinsoku/>
              <w:wordWrap/>
              <w:overflowPunct/>
              <w:topLinePunct w:val="0"/>
              <w:autoSpaceDN/>
              <w:bidi w:val="0"/>
              <w:adjustRightInd/>
              <w:snapToGrid/>
              <w:spacing w:line="360" w:lineRule="auto"/>
              <w:ind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p>
        </w:tc>
        <w:tc>
          <w:tcPr>
            <w:tcW w:w="2041" w:type="dxa"/>
            <w:vAlign w:val="center"/>
          </w:tcPr>
          <w:p w14:paraId="2829A33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利润总额</w:t>
            </w:r>
          </w:p>
        </w:tc>
        <w:tc>
          <w:tcPr>
            <w:tcW w:w="2891" w:type="dxa"/>
            <w:vAlign w:val="center"/>
          </w:tcPr>
          <w:p w14:paraId="2A0C7C9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[750万,1000万)</w:t>
            </w:r>
          </w:p>
        </w:tc>
        <w:tc>
          <w:tcPr>
            <w:tcW w:w="2551" w:type="dxa"/>
            <w:vAlign w:val="center"/>
          </w:tcPr>
          <w:p w14:paraId="6C083BA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[1000万,1500万)</w:t>
            </w:r>
          </w:p>
        </w:tc>
      </w:tr>
      <w:tr w14:paraId="1057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continue"/>
            <w:vAlign w:val="center"/>
          </w:tcPr>
          <w:p w14:paraId="5013770F">
            <w:pPr>
              <w:keepNext w:val="0"/>
              <w:keepLines w:val="0"/>
              <w:pageBreakBefore w:val="0"/>
              <w:kinsoku/>
              <w:wordWrap/>
              <w:overflowPunct/>
              <w:topLinePunct w:val="0"/>
              <w:autoSpaceDN/>
              <w:bidi w:val="0"/>
              <w:adjustRightInd/>
              <w:snapToGrid/>
              <w:spacing w:line="360" w:lineRule="auto"/>
              <w:ind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p>
        </w:tc>
        <w:tc>
          <w:tcPr>
            <w:tcW w:w="2041" w:type="dxa"/>
            <w:vAlign w:val="center"/>
          </w:tcPr>
          <w:p w14:paraId="63BC34D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净利润</w:t>
            </w:r>
          </w:p>
        </w:tc>
        <w:tc>
          <w:tcPr>
            <w:tcW w:w="2891" w:type="dxa"/>
            <w:vAlign w:val="center"/>
          </w:tcPr>
          <w:p w14:paraId="5233DB7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[750万,1000万)</w:t>
            </w:r>
          </w:p>
        </w:tc>
        <w:tc>
          <w:tcPr>
            <w:tcW w:w="2551" w:type="dxa"/>
            <w:vAlign w:val="center"/>
          </w:tcPr>
          <w:p w14:paraId="666937F9">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[1000万,1500万)</w:t>
            </w:r>
          </w:p>
        </w:tc>
      </w:tr>
      <w:tr w14:paraId="32D95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restart"/>
            <w:vAlign w:val="center"/>
          </w:tcPr>
          <w:p w14:paraId="5997543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其他指标</w:t>
            </w:r>
          </w:p>
        </w:tc>
        <w:tc>
          <w:tcPr>
            <w:tcW w:w="2041" w:type="dxa"/>
            <w:vAlign w:val="center"/>
          </w:tcPr>
          <w:p w14:paraId="105C1FC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资产负债率（%）</w:t>
            </w:r>
          </w:p>
        </w:tc>
        <w:tc>
          <w:tcPr>
            <w:tcW w:w="2891" w:type="dxa"/>
            <w:vAlign w:val="center"/>
          </w:tcPr>
          <w:p w14:paraId="4F9D751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75.00</w:t>
            </w:r>
          </w:p>
        </w:tc>
        <w:tc>
          <w:tcPr>
            <w:tcW w:w="2551" w:type="dxa"/>
            <w:vAlign w:val="center"/>
          </w:tcPr>
          <w:p w14:paraId="6EFEDCF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62.50</w:t>
            </w:r>
          </w:p>
        </w:tc>
      </w:tr>
      <w:tr w14:paraId="281D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continue"/>
            <w:vAlign w:val="center"/>
          </w:tcPr>
          <w:p w14:paraId="20B69342">
            <w:pPr>
              <w:keepNext w:val="0"/>
              <w:keepLines w:val="0"/>
              <w:pageBreakBefore w:val="0"/>
              <w:kinsoku/>
              <w:wordWrap/>
              <w:overflowPunct/>
              <w:topLinePunct w:val="0"/>
              <w:autoSpaceDN/>
              <w:bidi w:val="0"/>
              <w:adjustRightInd/>
              <w:snapToGrid/>
              <w:spacing w:line="360" w:lineRule="auto"/>
              <w:ind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p>
        </w:tc>
        <w:tc>
          <w:tcPr>
            <w:tcW w:w="2041" w:type="dxa"/>
            <w:vAlign w:val="center"/>
          </w:tcPr>
          <w:p w14:paraId="5335B52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毛利率（%）</w:t>
            </w:r>
          </w:p>
        </w:tc>
        <w:tc>
          <w:tcPr>
            <w:tcW w:w="2891" w:type="dxa"/>
            <w:vAlign w:val="center"/>
          </w:tcPr>
          <w:p w14:paraId="0531326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10.00</w:t>
            </w:r>
          </w:p>
        </w:tc>
        <w:tc>
          <w:tcPr>
            <w:tcW w:w="2551" w:type="dxa"/>
            <w:vAlign w:val="center"/>
          </w:tcPr>
          <w:p w14:paraId="13E5B94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14.29</w:t>
            </w:r>
          </w:p>
        </w:tc>
      </w:tr>
      <w:tr w14:paraId="4365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Merge w:val="continue"/>
            <w:vAlign w:val="center"/>
          </w:tcPr>
          <w:p w14:paraId="76A45C0B">
            <w:pPr>
              <w:keepNext w:val="0"/>
              <w:keepLines w:val="0"/>
              <w:pageBreakBefore w:val="0"/>
              <w:kinsoku/>
              <w:wordWrap/>
              <w:overflowPunct/>
              <w:topLinePunct w:val="0"/>
              <w:autoSpaceDN/>
              <w:bidi w:val="0"/>
              <w:adjustRightInd/>
              <w:snapToGrid/>
              <w:spacing w:line="360" w:lineRule="auto"/>
              <w:ind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p>
        </w:tc>
        <w:tc>
          <w:tcPr>
            <w:tcW w:w="2041" w:type="dxa"/>
            <w:vAlign w:val="center"/>
          </w:tcPr>
          <w:p w14:paraId="69616B8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员工数量（人）</w:t>
            </w:r>
          </w:p>
        </w:tc>
        <w:tc>
          <w:tcPr>
            <w:tcW w:w="2891" w:type="dxa"/>
            <w:vAlign w:val="center"/>
          </w:tcPr>
          <w:p w14:paraId="2E5B77E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[100,149]</w:t>
            </w:r>
          </w:p>
        </w:tc>
        <w:tc>
          <w:tcPr>
            <w:tcW w:w="2551" w:type="dxa"/>
            <w:vAlign w:val="center"/>
          </w:tcPr>
          <w:p w14:paraId="5EE1B34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360" w:firstLineChars="200"/>
              <w:jc w:val="center"/>
              <w:textAlignment w:val="auto"/>
              <w:rPr>
                <w:rFonts w:hint="eastAsia" w:ascii="方正仿宋_GB2312" w:hAnsi="方正仿宋_GB2312" w:eastAsia="方正仿宋_GB2312" w:cs="方正仿宋_GB2312"/>
                <w:i w:val="0"/>
                <w:caps w:val="0"/>
                <w:spacing w:val="0"/>
                <w:kern w:val="2"/>
                <w:sz w:val="18"/>
                <w:szCs w:val="18"/>
                <w:highlight w:val="none"/>
                <w:lang w:val="en-US" w:eastAsia="zh-CN" w:bidi="ar-SA"/>
              </w:rPr>
            </w:pPr>
            <w:r>
              <w:rPr>
                <w:rFonts w:hint="eastAsia" w:ascii="方正仿宋_GB2312" w:hAnsi="方正仿宋_GB2312" w:eastAsia="方正仿宋_GB2312" w:cs="方正仿宋_GB2312"/>
                <w:i w:val="0"/>
                <w:caps w:val="0"/>
                <w:spacing w:val="0"/>
                <w:kern w:val="0"/>
                <w:sz w:val="18"/>
                <w:szCs w:val="18"/>
                <w:highlight w:val="none"/>
                <w:lang w:val="en-US" w:eastAsia="zh-CN" w:bidi="ar"/>
              </w:rPr>
              <w:t>[100,149]</w:t>
            </w:r>
          </w:p>
        </w:tc>
      </w:tr>
    </w:tbl>
    <w:p w14:paraId="71ACEADB">
      <w:pPr>
        <w:keepNext w:val="0"/>
        <w:keepLines w:val="0"/>
        <w:pageBreakBefore w:val="0"/>
        <w:numPr>
          <w:ilvl w:val="0"/>
          <w:numId w:val="0"/>
        </w:numPr>
        <w:kinsoku/>
        <w:wordWrap/>
        <w:overflowPunct/>
        <w:topLinePunct w:val="0"/>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p>
    <w:p w14:paraId="456883F6">
      <w:pPr>
        <w:keepNext w:val="0"/>
        <w:keepLines w:val="0"/>
        <w:pageBreakBefore w:val="0"/>
        <w:numPr>
          <w:ilvl w:val="0"/>
          <w:numId w:val="2"/>
        </w:numPr>
        <w:kinsoku/>
        <w:wordWrap/>
        <w:overflowPunct/>
        <w:topLinePunct w:val="0"/>
        <w:autoSpaceDN/>
        <w:bidi w:val="0"/>
        <w:adjustRightInd/>
        <w:snapToGrid/>
        <w:spacing w:line="360" w:lineRule="auto"/>
        <w:ind w:left="0"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盈利结构</w:t>
      </w:r>
    </w:p>
    <w:p w14:paraId="0EA95018">
      <w:pPr>
        <w:keepNext w:val="0"/>
        <w:keepLines w:val="0"/>
        <w:pageBreakBefore w:val="0"/>
        <w:numPr>
          <w:ilvl w:val="0"/>
          <w:numId w:val="3"/>
        </w:numPr>
        <w:kinsoku/>
        <w:wordWrap/>
        <w:overflowPunct/>
        <w:topLinePunct w:val="0"/>
        <w:autoSpaceDN/>
        <w:bidi w:val="0"/>
        <w:adjustRightInd/>
        <w:snapToGrid/>
        <w:spacing w:line="360" w:lineRule="auto"/>
        <w:ind w:left="845" w:leftChars="0" w:hanging="425"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模具设计与制造​</w:t>
      </w:r>
    </w:p>
    <w:p w14:paraId="12BEB8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高附加值业务：模具行业技术门槛高，客户对精度和交期要求严格，毛利率通常在**25%-40%**之间（行业平均水平）。</w:t>
      </w:r>
    </w:p>
    <w:p w14:paraId="45519E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核心竞争力：拥有进口设备（如牧野、沙迪克）、快速开发能力（2-6周周期），可承接高端精密模具订单，服务于汽车、医疗等领域头部客户（如松下、安费诺飞凤）。</w:t>
      </w:r>
    </w:p>
    <w:p w14:paraId="66810702">
      <w:pPr>
        <w:keepNext w:val="0"/>
        <w:keepLines w:val="0"/>
        <w:pageBreakBefore w:val="0"/>
        <w:numPr>
          <w:ilvl w:val="0"/>
          <w:numId w:val="3"/>
        </w:numPr>
        <w:kinsoku/>
        <w:wordWrap/>
        <w:overflowPunct/>
        <w:topLinePunct w:val="0"/>
        <w:autoSpaceDN/>
        <w:bidi w:val="0"/>
        <w:adjustRightInd/>
        <w:snapToGrid/>
        <w:spacing w:line="360" w:lineRule="auto"/>
        <w:ind w:left="0" w:leftChars="0" w:firstLine="420"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注塑加工​</w:t>
      </w:r>
    </w:p>
    <w:p w14:paraId="1A807D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规模化生产：96台注塑机（最大吨位800T）的产能支持大规模订单，规模效应显著。</w:t>
      </w:r>
    </w:p>
    <w:p w14:paraId="063DAB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客户黏性：为汽车、家电等行业客户提供精密零部件（如充电枪壳体），通过IATF16949等认证，利润率约**15%-25%**​（行业平均）。</w:t>
      </w:r>
    </w:p>
    <w:p w14:paraId="7164DF8D">
      <w:pPr>
        <w:keepNext w:val="0"/>
        <w:keepLines w:val="0"/>
        <w:pageBreakBefore w:val="0"/>
        <w:numPr>
          <w:ilvl w:val="0"/>
          <w:numId w:val="3"/>
        </w:numPr>
        <w:kinsoku/>
        <w:wordWrap/>
        <w:overflowPunct/>
        <w:topLinePunct w:val="0"/>
        <w:autoSpaceDN/>
        <w:bidi w:val="0"/>
        <w:adjustRightInd/>
        <w:snapToGrid/>
        <w:spacing w:line="360" w:lineRule="auto"/>
        <w:ind w:left="-62" w:leftChars="0" w:firstLine="482"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电子元器件及仪器仪表​</w:t>
      </w:r>
    </w:p>
    <w:p w14:paraId="0ECD77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技术依赖型业务：电力电子元器件、光学仪器等领域需研发投入，但若进入核心供应链（如医疗设备、通信设备），可获较高溢价，毛利率可能达30%-50%。</w:t>
      </w:r>
    </w:p>
    <w:p w14:paraId="3F62088C">
      <w:pPr>
        <w:keepNext w:val="0"/>
        <w:keepLines w:val="0"/>
        <w:pageBreakBefore w:val="0"/>
        <w:numPr>
          <w:ilvl w:val="0"/>
          <w:numId w:val="3"/>
        </w:numPr>
        <w:kinsoku/>
        <w:wordWrap/>
        <w:overflowPunct/>
        <w:topLinePunct w:val="0"/>
        <w:autoSpaceDN/>
        <w:bidi w:val="0"/>
        <w:adjustRightInd/>
        <w:snapToGrid/>
        <w:spacing w:line="360" w:lineRule="auto"/>
        <w:ind w:left="-62" w:leftChars="0" w:firstLine="482"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汽车零部件​</w:t>
      </w:r>
    </w:p>
    <w:p w14:paraId="7B2C61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认证壁垒带来的稳定性：通过IATF16949等国际认证，与车企合作紧密（如新能源汽车充电枪壳体），长期订单占比高，利润率约20%-35%。</w:t>
      </w:r>
    </w:p>
    <w:p w14:paraId="3E5385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总结：</w:t>
      </w:r>
    </w:p>
    <w:p w14:paraId="549459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综合毛利率预计在**20%-30%**之间（制造业平均水平），高于普通代工厂，低于纯研发型企业；现金流稳定：模具业务预付款比例高，注塑加工和汽车零部件订单周期长，现金流相对健康。电子元器件、工业自动化等领域的研发投入可能压缩短期利润，但长期看有助于提升竞争力。</w:t>
      </w:r>
    </w:p>
    <w:p w14:paraId="00D557E6">
      <w:pPr>
        <w:keepNext w:val="0"/>
        <w:keepLines w:val="0"/>
        <w:pageBreakBefore w:val="0"/>
        <w:numPr>
          <w:ilvl w:val="0"/>
          <w:numId w:val="2"/>
        </w:numPr>
        <w:kinsoku/>
        <w:wordWrap/>
        <w:overflowPunct/>
        <w:topLinePunct w:val="0"/>
        <w:autoSpaceDN/>
        <w:bidi w:val="0"/>
        <w:adjustRightInd/>
        <w:snapToGrid/>
        <w:spacing w:line="360" w:lineRule="auto"/>
        <w:ind w:left="0"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与金融机构合作情况</w:t>
      </w:r>
    </w:p>
    <w:p w14:paraId="5F867B0E">
      <w:pPr>
        <w:keepNext w:val="0"/>
        <w:keepLines w:val="0"/>
        <w:pageBreakBefore w:val="0"/>
        <w:numPr>
          <w:ilvl w:val="0"/>
          <w:numId w:val="0"/>
        </w:numPr>
        <w:kinsoku/>
        <w:wordWrap/>
        <w:overflowPunct/>
        <w:topLinePunct w:val="0"/>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根据公开信息，杭州市中好电子有限公司与金融机构的合作主要集中在杭州联合银行，具体业务合作包括以下方面：</w:t>
      </w:r>
    </w:p>
    <w:p w14:paraId="10BD8303">
      <w:pPr>
        <w:keepNext w:val="0"/>
        <w:keepLines w:val="0"/>
        <w:pageBreakBefore w:val="0"/>
        <w:numPr>
          <w:ilvl w:val="0"/>
          <w:numId w:val="4"/>
        </w:numPr>
        <w:kinsoku/>
        <w:wordWrap/>
        <w:overflowPunct/>
        <w:topLinePunct w:val="0"/>
        <w:autoSpaceDN/>
        <w:bidi w:val="0"/>
        <w:adjustRightInd/>
        <w:snapToGrid/>
        <w:spacing w:line="360" w:lineRule="auto"/>
        <w:ind w:left="-62" w:leftChars="0" w:firstLine="482"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长期信贷支持</w:t>
      </w:r>
    </w:p>
    <w:p w14:paraId="7A9073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自2014年起，杭州联合银行九堡支行与中好电子建立合作关系，从首次授信300万元逐步提升至2023年的1000万元，持续支持企业设备升级和研发投入。</w:t>
      </w:r>
    </w:p>
    <w:p w14:paraId="44E17FC3">
      <w:pPr>
        <w:keepNext w:val="0"/>
        <w:keepLines w:val="0"/>
        <w:pageBreakBefore w:val="0"/>
        <w:numPr>
          <w:ilvl w:val="0"/>
          <w:numId w:val="4"/>
        </w:numPr>
        <w:kinsoku/>
        <w:wordWrap/>
        <w:overflowPunct/>
        <w:topLinePunct w:val="0"/>
        <w:autoSpaceDN/>
        <w:bidi w:val="0"/>
        <w:adjustRightInd/>
        <w:snapToGrid/>
        <w:spacing w:line="360" w:lineRule="auto"/>
        <w:ind w:left="-62" w:leftChars="0" w:firstLine="482"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抗疫专项金融产品</w:t>
      </w:r>
    </w:p>
    <w:p w14:paraId="381DB5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2020年新冠疫情初期，杭州联合银行为中好电子提供“复工贷”“生产贷”等创新产品，结合商票贴现解决企业设备租赁资金需求，并作为钱塘区首批复工企业快速获得支持。</w:t>
      </w:r>
    </w:p>
    <w:p w14:paraId="6E6D6480">
      <w:pPr>
        <w:keepNext w:val="0"/>
        <w:keepLines w:val="0"/>
        <w:pageBreakBefore w:val="0"/>
        <w:numPr>
          <w:ilvl w:val="0"/>
          <w:numId w:val="4"/>
        </w:numPr>
        <w:kinsoku/>
        <w:wordWrap/>
        <w:overflowPunct/>
        <w:topLinePunct w:val="0"/>
        <w:autoSpaceDN/>
        <w:bidi w:val="0"/>
        <w:adjustRightInd/>
        <w:snapToGrid/>
        <w:spacing w:line="360" w:lineRule="auto"/>
        <w:ind w:left="-62" w:leftChars="0" w:firstLine="482"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关税保函快速办理</w:t>
      </w:r>
    </w:p>
    <w:p w14:paraId="6E487C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2021年因海关政策调整，中好电子需紧急开具关税保函。杭州联合银行承诺7天内完成，最终仅用1周完成150万元增量授信及保函出具，减少企业流动性压力。</w:t>
      </w:r>
    </w:p>
    <w:p w14:paraId="20D3A81F">
      <w:pPr>
        <w:keepNext w:val="0"/>
        <w:keepLines w:val="0"/>
        <w:pageBreakBefore w:val="0"/>
        <w:numPr>
          <w:ilvl w:val="0"/>
          <w:numId w:val="1"/>
        </w:numPr>
        <w:kinsoku/>
        <w:wordWrap/>
        <w:overflowPunct/>
        <w:topLinePunct w:val="0"/>
        <w:autoSpaceDN/>
        <w:bidi w:val="0"/>
        <w:adjustRightInd/>
        <w:snapToGrid/>
        <w:spacing w:line="360" w:lineRule="auto"/>
        <w:ind w:left="-420" w:leftChars="0" w:firstLine="480" w:firstLineChars="200"/>
        <w:jc w:val="left"/>
        <w:textAlignment w:val="auto"/>
        <w:rPr>
          <w:rFonts w:hint="eastAsia" w:ascii="方正仿宋_GB2312" w:hAnsi="方正仿宋_GB2312" w:eastAsia="方正仿宋_GB2312" w:cs="方正仿宋_GB2312"/>
          <w:sz w:val="24"/>
          <w:szCs w:val="32"/>
          <w:highlight w:val="none"/>
          <w:lang w:val="en-US" w:eastAsia="zh-CN"/>
        </w:rPr>
      </w:pPr>
      <w:r>
        <w:rPr>
          <w:rFonts w:hint="eastAsia" w:ascii="方正仿宋_GB2312" w:hAnsi="方正仿宋_GB2312" w:eastAsia="方正仿宋_GB2312" w:cs="方正仿宋_GB2312"/>
          <w:sz w:val="24"/>
          <w:szCs w:val="32"/>
          <w:highlight w:val="none"/>
          <w:lang w:val="en-US" w:eastAsia="zh-CN"/>
        </w:rPr>
        <w:t>专业话题及回答</w:t>
      </w:r>
    </w:p>
    <w:p w14:paraId="1E83BD89">
      <w:pPr>
        <w:keepNext w:val="0"/>
        <w:keepLines w:val="0"/>
        <w:pageBreakBefore w:val="0"/>
        <w:numPr>
          <w:ilvl w:val="0"/>
          <w:numId w:val="5"/>
        </w:numPr>
        <w:kinsoku/>
        <w:wordWrap/>
        <w:overflowPunct/>
        <w:topLinePunct w:val="0"/>
        <w:autoSpaceDN/>
        <w:bidi w:val="0"/>
        <w:adjustRightInd/>
        <w:snapToGrid/>
        <w:spacing w:line="360" w:lineRule="auto"/>
        <w:ind w:leftChars="0" w:firstLine="422" w:firstLineChars="200"/>
        <w:jc w:val="left"/>
        <w:textAlignment w:val="auto"/>
        <w:rPr>
          <w:rFonts w:hint="eastAsia" w:ascii="方正仿宋_GB2312" w:hAnsi="方正仿宋_GB2312" w:eastAsia="方正仿宋_GB2312" w:cs="方正仿宋_GB2312"/>
          <w:b/>
          <w:bCs/>
          <w:highlight w:val="none"/>
          <w:lang w:val="en-US" w:eastAsia="zh-CN"/>
        </w:rPr>
      </w:pPr>
      <w:r>
        <w:rPr>
          <w:rFonts w:hint="eastAsia" w:ascii="方正仿宋_GB2312" w:hAnsi="方正仿宋_GB2312" w:eastAsia="方正仿宋_GB2312" w:cs="方正仿宋_GB2312"/>
          <w:b/>
          <w:bCs/>
          <w:highlight w:val="none"/>
          <w:lang w:val="en-US" w:eastAsia="zh-CN"/>
        </w:rPr>
        <w:t>基础信息与背景</w:t>
      </w:r>
    </w:p>
    <w:p w14:paraId="623E54AE">
      <w:pPr>
        <w:keepNext w:val="0"/>
        <w:keepLines w:val="0"/>
        <w:pageBreakBefore w:val="0"/>
        <w:numPr>
          <w:ilvl w:val="0"/>
          <w:numId w:val="6"/>
        </w:numPr>
        <w:kinsoku/>
        <w:wordWrap/>
        <w:overflowPunct/>
        <w:topLinePunct w:val="0"/>
        <w:autoSpaceDN/>
        <w:bidi w:val="0"/>
        <w:adjustRightInd/>
        <w:snapToGrid/>
        <w:spacing w:line="360" w:lineRule="auto"/>
        <w:ind w:left="420" w:leftChars="0" w:hanging="420"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b/>
          <w:bCs/>
          <w:highlight w:val="none"/>
          <w:lang w:val="en-US" w:eastAsia="zh-CN"/>
        </w:rPr>
        <w:t>公司为何从杭州中好电子有限公司更名为中好智造？</w:t>
      </w:r>
    </w:p>
    <w:p w14:paraId="4402EF89">
      <w:pPr>
        <w:keepNext w:val="0"/>
        <w:keepLines w:val="0"/>
        <w:pageBreakBefore w:val="0"/>
        <w:numPr>
          <w:ilvl w:val="0"/>
          <w:numId w:val="0"/>
        </w:numPr>
        <w:kinsoku/>
        <w:wordWrap/>
        <w:overflowPunct/>
        <w:topLinePunct w:val="0"/>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杭州中好电子有限公司更名为“杭州中好智能制造有限公司”（2024年5月完成变更</w:t>
      </w:r>
    </w:p>
    <w:p w14:paraId="2F7E9D4E">
      <w:pPr>
        <w:keepNext w:val="0"/>
        <w:keepLines w:val="0"/>
        <w:pageBreakBefore w:val="0"/>
        <w:numPr>
          <w:ilvl w:val="0"/>
          <w:numId w:val="0"/>
        </w:numPr>
        <w:kinsoku/>
        <w:wordWrap/>
        <w:overflowPunct/>
        <w:topLinePunct w:val="0"/>
        <w:autoSpaceDN/>
        <w:bidi w:val="0"/>
        <w:adjustRightInd/>
        <w:snapToGrid/>
        <w:spacing w:line="360" w:lineRule="auto"/>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这一调整可从以下几个角度分析其背后逻辑：</w:t>
      </w:r>
    </w:p>
    <w:p w14:paraId="7C2EADAB">
      <w:pPr>
        <w:keepNext w:val="0"/>
        <w:keepLines w:val="0"/>
        <w:pageBreakBefore w:val="0"/>
        <w:numPr>
          <w:ilvl w:val="0"/>
          <w:numId w:val="7"/>
        </w:numPr>
        <w:kinsoku/>
        <w:wordWrap/>
        <w:overflowPunct/>
        <w:topLinePunct w:val="0"/>
        <w:autoSpaceDN/>
        <w:bidi w:val="0"/>
        <w:adjustRightInd/>
        <w:snapToGrid/>
        <w:spacing w:line="360" w:lineRule="auto"/>
        <w:ind w:left="-482" w:leftChars="0" w:firstLine="482"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业务战略升级：公司早期以IT配件代工为主（如手机镜片模具），后逐步拓展至汽车零部件、医疗设备、半导体封装等领域。更名“智造”凸显其对智能化生产体系的投入，例如：引进工业机器人、物联网设备优化生产线；投资研发工业软件（如MES系统）实现数字化管理；2023年新增“热食类食品制售”业务，尝试构建“智能制造+服务”生态链。浙江省近年推动“中国制造2025”试点示范城市建设，鼓励企业向高端化、智能化、绿色化方向升级。更名符合地方产业政策导向，便于申请政府技改补贴或专项扶持。</w:t>
      </w:r>
    </w:p>
    <w:p w14:paraId="3AFEDB3D">
      <w:pPr>
        <w:keepNext w:val="0"/>
        <w:keepLines w:val="0"/>
        <w:pageBreakBefore w:val="0"/>
        <w:numPr>
          <w:ilvl w:val="0"/>
          <w:numId w:val="7"/>
        </w:numPr>
        <w:kinsoku/>
        <w:wordWrap/>
        <w:overflowPunct/>
        <w:topLinePunct w:val="0"/>
        <w:autoSpaceDN/>
        <w:bidi w:val="0"/>
        <w:adjustRightInd/>
        <w:snapToGrid/>
        <w:spacing w:line="360" w:lineRule="auto"/>
        <w:ind w:left="-482" w:leftChars="0" w:firstLine="482"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品牌价值重塑强：公司拥有46项专利（含发明专利12项）、IATF 16949汽车质量管理体系认证，更名“智造”意在突出核心技术能力，而非单纯的“加工”属性，以区别于传统代工厂。</w:t>
      </w:r>
    </w:p>
    <w:p w14:paraId="13FB61CB">
      <w:pPr>
        <w:keepNext w:val="0"/>
        <w:keepLines w:val="0"/>
        <w:pageBreakBefore w:val="0"/>
        <w:numPr>
          <w:ilvl w:val="0"/>
          <w:numId w:val="7"/>
        </w:numPr>
        <w:kinsoku/>
        <w:wordWrap/>
        <w:overflowPunct/>
        <w:topLinePunct w:val="0"/>
        <w:autoSpaceDN/>
        <w:bidi w:val="0"/>
        <w:adjustRightInd/>
        <w:snapToGrid/>
        <w:spacing w:line="360" w:lineRule="auto"/>
        <w:ind w:left="-482" w:leftChars="0" w:firstLine="482"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应对行业竞争：中国制造业面临成本上升和技术壁垒的双重压力，更名“智造”可塑造高端品牌形象，规避与东南亚低成本企业的同质化竞争。在医疗设备（如ECMO人工肺部件）、半导体封装材料等领域，智能化生产是核心竞争力。更名后能更清晰传递“高附加值、高精度制造”的定位。</w:t>
      </w:r>
    </w:p>
    <w:p w14:paraId="1E6FDD09">
      <w:pPr>
        <w:keepNext w:val="0"/>
        <w:keepLines w:val="0"/>
        <w:pageBreakBefore w:val="0"/>
        <w:numPr>
          <w:ilvl w:val="0"/>
          <w:numId w:val="8"/>
        </w:numPr>
        <w:kinsoku/>
        <w:wordWrap/>
        <w:overflowPunct/>
        <w:topLinePunct w:val="0"/>
        <w:autoSpaceDN/>
        <w:bidi w:val="0"/>
        <w:adjustRightInd/>
        <w:snapToGrid/>
        <w:spacing w:line="360" w:lineRule="auto"/>
        <w:ind w:left="420" w:leftChars="0" w:hanging="420" w:firstLineChars="0"/>
        <w:jc w:val="left"/>
        <w:textAlignment w:val="auto"/>
        <w:rPr>
          <w:rFonts w:hint="eastAsia" w:ascii="方正仿宋_GB2312" w:hAnsi="方正仿宋_GB2312" w:eastAsia="方正仿宋_GB2312" w:cs="方正仿宋_GB2312"/>
          <w:b/>
          <w:bCs/>
          <w:highlight w:val="none"/>
          <w:lang w:val="en-US" w:eastAsia="zh-CN"/>
        </w:rPr>
      </w:pPr>
      <w:r>
        <w:rPr>
          <w:rFonts w:hint="eastAsia" w:ascii="方正仿宋_GB2312" w:hAnsi="方正仿宋_GB2312" w:eastAsia="方正仿宋_GB2312" w:cs="方正仿宋_GB2312"/>
          <w:b/>
          <w:bCs/>
          <w:highlight w:val="none"/>
          <w:lang w:val="en-US" w:eastAsia="zh-CN"/>
        </w:rPr>
        <w:t>杭州中好智造有限公司的股权结构如何？</w:t>
      </w:r>
    </w:p>
    <w:p w14:paraId="11EC498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方正仿宋_GB2312" w:hAnsi="方正仿宋_GB2312" w:eastAsia="方正仿宋_GB2312" w:cs="方正仿宋_GB2312"/>
          <w:b w:val="0"/>
          <w:bCs w:val="0"/>
          <w:highlight w:val="none"/>
          <w:lang w:val="en-US" w:eastAsia="zh-CN"/>
        </w:rPr>
      </w:pPr>
      <w:r>
        <w:rPr>
          <w:rFonts w:hint="eastAsia" w:ascii="方正仿宋_GB2312" w:hAnsi="方正仿宋_GB2312" w:eastAsia="方正仿宋_GB2312" w:cs="方正仿宋_GB2312"/>
          <w:b w:val="0"/>
          <w:bCs w:val="0"/>
          <w:highlight w:val="none"/>
          <w:lang w:val="en-US" w:eastAsia="zh-CN"/>
        </w:rPr>
        <w:t>控股人背景</w:t>
      </w:r>
    </w:p>
    <w:p w14:paraId="0B305E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b w:val="0"/>
          <w:bCs w:val="0"/>
          <w:highlight w:val="none"/>
          <w:lang w:val="en-US" w:eastAsia="zh-CN"/>
        </w:rPr>
      </w:pPr>
      <w:r>
        <w:rPr>
          <w:rFonts w:hint="eastAsia" w:ascii="方正仿宋_GB2312" w:hAnsi="方正仿宋_GB2312" w:eastAsia="方正仿宋_GB2312" w:cs="方正仿宋_GB2312"/>
          <w:b w:val="0"/>
          <w:bCs w:val="0"/>
          <w:highlight w:val="none"/>
          <w:lang w:val="en-US" w:eastAsia="zh-CN"/>
        </w:rPr>
        <w:t>实际控制人：裴晓玲（加拿大籍），通过境外控股平台（如中好智能集团）100%直接持有公司股权。外资独资企业（实缴资本130万美元，2025年数据），无国内自然人股东。</w:t>
      </w:r>
    </w:p>
    <w:p w14:paraId="30902BA9">
      <w:pPr>
        <w:keepNext w:val="0"/>
        <w:keepLines w:val="0"/>
        <w:pageBreakBefore w:val="0"/>
        <w:numPr>
          <w:ilvl w:val="0"/>
          <w:numId w:val="5"/>
        </w:numPr>
        <w:kinsoku/>
        <w:wordWrap/>
        <w:overflowPunct/>
        <w:topLinePunct w:val="0"/>
        <w:autoSpaceDN/>
        <w:bidi w:val="0"/>
        <w:adjustRightInd/>
        <w:snapToGrid/>
        <w:spacing w:line="360" w:lineRule="auto"/>
        <w:ind w:left="0" w:leftChars="0" w:firstLine="422" w:firstLineChars="200"/>
        <w:jc w:val="left"/>
        <w:textAlignment w:val="auto"/>
        <w:rPr>
          <w:rFonts w:hint="eastAsia" w:ascii="方正仿宋_GB2312" w:hAnsi="方正仿宋_GB2312" w:eastAsia="方正仿宋_GB2312" w:cs="方正仿宋_GB2312"/>
          <w:b/>
          <w:bCs/>
          <w:highlight w:val="none"/>
          <w:lang w:val="en-US" w:eastAsia="zh-CN"/>
        </w:rPr>
      </w:pPr>
      <w:r>
        <w:rPr>
          <w:rFonts w:hint="eastAsia" w:ascii="方正仿宋_GB2312" w:hAnsi="方正仿宋_GB2312" w:eastAsia="方正仿宋_GB2312" w:cs="方正仿宋_GB2312"/>
          <w:b/>
          <w:bCs/>
          <w:highlight w:val="none"/>
          <w:lang w:val="en-US" w:eastAsia="zh-CN"/>
        </w:rPr>
        <w:t>主营业务与技术实力</w:t>
      </w:r>
    </w:p>
    <w:p w14:paraId="4788C918">
      <w:pPr>
        <w:keepNext w:val="0"/>
        <w:keepLines w:val="0"/>
        <w:pageBreakBefore w:val="0"/>
        <w:numPr>
          <w:ilvl w:val="0"/>
          <w:numId w:val="10"/>
        </w:numPr>
        <w:kinsoku/>
        <w:wordWrap/>
        <w:overflowPunct/>
        <w:topLinePunct w:val="0"/>
        <w:autoSpaceDN/>
        <w:bidi w:val="0"/>
        <w:adjustRightInd/>
        <w:snapToGrid/>
        <w:spacing w:line="360" w:lineRule="auto"/>
        <w:ind w:left="420" w:leftChars="0" w:hanging="420" w:firstLineChars="0"/>
        <w:jc w:val="left"/>
        <w:textAlignment w:val="auto"/>
        <w:rPr>
          <w:rFonts w:hint="eastAsia" w:ascii="方正仿宋_GB2312" w:hAnsi="方正仿宋_GB2312" w:eastAsia="方正仿宋_GB2312" w:cs="方正仿宋_GB2312"/>
          <w:b/>
          <w:bCs/>
          <w:i w:val="0"/>
          <w:iCs w:val="0"/>
          <w:caps w:val="0"/>
          <w:spacing w:val="0"/>
          <w:sz w:val="19"/>
          <w:szCs w:val="19"/>
          <w:highlight w:val="none"/>
          <w:shd w:val="clear" w:fill="FCFCFC"/>
        </w:rPr>
      </w:pPr>
      <w:r>
        <w:rPr>
          <w:rFonts w:hint="eastAsia" w:ascii="方正仿宋_GB2312" w:hAnsi="方正仿宋_GB2312" w:eastAsia="方正仿宋_GB2312" w:cs="方正仿宋_GB2312"/>
          <w:b/>
          <w:bCs/>
          <w:i w:val="0"/>
          <w:iCs w:val="0"/>
          <w:caps w:val="0"/>
          <w:spacing w:val="0"/>
          <w:sz w:val="19"/>
          <w:szCs w:val="19"/>
          <w:highlight w:val="none"/>
          <w:shd w:val="clear" w:fill="FCFCFC"/>
        </w:rPr>
        <w:t>核心生产设备的技术参数如何？在医疗领域的技术突破有哪些？</w:t>
      </w:r>
    </w:p>
    <w:p w14:paraId="6E64753B">
      <w:pPr>
        <w:keepNext w:val="0"/>
        <w:keepLines w:val="0"/>
        <w:pageBreakBefore w:val="0"/>
        <w:numPr>
          <w:ilvl w:val="0"/>
          <w:numId w:val="0"/>
        </w:numPr>
        <w:kinsoku/>
        <w:wordWrap/>
        <w:overflowPunct/>
        <w:topLinePunct w:val="0"/>
        <w:autoSpaceDN/>
        <w:bidi w:val="0"/>
        <w:adjustRightInd/>
        <w:snapToGrid/>
        <w:spacing w:line="360" w:lineRule="auto"/>
        <w:ind w:leftChars="0" w:firstLine="380" w:firstLineChars="200"/>
        <w:jc w:val="left"/>
        <w:textAlignment w:val="auto"/>
        <w:rPr>
          <w:rFonts w:hint="eastAsia" w:ascii="方正仿宋_GB2312" w:hAnsi="方正仿宋_GB2312" w:eastAsia="方正仿宋_GB2312" w:cs="方正仿宋_GB2312"/>
          <w:b w:val="0"/>
          <w:bCs w:val="0"/>
          <w:i w:val="0"/>
          <w:iCs w:val="0"/>
          <w:caps w:val="0"/>
          <w:spacing w:val="0"/>
          <w:sz w:val="19"/>
          <w:szCs w:val="19"/>
          <w:highlight w:val="none"/>
          <w:shd w:val="clear" w:fill="FCFCFC"/>
          <w:lang w:val="en-US" w:eastAsia="zh-CN"/>
        </w:rPr>
      </w:pPr>
      <w:r>
        <w:rPr>
          <w:rFonts w:hint="eastAsia" w:ascii="方正仿宋_GB2312" w:hAnsi="方正仿宋_GB2312" w:eastAsia="方正仿宋_GB2312" w:cs="方正仿宋_GB2312"/>
          <w:i w:val="0"/>
          <w:iCs w:val="0"/>
          <w:caps w:val="0"/>
          <w:spacing w:val="0"/>
          <w:sz w:val="19"/>
          <w:szCs w:val="19"/>
          <w:highlight w:val="none"/>
          <w:shd w:val="clear" w:fill="FCFCFC"/>
          <w:lang w:val="en-US" w:eastAsia="zh-CN"/>
        </w:rPr>
        <w:t>拥有800T注塑机、数控电火花机、10万级无尘车间等设备，通过ISO 9001、IATF 16949等认证，年产能达260-400套模具。</w:t>
      </w:r>
      <w:r>
        <w:rPr>
          <w:rFonts w:hint="eastAsia" w:ascii="方正仿宋_GB2312" w:hAnsi="方正仿宋_GB2312" w:eastAsia="方正仿宋_GB2312" w:cs="方正仿宋_GB2312"/>
          <w:b w:val="0"/>
          <w:bCs w:val="0"/>
          <w:i w:val="0"/>
          <w:iCs w:val="0"/>
          <w:caps w:val="0"/>
          <w:spacing w:val="0"/>
          <w:sz w:val="19"/>
          <w:szCs w:val="19"/>
          <w:highlight w:val="none"/>
          <w:shd w:val="clear" w:fill="FCFCFC"/>
          <w:lang w:val="en-US" w:eastAsia="zh-CN"/>
        </w:rPr>
        <w:t>杭州中好电子为ECMO医疗设备提供核心配套部件，成功供应武汉火神山、雷神山医院等关键医疗场景，突破国外技术垄断。企业投入1200万元转型医疗领域，开发高端耗材产品，逐步从传统代工转向自主设计，提升医疗设备国产化水平。</w:t>
      </w:r>
    </w:p>
    <w:p w14:paraId="4FFF98A3">
      <w:pPr>
        <w:keepNext w:val="0"/>
        <w:keepLines w:val="0"/>
        <w:pageBreakBefore w:val="0"/>
        <w:numPr>
          <w:ilvl w:val="0"/>
          <w:numId w:val="11"/>
        </w:numPr>
        <w:kinsoku/>
        <w:wordWrap/>
        <w:overflowPunct/>
        <w:topLinePunct w:val="0"/>
        <w:autoSpaceDN/>
        <w:bidi w:val="0"/>
        <w:adjustRightInd/>
        <w:snapToGrid/>
        <w:spacing w:line="360" w:lineRule="auto"/>
        <w:ind w:left="420" w:leftChars="0" w:hanging="420" w:firstLineChars="0"/>
        <w:jc w:val="left"/>
        <w:textAlignment w:val="auto"/>
        <w:rPr>
          <w:rFonts w:hint="eastAsia" w:ascii="方正仿宋_GB2312" w:hAnsi="方正仿宋_GB2312" w:eastAsia="方正仿宋_GB2312" w:cs="方正仿宋_GB2312"/>
          <w:b/>
          <w:bCs/>
          <w:sz w:val="19"/>
          <w:szCs w:val="19"/>
          <w:highlight w:val="none"/>
          <w:lang w:val="en-US" w:eastAsia="zh-CN"/>
        </w:rPr>
      </w:pPr>
      <w:r>
        <w:rPr>
          <w:rFonts w:hint="eastAsia" w:ascii="方正仿宋_GB2312" w:hAnsi="方正仿宋_GB2312" w:eastAsia="方正仿宋_GB2312" w:cs="方正仿宋_GB2312"/>
          <w:b/>
          <w:bCs/>
          <w:sz w:val="19"/>
          <w:szCs w:val="19"/>
          <w:highlight w:val="none"/>
          <w:lang w:val="en-US" w:eastAsia="zh-CN"/>
        </w:rPr>
        <w:t>哪些专利技术最具市场竞争力？研发投入占比如何？</w:t>
      </w:r>
    </w:p>
    <w:p w14:paraId="49D405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最具市场竞争力的专利技术主要集中在半导体领域，尤其是针对IGBT（绝缘栅双极型晶体管）的国产替代技术，通过绕过国外专利限制，为吉利、比亚迪、中车、华为等国内龙头企业提供核心设计方案和优化解决方案。此外，公司在医疗高端耗材领域的研发也取得突破，疫情期间为ECMO人工肺医疗设备提供核心部件，并投入约1200万元资金支持该领域的技术升级。</w:t>
      </w:r>
    </w:p>
    <w:p w14:paraId="7939E2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关于研发投入占比，公开信息未明确披露具体数值，但公司近年来通过申请20余项专利、转型半导体领域以及与金融机构合作获取资金支持（如杭州联合银行提供的1000万元信贷），显示出对研发的持续投入。2022年该公司被评为杭州市高新技术企业，2023年升级为国家高新技术企业。</w:t>
      </w:r>
    </w:p>
    <w:p w14:paraId="1D0E01A6">
      <w:pPr>
        <w:keepNext w:val="0"/>
        <w:keepLines w:val="0"/>
        <w:pageBreakBefore w:val="0"/>
        <w:numPr>
          <w:ilvl w:val="0"/>
          <w:numId w:val="12"/>
        </w:numPr>
        <w:kinsoku/>
        <w:wordWrap/>
        <w:overflowPunct/>
        <w:topLinePunct w:val="0"/>
        <w:autoSpaceDN/>
        <w:bidi w:val="0"/>
        <w:adjustRightInd/>
        <w:snapToGrid/>
        <w:spacing w:line="360" w:lineRule="auto"/>
        <w:ind w:left="420" w:leftChars="0" w:hanging="420" w:firstLineChars="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b/>
          <w:bCs/>
          <w:highlight w:val="none"/>
          <w:lang w:val="en-US" w:eastAsia="zh-CN"/>
        </w:rPr>
        <w:t>公司潜在上下游企业有哪些？</w:t>
      </w:r>
    </w:p>
    <w:p w14:paraId="155386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下游客户：松下​（电子元器件领域）、​安费诺飞凤​（通信配件供应商）、​铁三角​（音频设备制造商）、​东芝​（家电及电子领域）、​泰贺​（汽车零部件相关）、​爱信​（汽车零部件供应商）、​雅士迪​（汽车部件合作方）、​SAA​（未明确领域，但为长期合作客户）</w:t>
      </w:r>
    </w:p>
    <w:p w14:paraId="46B26B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上游协作企业：公司与钱塘区内多家企业存在产业链协作关系，涉及医疗、LED照明、汽车、通信等塑料零部件领域。生产设备主要采购自日精、东洋等国际品牌注塑机厂商。</w:t>
      </w:r>
    </w:p>
    <w:p w14:paraId="6F1C15A7">
      <w:pPr>
        <w:keepNext w:val="0"/>
        <w:keepLines w:val="0"/>
        <w:pageBreakBefore w:val="0"/>
        <w:numPr>
          <w:ilvl w:val="0"/>
          <w:numId w:val="1"/>
        </w:numPr>
        <w:kinsoku/>
        <w:wordWrap/>
        <w:overflowPunct/>
        <w:topLinePunct w:val="0"/>
        <w:autoSpaceDN/>
        <w:bidi w:val="0"/>
        <w:adjustRightInd/>
        <w:snapToGrid/>
        <w:spacing w:line="360" w:lineRule="auto"/>
        <w:ind w:left="-420" w:leftChars="0" w:firstLine="480" w:firstLineChars="200"/>
        <w:jc w:val="left"/>
        <w:textAlignment w:val="auto"/>
        <w:rPr>
          <w:rFonts w:hint="eastAsia" w:ascii="方正仿宋_GB2312" w:hAnsi="方正仿宋_GB2312" w:eastAsia="方正仿宋_GB2312" w:cs="方正仿宋_GB2312"/>
          <w:sz w:val="24"/>
          <w:szCs w:val="32"/>
          <w:highlight w:val="none"/>
          <w:lang w:val="en-US" w:eastAsia="zh-CN"/>
        </w:rPr>
      </w:pPr>
      <w:r>
        <w:rPr>
          <w:rFonts w:hint="eastAsia" w:ascii="方正仿宋_GB2312" w:hAnsi="方正仿宋_GB2312" w:eastAsia="方正仿宋_GB2312" w:cs="方正仿宋_GB2312"/>
          <w:sz w:val="24"/>
          <w:szCs w:val="32"/>
          <w:highlight w:val="none"/>
          <w:lang w:val="en-US" w:eastAsia="zh-CN"/>
        </w:rPr>
        <w:t>企业风险点排查</w:t>
      </w:r>
    </w:p>
    <w:p w14:paraId="3722C86A">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企业近年向医疗高端耗材、智能制造等领域转型，需投入大量资金（如医疗领域投入1200万元）并应对政策变化（如海关加工贸易监管政策调整导致紧急关税保函需求）。技术升级和专利布局的周期长、成本高，可能对经营现金流和盈利能力形成持续压力。</w:t>
      </w:r>
    </w:p>
    <w:p w14:paraId="725995C9">
      <w:pPr>
        <w:keepNext w:val="0"/>
        <w:keepLines w:val="0"/>
        <w:pageBreakBefore w:val="0"/>
        <w:numPr>
          <w:ilvl w:val="0"/>
          <w:numId w:val="1"/>
        </w:numPr>
        <w:kinsoku/>
        <w:wordWrap/>
        <w:overflowPunct/>
        <w:topLinePunct w:val="0"/>
        <w:autoSpaceDN/>
        <w:bidi w:val="0"/>
        <w:adjustRightInd/>
        <w:snapToGrid/>
        <w:spacing w:line="360" w:lineRule="auto"/>
        <w:ind w:left="-420" w:leftChars="0" w:firstLine="480" w:firstLineChars="200"/>
        <w:jc w:val="left"/>
        <w:textAlignment w:val="auto"/>
        <w:rPr>
          <w:rFonts w:hint="eastAsia" w:ascii="方正仿宋_GB2312" w:hAnsi="方正仿宋_GB2312" w:eastAsia="方正仿宋_GB2312" w:cs="方正仿宋_GB2312"/>
          <w:sz w:val="24"/>
          <w:szCs w:val="32"/>
          <w:highlight w:val="none"/>
          <w:lang w:val="en-US" w:eastAsia="zh-CN"/>
        </w:rPr>
      </w:pPr>
      <w:r>
        <w:rPr>
          <w:rFonts w:hint="eastAsia" w:ascii="方正仿宋_GB2312" w:hAnsi="方正仿宋_GB2312" w:eastAsia="方正仿宋_GB2312" w:cs="方正仿宋_GB2312"/>
          <w:sz w:val="24"/>
          <w:szCs w:val="32"/>
          <w:highlight w:val="none"/>
          <w:lang w:val="en-US" w:eastAsia="zh-CN"/>
        </w:rPr>
        <w:t>适配产品套餐</w:t>
      </w:r>
    </w:p>
    <w:p w14:paraId="2A63E48B">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1. 流动资金贷款</w:t>
      </w:r>
    </w:p>
    <w:p w14:paraId="53E9FCB0">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​需求背景：公司注塑机产能利用率已达85%，2025年计划新增光伏设备产线，需短期资金支持原材料采购与设备调试。</w:t>
      </w:r>
    </w:p>
    <w:p w14:paraId="60CD8425">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​产品优势：南京银行可为单笔订单提供最高5000万元授信，期限灵活（1-12个月），利率低于LPR+20BP。</w:t>
      </w:r>
    </w:p>
    <w:p w14:paraId="1970B25A">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​2. 跨境融资性保函</w:t>
      </w:r>
    </w:p>
    <w:p w14:paraId="051B1E45">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​需求背景：公司欧美订单占比超30%，需应对海外客户预付款担保需求；同时计划拓展东南亚市场，跨境融资需求旺盛。</w:t>
      </w:r>
    </w:p>
    <w:p w14:paraId="7A9CA3F9">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​产品优势：南京银行可提供美元/欧元融资性保函，费率低至0.3%/年，支持100%保证金替代，降低授信门槛。</w:t>
      </w:r>
    </w:p>
    <w:p w14:paraId="0D01959E">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​3. 应收账款保理</w:t>
      </w:r>
    </w:p>
    <w:p w14:paraId="32056806">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需求背景：应收账款周转天数达45天（行业均值30天），医疗耗材业务账期较长，需加速资金回笼。</w:t>
      </w:r>
    </w:p>
    <w:p w14:paraId="749E051A">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​产品优势：南京银行可提供无追索权保理，融资比例达应收账款80%，最快T+1日到账，改善现金流。</w:t>
      </w:r>
    </w:p>
    <w:p w14:paraId="5F5CAB6C">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​4. 外汇结算与外汇衍生品</w:t>
      </w:r>
    </w:p>
    <w:p w14:paraId="3F870F7E">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​需求背景：公司跨境业务占比30%，汇率波动可能影响利润（如光伏组件出口毛利率约45%）。</w:t>
      </w:r>
    </w:p>
    <w:p w14:paraId="6A240BE8">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​产品优势：南京银行提供远期结售汇​（锁定汇率）和外汇期权​（对冲风险），综合成本低于市场均价10%。</w:t>
      </w:r>
    </w:p>
    <w:p w14:paraId="2CF1999B">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​5. 企业理财</w:t>
      </w:r>
    </w:p>
    <w:p w14:paraId="543BF71A">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​需求背景：公司2024年经营现金流净额约8000万元，需闲置资金增值；同时需短期流动性支持突发订单。</w:t>
      </w:r>
    </w:p>
    <w:p w14:paraId="354E4DC7">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​产品优势：南京银行推出​“灵活宝”现金管理产品，最低起投50万元，7×24小时赎回，年化收益2.8%-3.2%。</w:t>
      </w:r>
    </w:p>
    <w:p w14:paraId="5388605B">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此外可针对汽车零部件订单预付款融资（如比亚迪/蔚来订单）提供国内订单融资服务；针对加速海外应收账款回款（欧美客户账期最长60天），推荐出口押汇业务；针对供应链票据周转（上游供应商集中度65%），推荐商票贴现。</w:t>
      </w:r>
    </w:p>
    <w:p w14:paraId="283000B9">
      <w:pPr>
        <w:keepNext w:val="0"/>
        <w:keepLines w:val="0"/>
        <w:pageBreakBefore w:val="0"/>
        <w:numPr>
          <w:ilvl w:val="0"/>
          <w:numId w:val="1"/>
        </w:numPr>
        <w:kinsoku/>
        <w:wordWrap/>
        <w:overflowPunct/>
        <w:topLinePunct w:val="0"/>
        <w:autoSpaceDN/>
        <w:bidi w:val="0"/>
        <w:adjustRightInd/>
        <w:snapToGrid/>
        <w:spacing w:line="360" w:lineRule="auto"/>
        <w:ind w:left="-420" w:leftChars="0" w:firstLine="480" w:firstLineChars="200"/>
        <w:jc w:val="left"/>
        <w:textAlignment w:val="auto"/>
        <w:rPr>
          <w:rFonts w:hint="eastAsia" w:ascii="方正仿宋_GB2312" w:hAnsi="方正仿宋_GB2312" w:eastAsia="方正仿宋_GB2312" w:cs="方正仿宋_GB2312"/>
          <w:sz w:val="24"/>
          <w:szCs w:val="32"/>
          <w:highlight w:val="none"/>
          <w:lang w:val="en-US" w:eastAsia="zh-CN"/>
        </w:rPr>
      </w:pPr>
      <w:r>
        <w:rPr>
          <w:rFonts w:hint="eastAsia" w:ascii="方正仿宋_GB2312" w:hAnsi="方正仿宋_GB2312" w:eastAsia="方正仿宋_GB2312" w:cs="方正仿宋_GB2312"/>
          <w:sz w:val="24"/>
          <w:szCs w:val="32"/>
          <w:highlight w:val="none"/>
          <w:lang w:val="en-US" w:eastAsia="zh-CN"/>
        </w:rPr>
        <w:t>公私联动</w:t>
      </w:r>
    </w:p>
    <w:p w14:paraId="05473AE6">
      <w:pPr>
        <w:keepNext w:val="0"/>
        <w:keepLines w:val="0"/>
        <w:pageBreakBefore w:val="0"/>
        <w:numPr>
          <w:ilvl w:val="0"/>
          <w:numId w:val="0"/>
        </w:numPr>
        <w:kinsoku/>
        <w:wordWrap/>
        <w:overflowPunct/>
        <w:topLinePunct w:val="0"/>
        <w:autoSpaceDN/>
        <w:bidi w:val="0"/>
        <w:adjustRightInd/>
        <w:snapToGrid/>
        <w:spacing w:line="360" w:lineRule="auto"/>
        <w:ind w:leftChars="0" w:firstLine="420" w:firstLineChars="200"/>
        <w:jc w:val="left"/>
        <w:textAlignment w:val="auto"/>
        <w:rPr>
          <w:rFonts w:hint="eastAsia" w:ascii="方正仿宋_GB2312" w:hAnsi="方正仿宋_GB2312" w:eastAsia="方正仿宋_GB2312" w:cs="方正仿宋_GB2312"/>
          <w:highlight w:val="none"/>
          <w:lang w:val="en-US" w:eastAsia="zh-CN"/>
        </w:rPr>
      </w:pPr>
      <w:r>
        <w:rPr>
          <w:rFonts w:hint="eastAsia" w:ascii="方正仿宋_GB2312" w:hAnsi="方正仿宋_GB2312" w:eastAsia="方正仿宋_GB2312" w:cs="方正仿宋_GB2312"/>
          <w:highlight w:val="none"/>
          <w:lang w:val="en-US" w:eastAsia="zh-CN"/>
        </w:rPr>
        <w:t>该公司内高管赵亚辉、裴峻均为我行零售客户，但价值较低；实际控制人（股权100%）裴晓玲当前还不是我行零售客户，该高管为加拿大籍，可为其提供相应的资产配置方案。</w:t>
      </w:r>
    </w:p>
    <w:p w14:paraId="227AEE38">
      <w:pPr>
        <w:rPr>
          <w:rFonts w:hint="eastAsia" w:ascii="方正仿宋_GB2312" w:hAnsi="方正仿宋_GB2312" w:eastAsia="方正仿宋_GB2312" w:cs="方正仿宋_GB2312"/>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465F9"/>
    <w:multiLevelType w:val="singleLevel"/>
    <w:tmpl w:val="868465F9"/>
    <w:lvl w:ilvl="0" w:tentative="0">
      <w:start w:val="1"/>
      <w:numFmt w:val="decimal"/>
      <w:suff w:val="space"/>
      <w:lvlText w:val="(%1)"/>
      <w:lvlJc w:val="left"/>
      <w:pPr>
        <w:ind w:left="-62" w:hanging="425"/>
      </w:pPr>
      <w:rPr>
        <w:rFonts w:hint="default"/>
      </w:rPr>
    </w:lvl>
  </w:abstractNum>
  <w:abstractNum w:abstractNumId="1">
    <w:nsid w:val="9DCA656D"/>
    <w:multiLevelType w:val="singleLevel"/>
    <w:tmpl w:val="9DCA656D"/>
    <w:lvl w:ilvl="0" w:tentative="0">
      <w:start w:val="1"/>
      <w:numFmt w:val="bullet"/>
      <w:lvlText w:val=""/>
      <w:lvlJc w:val="left"/>
      <w:pPr>
        <w:ind w:left="420" w:hanging="420"/>
      </w:pPr>
      <w:rPr>
        <w:rFonts w:hint="default" w:ascii="Wingdings" w:hAnsi="Wingdings"/>
      </w:rPr>
    </w:lvl>
  </w:abstractNum>
  <w:abstractNum w:abstractNumId="2">
    <w:nsid w:val="A623883D"/>
    <w:multiLevelType w:val="singleLevel"/>
    <w:tmpl w:val="A623883D"/>
    <w:lvl w:ilvl="0" w:tentative="0">
      <w:start w:val="1"/>
      <w:numFmt w:val="decimal"/>
      <w:lvlText w:val="(%1)"/>
      <w:lvlJc w:val="left"/>
      <w:pPr>
        <w:ind w:left="845" w:hanging="425"/>
      </w:pPr>
      <w:rPr>
        <w:rFonts w:hint="default"/>
      </w:rPr>
    </w:lvl>
  </w:abstractNum>
  <w:abstractNum w:abstractNumId="3">
    <w:nsid w:val="B99F594F"/>
    <w:multiLevelType w:val="singleLevel"/>
    <w:tmpl w:val="B99F594F"/>
    <w:lvl w:ilvl="0" w:tentative="0">
      <w:start w:val="1"/>
      <w:numFmt w:val="decimal"/>
      <w:suff w:val="space"/>
      <w:lvlText w:val="%1."/>
      <w:lvlJc w:val="left"/>
      <w:pPr>
        <w:ind w:left="0"/>
      </w:pPr>
    </w:lvl>
  </w:abstractNum>
  <w:abstractNum w:abstractNumId="4">
    <w:nsid w:val="C5041CA9"/>
    <w:multiLevelType w:val="singleLevel"/>
    <w:tmpl w:val="C5041CA9"/>
    <w:lvl w:ilvl="0" w:tentative="0">
      <w:start w:val="1"/>
      <w:numFmt w:val="chineseCounting"/>
      <w:suff w:val="space"/>
      <w:lvlText w:val="%1、"/>
      <w:lvlJc w:val="left"/>
      <w:pPr>
        <w:ind w:left="-420"/>
      </w:pPr>
      <w:rPr>
        <w:rFonts w:hint="eastAsia"/>
      </w:rPr>
    </w:lvl>
  </w:abstractNum>
  <w:abstractNum w:abstractNumId="5">
    <w:nsid w:val="D3B38158"/>
    <w:multiLevelType w:val="singleLevel"/>
    <w:tmpl w:val="D3B38158"/>
    <w:lvl w:ilvl="0" w:tentative="0">
      <w:start w:val="1"/>
      <w:numFmt w:val="bullet"/>
      <w:lvlText w:val=""/>
      <w:lvlJc w:val="left"/>
      <w:pPr>
        <w:ind w:left="420" w:hanging="420"/>
      </w:pPr>
      <w:rPr>
        <w:rFonts w:hint="default" w:ascii="Wingdings" w:hAnsi="Wingdings"/>
      </w:rPr>
    </w:lvl>
  </w:abstractNum>
  <w:abstractNum w:abstractNumId="6">
    <w:nsid w:val="1BC89108"/>
    <w:multiLevelType w:val="singleLevel"/>
    <w:tmpl w:val="1BC89108"/>
    <w:lvl w:ilvl="0" w:tentative="0">
      <w:start w:val="1"/>
      <w:numFmt w:val="decimal"/>
      <w:lvlText w:val="%1."/>
      <w:lvlJc w:val="left"/>
      <w:pPr>
        <w:tabs>
          <w:tab w:val="left" w:pos="312"/>
        </w:tabs>
      </w:pPr>
    </w:lvl>
  </w:abstractNum>
  <w:abstractNum w:abstractNumId="7">
    <w:nsid w:val="22C43BF5"/>
    <w:multiLevelType w:val="singleLevel"/>
    <w:tmpl w:val="22C43BF5"/>
    <w:lvl w:ilvl="0" w:tentative="0">
      <w:start w:val="1"/>
      <w:numFmt w:val="bullet"/>
      <w:lvlText w:val=""/>
      <w:lvlJc w:val="left"/>
      <w:pPr>
        <w:ind w:left="420" w:hanging="420"/>
      </w:pPr>
      <w:rPr>
        <w:rFonts w:hint="default" w:ascii="Wingdings" w:hAnsi="Wingdings"/>
      </w:rPr>
    </w:lvl>
  </w:abstractNum>
  <w:abstractNum w:abstractNumId="8">
    <w:nsid w:val="360A571E"/>
    <w:multiLevelType w:val="singleLevel"/>
    <w:tmpl w:val="360A571E"/>
    <w:lvl w:ilvl="0" w:tentative="0">
      <w:start w:val="1"/>
      <w:numFmt w:val="bullet"/>
      <w:lvlText w:val=""/>
      <w:lvlJc w:val="left"/>
      <w:pPr>
        <w:ind w:left="420" w:hanging="420"/>
      </w:pPr>
      <w:rPr>
        <w:rFonts w:hint="default" w:ascii="Wingdings" w:hAnsi="Wingdings"/>
      </w:rPr>
    </w:lvl>
  </w:abstractNum>
  <w:abstractNum w:abstractNumId="9">
    <w:nsid w:val="3DB98160"/>
    <w:multiLevelType w:val="singleLevel"/>
    <w:tmpl w:val="3DB98160"/>
    <w:lvl w:ilvl="0" w:tentative="0">
      <w:start w:val="1"/>
      <w:numFmt w:val="bullet"/>
      <w:lvlText w:val=""/>
      <w:lvlJc w:val="left"/>
      <w:pPr>
        <w:ind w:left="420" w:hanging="420"/>
      </w:pPr>
      <w:rPr>
        <w:rFonts w:hint="default" w:ascii="Wingdings" w:hAnsi="Wingdings"/>
      </w:rPr>
    </w:lvl>
  </w:abstractNum>
  <w:abstractNum w:abstractNumId="10">
    <w:nsid w:val="722A4D80"/>
    <w:multiLevelType w:val="singleLevel"/>
    <w:tmpl w:val="722A4D80"/>
    <w:lvl w:ilvl="0" w:tentative="0">
      <w:start w:val="1"/>
      <w:numFmt w:val="bullet"/>
      <w:lvlText w:val=""/>
      <w:lvlJc w:val="left"/>
      <w:pPr>
        <w:ind w:left="420" w:hanging="420"/>
      </w:pPr>
      <w:rPr>
        <w:rFonts w:hint="default" w:ascii="Wingdings" w:hAnsi="Wingdings"/>
      </w:rPr>
    </w:lvl>
  </w:abstractNum>
  <w:abstractNum w:abstractNumId="11">
    <w:nsid w:val="76316302"/>
    <w:multiLevelType w:val="singleLevel"/>
    <w:tmpl w:val="76316302"/>
    <w:lvl w:ilvl="0" w:tentative="0">
      <w:start w:val="1"/>
      <w:numFmt w:val="decimal"/>
      <w:lvlText w:val="(%1)"/>
      <w:lvlJc w:val="left"/>
      <w:pPr>
        <w:ind w:left="-482" w:hanging="425"/>
      </w:pPr>
      <w:rPr>
        <w:rFonts w:hint="default"/>
      </w:rPr>
    </w:lvl>
  </w:abstractNum>
  <w:num w:numId="1">
    <w:abstractNumId w:val="4"/>
  </w:num>
  <w:num w:numId="2">
    <w:abstractNumId w:val="3"/>
  </w:num>
  <w:num w:numId="3">
    <w:abstractNumId w:val="2"/>
  </w:num>
  <w:num w:numId="4">
    <w:abstractNumId w:val="0"/>
  </w:num>
  <w:num w:numId="5">
    <w:abstractNumId w:val="6"/>
  </w:num>
  <w:num w:numId="6">
    <w:abstractNumId w:val="9"/>
  </w:num>
  <w:num w:numId="7">
    <w:abstractNumId w:val="11"/>
  </w:num>
  <w:num w:numId="8">
    <w:abstractNumId w:val="5"/>
  </w:num>
  <w:num w:numId="9">
    <w:abstractNumId w:val="10"/>
  </w:num>
  <w:num w:numId="10">
    <w:abstractNumId w:val="7"/>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xZGRlY2I2ZmI2ZGQ5ZTgxYTc0NTAyMTZkOGU2NzcifQ=="/>
  </w:docVars>
  <w:rsids>
    <w:rsidRoot w:val="520469D8"/>
    <w:rsid w:val="46A069BB"/>
    <w:rsid w:val="490C3B4E"/>
    <w:rsid w:val="52046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4283</Words>
  <Characters>4777</Characters>
  <Lines>0</Lines>
  <Paragraphs>0</Paragraphs>
  <TotalTime>13</TotalTime>
  <ScaleCrop>false</ScaleCrop>
  <LinksUpToDate>false</LinksUpToDate>
  <CharactersWithSpaces>4786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2025-03-06T12:10:00Z</dcterms:created>
  <dc:creator>朱明丹</dc:creator>
  <cp:lastModifiedBy>郝爽</cp:lastModifiedBy>
  <dcterms:modified xsi:type="dcterms:W3CDTF">2025-03-10T01:34:02Z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22D641CF8D184660B4E231C62CB03D6D_13</vt:lpwstr>
  </property>
</Properties>
</file>