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目标客户：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/>
          <w:lang w:val="en-US" w:eastAsia="zh-CN"/>
        </w:rPr>
        <w:t>杭州中威电子股份有限公司，目前已开户、已准入，管户机构为杭州临平支行；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该客户目前在2015年曾在我行开具银票约291万元。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公司基本情况：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一、基本信息 </w:t>
      </w:r>
    </w:p>
    <w:p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公司名称：杭州中威电子股份有限公司 </w:t>
      </w:r>
    </w:p>
    <w:p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英文名称：Joyware Electronics Co.,Ltd. </w:t>
      </w:r>
    </w:p>
    <w:p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成立时间：2000年3月14日 </w:t>
      </w:r>
    </w:p>
    <w:p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注册资本：3.03亿元 </w:t>
      </w:r>
    </w:p>
    <w:p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注册地址：浙江省杭州市滨江区西兴路1819号杭州中威大厦15楼 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二、股东及关键人 </w:t>
      </w:r>
    </w:p>
    <w:tbl>
      <w:tblPr>
        <w:tblStyle w:val="5"/>
        <w:tblW w:w="8346" w:type="dxa"/>
        <w:tblInd w:w="120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434"/>
        <w:gridCol w:w="1324"/>
        <w:gridCol w:w="1158"/>
        <w:gridCol w:w="1430"/>
      </w:tblGrid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tblHeader/>
        </w:trPr>
        <w:tc>
          <w:tcPr>
            <w:tcW w:w="4434" w:type="dxa"/>
            <w:shd w:val="clear" w:color="auto" w:fill="DDDDDD"/>
          </w:tcPr>
          <w:p>
            <w:pPr>
              <w:pStyle w:val="11"/>
            </w:pPr>
            <w:r>
              <w:t>股东名称</w:t>
            </w:r>
          </w:p>
        </w:tc>
        <w:tc>
          <w:tcPr>
            <w:tcW w:w="1324" w:type="dxa"/>
            <w:shd w:val="clear" w:color="auto" w:fill="DDDDDD"/>
          </w:tcPr>
          <w:p>
            <w:pPr>
              <w:pStyle w:val="11"/>
            </w:pPr>
            <w:r>
              <w:t>持股数量（股）</w:t>
            </w:r>
          </w:p>
        </w:tc>
        <w:tc>
          <w:tcPr>
            <w:tcW w:w="1158" w:type="dxa"/>
            <w:shd w:val="clear" w:color="auto" w:fill="DDDDDD"/>
          </w:tcPr>
          <w:p>
            <w:pPr>
              <w:pStyle w:val="11"/>
            </w:pPr>
            <w:r>
              <w:t>持股比例（%）</w:t>
            </w:r>
          </w:p>
        </w:tc>
        <w:tc>
          <w:tcPr>
            <w:tcW w:w="1430" w:type="dxa"/>
            <w:shd w:val="clear" w:color="auto" w:fill="DDDDDD"/>
          </w:tcPr>
          <w:p>
            <w:pPr>
              <w:pStyle w:val="11"/>
            </w:pPr>
            <w:r>
              <w:t>股本性质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4434" w:type="dxa"/>
            <w:vAlign w:val="top"/>
          </w:tcPr>
          <w:p>
            <w:pPr>
              <w:pStyle w:val="12"/>
            </w:pPr>
            <w:r>
              <w:t>北京海厚泰资本管理有限公司-新乡市新投产业并购投资基金壹号合伙企业（有限合伙）</w:t>
            </w:r>
          </w:p>
        </w:tc>
        <w:tc>
          <w:tcPr>
            <w:tcW w:w="1324" w:type="dxa"/>
            <w:vAlign w:val="top"/>
          </w:tcPr>
          <w:p>
            <w:pPr>
              <w:pStyle w:val="12"/>
            </w:pPr>
            <w:r>
              <w:t>57562394</w:t>
            </w:r>
          </w:p>
        </w:tc>
        <w:tc>
          <w:tcPr>
            <w:tcW w:w="1158" w:type="dxa"/>
            <w:vAlign w:val="top"/>
          </w:tcPr>
          <w:p>
            <w:pPr>
              <w:pStyle w:val="12"/>
            </w:pPr>
            <w:r>
              <w:t>19.01</w:t>
            </w:r>
          </w:p>
        </w:tc>
        <w:tc>
          <w:tcPr>
            <w:tcW w:w="1430" w:type="dxa"/>
            <w:vAlign w:val="top"/>
          </w:tcPr>
          <w:p>
            <w:pPr>
              <w:pStyle w:val="12"/>
            </w:pPr>
            <w:r>
              <w:t>流通A股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4434" w:type="dxa"/>
            <w:vAlign w:val="top"/>
          </w:tcPr>
          <w:p>
            <w:pPr>
              <w:pStyle w:val="12"/>
            </w:pPr>
            <w:r>
              <w:t>石旭刚</w:t>
            </w:r>
          </w:p>
        </w:tc>
        <w:tc>
          <w:tcPr>
            <w:tcW w:w="1324" w:type="dxa"/>
            <w:vAlign w:val="top"/>
          </w:tcPr>
          <w:p>
            <w:pPr>
              <w:pStyle w:val="12"/>
            </w:pPr>
            <w:r>
              <w:t>60426374</w:t>
            </w:r>
          </w:p>
        </w:tc>
        <w:tc>
          <w:tcPr>
            <w:tcW w:w="1158" w:type="dxa"/>
            <w:vAlign w:val="top"/>
          </w:tcPr>
          <w:p>
            <w:pPr>
              <w:pStyle w:val="12"/>
            </w:pPr>
            <w:r>
              <w:t>1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1</w:t>
            </w:r>
            <w:r>
              <w:t>6</w:t>
            </w:r>
          </w:p>
        </w:tc>
        <w:tc>
          <w:tcPr>
            <w:tcW w:w="1430" w:type="dxa"/>
            <w:vAlign w:val="top"/>
          </w:tcPr>
          <w:p>
            <w:pPr>
              <w:pStyle w:val="12"/>
            </w:pPr>
            <w:r>
              <w:t>流通A股，限售流通股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4434" w:type="dxa"/>
          </w:tcPr>
          <w:p>
            <w:pPr>
              <w:pStyle w:val="12"/>
            </w:pPr>
            <w:r>
              <w:t>朱广信</w:t>
            </w:r>
          </w:p>
        </w:tc>
        <w:tc>
          <w:tcPr>
            <w:tcW w:w="1324" w:type="dxa"/>
          </w:tcPr>
          <w:p>
            <w:pPr>
              <w:pStyle w:val="12"/>
            </w:pPr>
            <w:r>
              <w:t>2380000</w:t>
            </w:r>
          </w:p>
        </w:tc>
        <w:tc>
          <w:tcPr>
            <w:tcW w:w="1158" w:type="dxa"/>
          </w:tcPr>
          <w:p>
            <w:pPr>
              <w:pStyle w:val="12"/>
              <w:rPr>
                <w:rFonts w:hint="eastAsia" w:eastAsiaTheme="minorEastAsia"/>
                <w:lang w:val="en-US" w:eastAsia="zh-CN"/>
              </w:rPr>
            </w:pPr>
            <w:r>
              <w:t>0.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430" w:type="dxa"/>
          </w:tcPr>
          <w:p>
            <w:pPr>
              <w:pStyle w:val="12"/>
            </w:pPr>
            <w:r>
              <w:t>流通A股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4434" w:type="dxa"/>
          </w:tcPr>
          <w:p>
            <w:pPr>
              <w:pStyle w:val="12"/>
            </w:pPr>
            <w:r>
              <w:t>杭州中威电子股份有限公司-2021年员工持股计划</w:t>
            </w:r>
          </w:p>
        </w:tc>
        <w:tc>
          <w:tcPr>
            <w:tcW w:w="1324" w:type="dxa"/>
          </w:tcPr>
          <w:p>
            <w:pPr>
              <w:pStyle w:val="12"/>
            </w:pPr>
            <w:r>
              <w:t>1964942</w:t>
            </w:r>
          </w:p>
        </w:tc>
        <w:tc>
          <w:tcPr>
            <w:tcW w:w="1158" w:type="dxa"/>
          </w:tcPr>
          <w:p>
            <w:pPr>
              <w:pStyle w:val="12"/>
            </w:pPr>
            <w:r>
              <w:t>0.65</w:t>
            </w:r>
          </w:p>
        </w:tc>
        <w:tc>
          <w:tcPr>
            <w:tcW w:w="1430" w:type="dxa"/>
          </w:tcPr>
          <w:p>
            <w:pPr>
              <w:pStyle w:val="12"/>
            </w:pPr>
            <w:r>
              <w:t>流通A股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b/>
          <w:bCs/>
        </w:rPr>
        <w:t>实际控制人：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石旭刚</w:t>
      </w:r>
      <w:r>
        <w:rPr>
          <w:rFonts w:hint="eastAsia" w:ascii="宋体" w:hAnsi="宋体" w:eastAsia="宋体" w:cs="宋体"/>
          <w:sz w:val="21"/>
          <w:szCs w:val="21"/>
        </w:rPr>
        <w:t>持股比例为1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6%，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但其已通过质押、协议等方式将表决权转让给</w:t>
      </w:r>
      <w:r>
        <w:rPr>
          <w:rFonts w:hint="eastAsia" w:ascii="宋体" w:hAnsi="宋体" w:eastAsia="宋体" w:cs="宋体"/>
          <w:sz w:val="21"/>
          <w:szCs w:val="21"/>
        </w:rPr>
        <w:t>新乡市新投产业并购投资基金壹号合伙企业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因此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新乡市新投产业并购投资基金壹号合伙企业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新乡市投资集团\新乡市政府）</w:t>
      </w:r>
      <w:r>
        <w:rPr>
          <w:rFonts w:hint="eastAsia" w:ascii="宋体" w:hAnsi="宋体" w:eastAsia="宋体" w:cs="宋体"/>
          <w:sz w:val="21"/>
          <w:szCs w:val="21"/>
        </w:rPr>
        <w:t>为公司的实际控制人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控股股东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管理层：</w:t>
      </w:r>
      <w:r>
        <w:rPr>
          <w:rFonts w:hint="eastAsia" w:ascii="宋体" w:hAnsi="宋体" w:eastAsia="宋体" w:cs="宋体"/>
          <w:sz w:val="21"/>
          <w:szCs w:val="21"/>
        </w:rPr>
        <w:t>刘洋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中共党员，中国国籍，研究生学历，硕士学位，高级经济师，咨询工程师，河南省（区域型）数字化转型促进中心主任，新乡市标准化技术委员会委员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历任河南新飞投资有限公司企业策划部经理，党总支委员、副总经理，新乡投资集团有限公司企业策划部经理，河南新投信息产业有限公司党支部书记、董事长、总经理；2024 年11月以来，任新乡投资集团 有限公司党委委员、副总经理，兼任河南新投信息产业有限公司党支部书记、董事长、总经理。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公司主营产品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主要业务：依托于“中威云”AIoT视频云平台和视频中台能力，为智慧交通、智慧城市、智慧能源等行业提供标准化、可复制的系统解决方案。主营产品包括智能安防产品、智能视频云平台、智慧城市建设和行业相关解决方案、北京机器人公司产品、新电信息公司产品等</w:t>
      </w:r>
    </w:p>
    <w:tbl>
      <w:tblPr>
        <w:tblW w:w="87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9"/>
        <w:gridCol w:w="945"/>
        <w:gridCol w:w="2430"/>
        <w:gridCol w:w="2896"/>
        <w:gridCol w:w="17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产品/业务名称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业务定位</w:t>
            </w:r>
          </w:p>
        </w:tc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财务关联性</w:t>
            </w:r>
          </w:p>
        </w:tc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智能视频云平台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提供云端视频分析、存储及智慧城市管理解决方案，服务于政府、交通等领域。</w:t>
            </w:r>
          </w:p>
        </w:tc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毛利率高达33.92%，收入占比显著提升（推测为核心利润来源）。</w:t>
            </w:r>
          </w:p>
        </w:tc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技术驱动型产品，受益于AIoT和智慧城市政策。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安防监控系统集成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整合摄像头、门禁、报警等设备的工程服务，覆盖智慧城市、园区等场景。</w:t>
            </w:r>
          </w:p>
        </w:tc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传统业务收入主体，毛利率16.94%，但收入规模同比下滑（受竞争加剧影响）。</w:t>
            </w:r>
          </w:p>
        </w:tc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需通过成本管控维持盈利能力。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智慧停车管理系统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涵盖车位检测、诱导、支付等软硬件一体化解决方案。</w:t>
            </w:r>
          </w:p>
        </w:tc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新兴业务布局方向，尚未形成规模化收入，但政策支持力度大（如城市停车新基建）。</w:t>
            </w:r>
          </w:p>
        </w:tc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需关注市场渗透率和运营效率。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机器人巡检系统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通过机器人实现电力、园区等场景的自动化巡检（子公司北京机器人公司主推产品）。</w:t>
            </w:r>
          </w:p>
        </w:tc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尚未盈利，研发投入持续（2024年上半年研发费用+11.37%），技术储备期长。</w:t>
            </w:r>
          </w:p>
        </w:tc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技术门槛高，未来可能成为增长点，但短期存在亏损压力。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物联网数据采集设备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包含传感器、终端设备等，用于智慧城市各场景的数据采集与传输。</w:t>
            </w:r>
          </w:p>
        </w:tc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可能属于系统集成业务的配套硬件，毛利率较低（需结合细分数据），收入随项目波动。</w:t>
            </w:r>
          </w:p>
        </w:tc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宋体" w:hAnsi="宋体" w:eastAsia="宋体" w:cs="宋体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  <w:t>依赖整体解决方案竞争力。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、产品结构转型：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高毛利的智能视频云平台占比提升，推动毛利率改善（同比+8.71%）；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传统安防设备（如摄像头）需求萎缩，收入同比下降21.17%。</w:t>
      </w:r>
    </w:p>
    <w:p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2、新兴业务风险与机遇：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智慧停车、机器人巡检等技术密集型产品处于投入期，需平衡短期亏损与长期战略价值；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物联网设备作为底层支撑，需与其他业务协同才能释放规模效应。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公司财务情况</w:t>
      </w:r>
    </w:p>
    <w:tbl>
      <w:tblPr>
        <w:tblW w:w="8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2039"/>
        <w:gridCol w:w="2152"/>
        <w:gridCol w:w="1260"/>
        <w:gridCol w:w="1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财务指标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本报告期（2024年1-6月）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上年同期（2023年1-6月，调整后）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同比增减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关键结论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营业收入（元）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67,579,100.17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85,729,694.07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-21.17%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受市场环境和业务拓展难度加大影响，收入规模同比下滑。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营业成本（元）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49,895,712.87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65,427,504.73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-23.74%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成本随收入同步下降，但降幅高于收入，推动毛利率回升。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销售费用（元）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11,693,377.21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9,584,876.37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+22.00%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市场推广及渠道建设投入增加。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研发投入（元）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13,855,546.48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12,440,979.25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+11.37%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技术创新持续加码，研发人员占比达46.93%。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经营活动现金流净额（元）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1,052,133.40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-32,730,500.10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+103.21%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经营现金流由负转正，主要因保证金及冻结解冻款增加。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现金及现金等价物净增加额（元）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-12,125,557.07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-3,701,669.35</w:t>
            </w:r>
          </w:p>
        </w:tc>
        <w:tc>
          <w:tcPr>
            <w:tcW w:w="126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-227.57%</w:t>
            </w:r>
          </w:p>
        </w:tc>
        <w:tc>
          <w:tcPr>
            <w:tcW w:w="188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投资和筹资活动现金流净流出大幅增加。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39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销售毛利率</w:t>
            </w:r>
          </w:p>
        </w:tc>
        <w:tc>
          <w:tcPr>
            <w:tcW w:w="2039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33.92%</w:t>
            </w:r>
          </w:p>
        </w:tc>
        <w:tc>
          <w:tcPr>
            <w:tcW w:w="215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25.21%</w:t>
            </w:r>
          </w:p>
        </w:tc>
        <w:tc>
          <w:tcPr>
            <w:tcW w:w="1260" w:type="dxa"/>
            <w:shd w:val="clear" w:color="auto" w:fill="FFFFFF"/>
            <w:vAlign w:val="top"/>
          </w:tcPr>
          <w:p>
            <w:pP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  <w:vertAlign w:val="baseline"/>
              </w:rPr>
            </w:pPr>
          </w:p>
        </w:tc>
        <w:tc>
          <w:tcPr>
            <w:tcW w:w="1885" w:type="dxa"/>
            <w:shd w:val="clear" w:color="auto" w:fill="FFFFFF"/>
            <w:vAlign w:val="top"/>
          </w:tcPr>
          <w:p>
            <w:pP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spacing w:val="0"/>
                <w:sz w:val="21"/>
                <w:szCs w:val="21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right="0" w:rightChars="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注意事项：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420" w:leftChars="0" w:right="0" w:rightChars="0" w:hanging="420" w:firstLineChars="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智能视频云平台</w:t>
      </w: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和</w:t>
      </w:r>
      <w:r>
        <w:rPr>
          <w:rStyle w:val="8"/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系统集成业务</w:t>
      </w: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是收入和利润的核心来源，但传统安防业务萎缩明显。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现金流改善</w:t>
      </w: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与</w:t>
      </w:r>
      <w:r>
        <w:rPr>
          <w:rStyle w:val="8"/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应收款项风险</w:t>
      </w: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并存（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应收账款占总资产49.64%</w:t>
      </w: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，回款周期长）。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公司亏损（如北京机器人公司）和新业务（智慧停车、机器人巡检）尚未盈利，可能拖累整体财务表现。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/>
        </w:rPr>
        <w:t>企业获其他银行总授信1.36亿元，已用信0.41亿元（2024.06数据）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/>
        </w:rPr>
        <w:t>企业主要合作银行：</w:t>
      </w:r>
      <w:r>
        <w:rPr>
          <w:rFonts w:ascii="Arial" w:hAnsi="Arial" w:eastAsia="宋体" w:cs="Arial"/>
          <w:b/>
          <w:bCs/>
          <w:i w:val="0"/>
          <w:caps w:val="0"/>
          <w:color w:val="FF000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ascii="Arial" w:hAnsi="Arial" w:eastAsia="宋体" w:cs="Arial"/>
          <w:b/>
          <w:bCs/>
          <w:i w:val="0"/>
          <w:caps w:val="0"/>
          <w:color w:val="FF0000"/>
          <w:spacing w:val="0"/>
          <w:sz w:val="24"/>
          <w:szCs w:val="24"/>
          <w:u w:val="single"/>
          <w:shd w:val="clear" w:fill="FFFFFF"/>
        </w:rPr>
        <w:instrText xml:space="preserve"> HYPERLINK "https://www.urcb.com/" \t "https://cn.bing.com/_blank" </w:instrText>
      </w:r>
      <w:r>
        <w:rPr>
          <w:rFonts w:ascii="Arial" w:hAnsi="Arial" w:eastAsia="宋体" w:cs="Arial"/>
          <w:b/>
          <w:bCs/>
          <w:i w:val="0"/>
          <w:caps w:val="0"/>
          <w:color w:val="FF000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9"/>
          <w:rFonts w:hint="default" w:ascii="Arial" w:hAnsi="Arial" w:eastAsia="宋体" w:cs="Arial"/>
          <w:b/>
          <w:bCs/>
          <w:i w:val="0"/>
          <w:caps w:val="0"/>
          <w:color w:val="FF0000"/>
          <w:spacing w:val="0"/>
          <w:sz w:val="24"/>
          <w:szCs w:val="24"/>
          <w:u w:val="single"/>
          <w:shd w:val="clear" w:fill="FFFFFF"/>
        </w:rPr>
        <w:t>杭州联合银行</w:t>
      </w:r>
      <w:r>
        <w:rPr>
          <w:rFonts w:hint="default" w:ascii="Arial" w:hAnsi="Arial" w:eastAsia="宋体" w:cs="Arial"/>
          <w:b/>
          <w:bCs/>
          <w:i w:val="0"/>
          <w:caps w:val="0"/>
          <w:color w:val="FF0000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华夏银行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企业资质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荣誉资质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创业板上市公司、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国家高新技术企业、浙江省“专精特新”中小企业，获“中国安防十大品牌”“浙江省科学技术一等奖”等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目前该企业资质分为94.93分。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触达路径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一、怎么触达客户？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行内存量客户引荐：江苏安防科技有限公司（南分城北中支管户，历史合作客户）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行业展会与论坛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：参与智慧城市、智能交通相关展会（如“世界互联网大会”），直接对接技术高管。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供应链上下游：通过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当地园区、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电力公司、交通工程企业等客户引荐，建立信任关系。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政府合作项目：关注浙江省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数字浙江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等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数字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基础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建设，主动提供配套融资支持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如西湖区2024在林业生态项目中引入中威电子城市监控系统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第三方服务机构：通过事务所、律所、保荐机构触达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行业协会：浙江省安全技术防范行业协会（副理事长）、中国安防行业协会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浙江工业大学：合作获得浙江省科技进步奖（信息工程学院：孟利民教授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）</w:t>
      </w:r>
    </w:p>
    <w:p>
      <w:pPr>
        <w:numPr>
          <w:numId w:val="0"/>
        </w:num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6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触达以后聊什么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1、聊企业发展：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战略转型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：从传统安防设备商向“安防+AI+物联网”运营商转型，布局车路协同、无人驾驶等新兴领域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，该企业如何规划转型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聊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合作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生态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：与华为云鲲鹏云服务合作构建视频云平台，联合打造高速公路视频云解决方案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，如何融入到华为生态中，具体合作模式如何？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2、聊企业股权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场景1：询问创始人退出原因</w:t>
      </w:r>
    </w:p>
    <w:p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“我们注意到公司近期股权结构发生较大变动，想了解一下创始人团队退出的主要考量？是否涉及长期战略方向的调整？”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场景2：探讨员工持股计划影响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“员工持股计划是公司凝聚团队的重要举措，能否透露一下参与员工的覆盖范围和资金筹措方式？是否需要银行在员工配资方面提供支持？”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场景3：评估新管理层能力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“新任管理层在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数字化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领域的经验丰富，我们非常认可。请问公司在‘AI+安防’领域的具体落地案例中，新团队发挥了哪些关键作用？”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3、聊同业竞品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控领域的主要竞争对手包括：海康威视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大华股份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这两家公司在安防监控、智能交通解决方案等领域与中威电子形成直接竞争，是国内安防行业的龙头企业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其中</w:t>
      </w:r>
      <w:bookmarkStart w:id="0" w:name="_GoBack"/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海康</w:t>
      </w:r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为我行客户）</w:t>
      </w:r>
    </w:p>
    <w:p>
      <w:pPr>
        <w:ind w:firstLine="420" w:firstLineChars="0"/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此外，其他同行业公司如浪潮信息（侧重云计算与服务器）、诺瓦星云（LED显示控制）等，虽在部分业务领域存在交集，但核心竞争领域关联度较低。中威电子的差异化优势在于视频传输技术、智能分析算法及与华为云的合作生态。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  <w:shd w:val="clear" w:fill="FFFFFF"/>
          <w:vertAlign w:val="baseline"/>
        </w:rPr>
      </w:pP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三、企业关键技术解读</w:t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1. 核心竞争力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视频云平台：支持多场景数据整合与分析，应用于智慧城市监控调度。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物联网传输：低延迟、高稳定性，适配高速公路、隧道等复杂环境。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机器人产品：全地形巡检机器人、蛇形机器人等，技术国际领先。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89580"/>
            <wp:effectExtent l="0" t="0" r="10160" b="1270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90215"/>
            <wp:effectExtent l="0" t="0" r="1016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90215"/>
            <wp:effectExtent l="0" t="0" r="1016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90215"/>
            <wp:effectExtent l="0" t="0" r="10160" b="1206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90215"/>
            <wp:effectExtent l="0" t="0" r="10160" b="1206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2. 应用场景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智慧交通：车牌识别、流量监测，助力交通部门降本增效。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智慧城市：智慧停车、灯杆监测，提升城市管理智能化水平。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能源安全：工业设备巡检、环境感知，降低企业运维成本。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90215"/>
            <wp:effectExtent l="0" t="0" r="10160" b="1206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990215"/>
            <wp:effectExtent l="0" t="0" r="10160" b="1206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3.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整合项目服务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车路协同：结合5G与AI，布局无人驾驶基础设施，契合国家“新基建”政策。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数据运营：从“产品+服务”转向“云服务+运营”，探索数据增值变现。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3856990"/>
            <wp:effectExtent l="0" t="0" r="10160" b="1397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4142740"/>
            <wp:effectExtent l="0" t="0" r="10160" b="254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4、核心技术解读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AIoT视频云平台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智能摄像头 + 云端大脑 + 万物互联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类似一名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超级保安，它能：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看懂所有监控摄像头拍的画面（识别是人还是车）；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自动发现危险行为（比如有人翻墙、车辆逆行）；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立刻通知保安队长（甚至能预测风险，比如人群聚集可能引发踩踏）；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还能记住过去所有画面（随时调取证据）。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设备构成：</w:t>
      </w: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数据采集层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摄像头、传感器像无数只“电子眼睛”，实时采集视频、温度、声音等数据。</w:t>
      </w: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网络传输层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通过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物联网协议（MQTT/CoAP）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把数据像快递包裹一样，安全快速地送到云端。</w:t>
      </w:r>
    </w:p>
    <w:p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云端处理层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</w:p>
    <w:p>
      <w:pPr>
        <w:numPr>
          <w:ilvl w:val="0"/>
          <w:numId w:val="7"/>
        </w:numPr>
        <w:tabs>
          <w:tab w:val="clear" w:pos="420"/>
        </w:tabs>
        <w:ind w:left="840" w:leftChars="0" w:hanging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视频云存储：把海量视频存在“云端仓库”，按需调取（像网盘）。</w:t>
      </w:r>
    </w:p>
    <w:p>
      <w:pPr>
        <w:numPr>
          <w:ilvl w:val="0"/>
          <w:numId w:val="7"/>
        </w:numPr>
        <w:tabs>
          <w:tab w:val="clear" w:pos="420"/>
        </w:tabs>
        <w:ind w:left="840" w:leftChars="0" w:hanging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AI算法：用机器学习模型“训练”系统识别异常：</w:t>
      </w:r>
    </w:p>
    <w:p>
      <w:pPr>
        <w:numPr>
          <w:ilvl w:val="0"/>
          <w:numId w:val="7"/>
        </w:numPr>
        <w:tabs>
          <w:tab w:val="clear" w:pos="420"/>
        </w:tabs>
        <w:ind w:left="840" w:leftChars="0" w:hanging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行为识别：判断是不是有人打架；</w:t>
      </w:r>
    </w:p>
    <w:p>
      <w:pPr>
        <w:numPr>
          <w:ilvl w:val="0"/>
          <w:numId w:val="7"/>
        </w:numPr>
        <w:tabs>
          <w:tab w:val="clear" w:pos="420"/>
        </w:tabs>
        <w:ind w:left="840" w:leftChars="0" w:hanging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物体检测：自动统计停车场车辆数量；</w:t>
      </w:r>
    </w:p>
    <w:p>
      <w:pPr>
        <w:numPr>
          <w:ilvl w:val="0"/>
          <w:numId w:val="7"/>
        </w:numPr>
        <w:tabs>
          <w:tab w:val="clear" w:pos="420"/>
        </w:tabs>
        <w:ind w:left="840" w:leftChars="0" w:hanging="42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人脸比对：1秒确认嫌疑人身份。</w:t>
      </w:r>
    </w:p>
    <w:p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各种“智慧场景”：</w:t>
      </w:r>
    </w:p>
    <w:p>
      <w:pPr>
        <w:numPr>
          <w:ilvl w:val="0"/>
          <w:numId w:val="8"/>
        </w:numPr>
        <w:ind w:left="840" w:leftChars="0" w:hanging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智慧城市：交通信号灯根据车流自动调整时长；</w:t>
      </w:r>
    </w:p>
    <w:p>
      <w:pPr>
        <w:numPr>
          <w:ilvl w:val="0"/>
          <w:numId w:val="8"/>
        </w:numPr>
        <w:ind w:left="840" w:leftChars="0" w:hanging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工厂安全：AI发现工人没戴安全帽，立刻警报；</w:t>
      </w:r>
    </w:p>
    <w:p>
      <w:pPr>
        <w:numPr>
          <w:ilvl w:val="0"/>
          <w:numId w:val="8"/>
        </w:numPr>
        <w:ind w:left="840" w:leftChars="0" w:hanging="420" w:firstLineChars="0"/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家庭安防：父母通过手机APP远程查看孩子放学回家画面。</w:t>
      </w:r>
    </w:p>
    <w:p>
      <w:p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需求挖掘</w:t>
      </w:r>
    </w:p>
    <w:p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短期需求：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现金流管理：应收账款周期较长，可推荐供应链金融产品。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研发投入：2024年新增多项发明专利，可对接知识产权质押贷款。</w:t>
      </w:r>
    </w:p>
    <w:p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长期需求：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产能扩张：智慧停车、机器人生产线建设，需中长期项目贷款支持。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海外拓展：通过跨境结算、外汇套保服务降低汇率风险。</w:t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3. 产品匹配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组合方案：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基础服务：企业账户管理、工资代发（锁定基础资金）。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技术改造贷款（设备采购）+ 政府贴息。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供应链金融（上下游协同）+ 保理业务。</w:t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4. 风险缓解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针对亏损：“我们关注到贵司2024年财务压力，但转型期的研发投入是必要投入。可设计分期还款方案，与项目回款周期匹配。”。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技术风险：“贵司技术团队实力雄厚，若需并购或技术合作方，我们可协助对接产业基金。”。</w:t>
      </w:r>
    </w:p>
    <w:p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yb-font-title-3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yb-font-body-larg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FC224E"/>
    <w:multiLevelType w:val="singleLevel"/>
    <w:tmpl w:val="94FC22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D0CF16"/>
    <w:multiLevelType w:val="singleLevel"/>
    <w:tmpl w:val="ABD0CF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5BD8326"/>
    <w:multiLevelType w:val="singleLevel"/>
    <w:tmpl w:val="C5BD83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6A33810"/>
    <w:multiLevelType w:val="multilevel"/>
    <w:tmpl w:val="06A338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139E6A3F"/>
    <w:multiLevelType w:val="singleLevel"/>
    <w:tmpl w:val="139E6A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37DFD18E"/>
    <w:multiLevelType w:val="singleLevel"/>
    <w:tmpl w:val="37DFD18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39EDF6AC"/>
    <w:multiLevelType w:val="singleLevel"/>
    <w:tmpl w:val="39EDF6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AE56CFD"/>
    <w:multiLevelType w:val="singleLevel"/>
    <w:tmpl w:val="6AE56CF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640F1"/>
    <w:rsid w:val="256640F1"/>
    <w:rsid w:val="336B04DB"/>
    <w:rsid w:val="5F114505"/>
    <w:rsid w:val="6FCA2025"/>
    <w:rsid w:val="734D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customStyle="1" w:styleId="10">
    <w:name w:val="font21"/>
    <w:basedOn w:val="7"/>
    <w:uiPriority w:val="0"/>
    <w:rPr>
      <w:rFonts w:hint="default" w:ascii="Segoe UI" w:hAnsi="Segoe UI" w:eastAsia="Segoe UI" w:cs="Segoe UI"/>
      <w:color w:val="FF4D4F"/>
      <w:sz w:val="18"/>
      <w:szCs w:val="18"/>
      <w:u w:val="none"/>
    </w:rPr>
  </w:style>
  <w:style w:type="paragraph" w:customStyle="1" w:styleId="11">
    <w:name w:val="Table Heading"/>
    <w:basedOn w:val="12"/>
    <w:qFormat/>
    <w:uiPriority w:val="0"/>
    <w:pPr>
      <w:suppressLineNumbers/>
      <w:shd w:val="clear" w:fill="DDDDDD"/>
      <w:bidi w:val="0"/>
      <w:jc w:val="center"/>
    </w:pPr>
    <w:rPr>
      <w:b/>
    </w:rPr>
  </w:style>
  <w:style w:type="paragraph" w:customStyle="1" w:styleId="12">
    <w:name w:val="Table Contents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2025-01-02T06:45:00Z</dcterms:created>
  <dc:creator>冯睿</dc:creator>
  <cp:lastModifiedBy>Administrator</cp:lastModifiedBy>
  <dcterms:modified xsi:type="dcterms:W3CDTF">2025-02-24T07:47:59Z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79D5774264E54970A478B2FC1DB6B002</vt:lpwstr>
  </property>
  <property fmtid="{D5CDD505-2E9C-101B-9397-08002B2CF9AE}" pid="4" name="_KSOProductBuildMID">
    <vt:lpwstr>SKWF06B779UQ059GRYR8YLJN7NN0O7VREN0XHJDWXGORTQ5T6DBJQC0PFYYHPFIRBEMX9OLRZIA78MEJQJFTRFFW89C0WH5B8NOD0HB320ED4D58E7BEAE3DBAA3A357F317D21A</vt:lpwstr>
  </property>
  <property fmtid="{D5CDD505-2E9C-101B-9397-08002B2CF9AE}" pid="5" name="_KSOProductBuildSID">
    <vt:lpwstr>CYWFI6B7797Q0TTGRVR8YLJZ7ZCMOXGREJ0XXJDWXFG8TDLTZRBJQC0IFY9TPCRRBSMXOOL9ZIW78HXJQNFAYF8Q8RZMWLLBBSODQHB3B39556D9FDF3B66394D6068341675DE6</vt:lpwstr>
  </property>
</Properties>
</file>