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  <w:t>目标客户：</w:t>
      </w:r>
    </w:p>
    <w:p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南京御龙航空科技有限责任公司，目前未开户</w:t>
      </w:r>
    </w:p>
    <w:p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  <w:t>公司基本情况：</w:t>
      </w:r>
    </w:p>
    <w:p>
      <w:pPr>
        <w:numPr>
          <w:ilvl w:val="0"/>
          <w:numId w:val="1"/>
        </w:numP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  <w:t xml:space="preserve">基本信息 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</w:rPr>
        <w:t>企业名称：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南京御龙航空科技有限责任公司</w:t>
      </w: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成立时间：2014年12月26日</w:t>
      </w: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注册地点：江苏自贸区南京片区浦滨路320号科创总部大厦C1111</w:t>
      </w: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法定代表人：丁剑峰</w:t>
      </w: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注册资本：2000万元人民币</w:t>
      </w: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参保人数：12人（2023年年报数据）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  <w:t xml:space="preserve">二、关键人 </w:t>
      </w:r>
    </w:p>
    <w:p>
      <w:pPr>
        <w:numPr>
          <w:ilvl w:val="0"/>
          <w:numId w:val="0"/>
        </w:numPr>
        <w:ind w:left="105" w:leftChars="0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</w:rPr>
        <w:t>创始人：</w:t>
      </w:r>
      <w:r>
        <w:rPr>
          <w:rFonts w:hint="eastAsia" w:asciiTheme="majorEastAsia" w:hAnsiTheme="majorEastAsia" w:eastAsiaTheme="majorEastAsia" w:cstheme="majorEastAsia"/>
        </w:rPr>
        <w:t>丁剑峰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</w:rPr>
        <w:t>（同时为大股东和实际控制人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</w:rPr>
        <w:t>持股比例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64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%） </w:t>
      </w:r>
    </w:p>
    <w:p>
      <w:pPr>
        <w:numPr>
          <w:ilvl w:val="0"/>
          <w:numId w:val="0"/>
        </w:numPr>
        <w:ind w:left="105" w:leftChars="0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朱舜芳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</w:rPr>
        <w:t>（持股比例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36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%） </w:t>
      </w:r>
    </w:p>
    <w:p>
      <w:pPr>
        <w:numPr>
          <w:ilvl w:val="0"/>
          <w:numId w:val="0"/>
        </w:numPr>
        <w:ind w:left="105" w:leftChars="0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  <w:t>三、营业范围：</w:t>
      </w: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南京御龙航空科技有限责任公司是一家专注于无人机研发、设计与销售的高科技企业，提供无人机相关的技术服务及商务咨询。同时，公司还涉及航拍服务、培训、通用航空服务等领域，致力于民用航空技术的创新应用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  <w:t>四、企业资质</w:t>
      </w:r>
    </w:p>
    <w:p>
      <w:pPr>
        <w:numPr>
          <w:ilvl w:val="0"/>
          <w:numId w:val="0"/>
        </w:numPr>
        <w:ind w:left="105" w:leftChars="0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</w:rPr>
        <w:t>南京御龙航空科技有限责任公司被评为</w:t>
      </w:r>
      <w:r>
        <w:rPr>
          <w:rFonts w:hint="eastAsia" w:asciiTheme="majorEastAsia" w:hAnsiTheme="majorEastAsia" w:eastAsiaTheme="majorEastAsia" w:cstheme="majorEastAsia"/>
          <w:b/>
          <w:bCs/>
        </w:rPr>
        <w:t>科技型中小企业</w:t>
      </w:r>
      <w:r>
        <w:rPr>
          <w:rFonts w:hint="eastAsia" w:asciiTheme="majorEastAsia" w:hAnsiTheme="majorEastAsia" w:eastAsiaTheme="majorEastAsia" w:cstheme="majorEastAsia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目前该企业资质分为46.12，近五年无司法诉讼记录，总体良好。</w:t>
      </w:r>
    </w:p>
    <w:p>
      <w:pPr>
        <w:numPr>
          <w:ilvl w:val="0"/>
          <w:numId w:val="0"/>
        </w:numPr>
        <w:ind w:left="105" w:leftChars="0"/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lang w:val="en-US" w:eastAsia="zh-CN"/>
        </w:rPr>
        <w:t>五、企业营业情况</w:t>
      </w:r>
    </w:p>
    <w:tbl>
      <w:tblPr>
        <w:tblStyle w:val="3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rPr>
          <w:trHeight w:val="765" w:hRule="atLeast"/>
        </w:trPr>
        <w:tc>
          <w:tcPr>
            <w:tcW w:w="2129" w:type="dxa"/>
            <w:shd w:val="clear" w:color="auto" w:fill="FAFAF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指标名称</w:t>
            </w:r>
          </w:p>
        </w:tc>
        <w:tc>
          <w:tcPr>
            <w:tcW w:w="2130" w:type="dxa"/>
            <w:shd w:val="clear" w:color="auto" w:fill="FAFAF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2023年指标区间</w:t>
            </w:r>
          </w:p>
        </w:tc>
        <w:tc>
          <w:tcPr>
            <w:tcW w:w="2130" w:type="dxa"/>
            <w:shd w:val="clear" w:color="auto" w:fill="FAFAF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9"/>
                <w:szCs w:val="19"/>
                <w:u w:val="none"/>
                <w:lang w:val="en-US" w:eastAsia="zh-CN" w:bidi="ar"/>
              </w:rPr>
              <w:t>2022年指标区间</w:t>
            </w:r>
          </w:p>
        </w:tc>
      </w:tr>
      <w:tr>
        <w:trPr>
          <w:trHeight w:val="600" w:hRule="atLeast"/>
        </w:trPr>
        <w:tc>
          <w:tcPr>
            <w:tcW w:w="2129" w:type="dxa"/>
            <w:vMerge w:val="restart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资产负债表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资产总额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[500万,750万)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[200万,300万)</w:t>
            </w:r>
          </w:p>
        </w:tc>
      </w:tr>
      <w:tr>
        <w:trPr>
          <w:trHeight w:val="585" w:hRule="atLeast"/>
        </w:trPr>
        <w:tc>
          <w:tcPr>
            <w:tcW w:w="2129" w:type="dxa"/>
            <w:vMerge w:val="continue"/>
            <w:shd w:val="clear" w:color="auto" w:fill="FFFFFF"/>
            <w:vAlign w:val="center"/>
          </w:tcPr>
          <w:p>
            <w:pP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负债总额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[500万,750万)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[300万,500万)</w:t>
            </w:r>
          </w:p>
        </w:tc>
      </w:tr>
      <w:tr>
        <w:trPr>
          <w:trHeight w:val="585" w:hRule="atLeast"/>
        </w:trPr>
        <w:tc>
          <w:tcPr>
            <w:tcW w:w="2129" w:type="dxa"/>
            <w:vMerge w:val="continue"/>
            <w:shd w:val="clear" w:color="auto" w:fill="FFFFFF"/>
            <w:vAlign w:val="center"/>
          </w:tcPr>
          <w:p>
            <w:pP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所有者权益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[5万,7万)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[-5万,-1万)</w:t>
            </w:r>
          </w:p>
        </w:tc>
      </w:tr>
      <w:tr>
        <w:trPr>
          <w:trHeight w:val="600" w:hRule="atLeast"/>
        </w:trPr>
        <w:tc>
          <w:tcPr>
            <w:tcW w:w="2129" w:type="dxa"/>
            <w:vMerge w:val="restart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利润表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营业总收入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[150万,200万)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[150万,200万)</w:t>
            </w:r>
          </w:p>
        </w:tc>
      </w:tr>
      <w:tr>
        <w:trPr>
          <w:trHeight w:val="585" w:hRule="atLeast"/>
        </w:trPr>
        <w:tc>
          <w:tcPr>
            <w:tcW w:w="2129" w:type="dxa"/>
            <w:vMerge w:val="continue"/>
            <w:shd w:val="clear" w:color="auto" w:fill="FAFAFA"/>
            <w:vAlign w:val="center"/>
          </w:tcPr>
          <w:p>
            <w:pP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主营业务收入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[150万,200万)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[150万,200万)</w:t>
            </w:r>
          </w:p>
        </w:tc>
      </w:tr>
      <w:tr>
        <w:trPr>
          <w:trHeight w:val="585" w:hRule="atLeast"/>
        </w:trPr>
        <w:tc>
          <w:tcPr>
            <w:tcW w:w="2129" w:type="dxa"/>
            <w:vMerge w:val="continue"/>
            <w:shd w:val="clear" w:color="auto" w:fill="FAFAFA"/>
            <w:vAlign w:val="center"/>
          </w:tcPr>
          <w:p>
            <w:pP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纳税总额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[1.5万,2万)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[1万,1.5万)</w:t>
            </w:r>
          </w:p>
        </w:tc>
      </w:tr>
      <w:tr>
        <w:trPr>
          <w:trHeight w:val="585" w:hRule="atLeast"/>
        </w:trPr>
        <w:tc>
          <w:tcPr>
            <w:tcW w:w="2129" w:type="dxa"/>
            <w:vMerge w:val="continue"/>
            <w:shd w:val="clear" w:color="auto" w:fill="FAFAFA"/>
            <w:vAlign w:val="center"/>
          </w:tcPr>
          <w:p>
            <w:pP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利润总额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[-10万,-5万)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[-100万,-10万)</w:t>
            </w:r>
          </w:p>
        </w:tc>
      </w:tr>
      <w:tr>
        <w:trPr>
          <w:trHeight w:val="585" w:hRule="atLeast"/>
        </w:trPr>
        <w:tc>
          <w:tcPr>
            <w:tcW w:w="2129" w:type="dxa"/>
            <w:vMerge w:val="continue"/>
            <w:shd w:val="clear" w:color="auto" w:fill="FAFAFA"/>
            <w:vAlign w:val="center"/>
          </w:tcPr>
          <w:p>
            <w:pP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净利润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[-10万,-5万)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[-100万,-10万)</w:t>
            </w:r>
          </w:p>
        </w:tc>
      </w:tr>
      <w:tr>
        <w:trPr>
          <w:trHeight w:val="555" w:hRule="atLeast"/>
        </w:trPr>
        <w:tc>
          <w:tcPr>
            <w:tcW w:w="2129" w:type="dxa"/>
            <w:vMerge w:val="restart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其他指标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资产负债率（%）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160</w:t>
            </w:r>
          </w:p>
        </w:tc>
      </w:tr>
      <w:tr>
        <w:trPr>
          <w:trHeight w:val="540" w:hRule="atLeast"/>
        </w:trPr>
        <w:tc>
          <w:tcPr>
            <w:tcW w:w="2129" w:type="dxa"/>
            <w:vMerge w:val="continue"/>
            <w:shd w:val="clear" w:color="auto" w:fill="FFFFFF"/>
            <w:vAlign w:val="center"/>
          </w:tcPr>
          <w:p>
            <w:pP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毛利率（%）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-4.29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-31.43</w:t>
            </w:r>
          </w:p>
        </w:tc>
      </w:tr>
      <w:tr>
        <w:trPr>
          <w:trHeight w:val="540" w:hRule="atLeast"/>
        </w:trPr>
        <w:tc>
          <w:tcPr>
            <w:tcW w:w="2129" w:type="dxa"/>
            <w:vMerge w:val="continue"/>
            <w:shd w:val="clear" w:color="auto" w:fill="auto"/>
          </w:tcPr>
          <w:p>
            <w:pP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员工数量（人）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[15,19]</w:t>
            </w:r>
          </w:p>
        </w:tc>
        <w:tc>
          <w:tcPr>
            <w:tcW w:w="2130" w:type="dxa"/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32326"/>
          <w:spacing w:val="0"/>
          <w:sz w:val="21"/>
          <w:szCs w:val="21"/>
          <w:lang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从企业近两年财务情况来看，企业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32326"/>
          <w:spacing w:val="0"/>
          <w:sz w:val="21"/>
          <w:szCs w:val="21"/>
        </w:rPr>
        <w:t>公司资产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32326"/>
          <w:spacing w:val="0"/>
          <w:sz w:val="21"/>
          <w:szCs w:val="21"/>
          <w:lang w:eastAsia="zh-CN"/>
        </w:rPr>
        <w:t>、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32326"/>
          <w:spacing w:val="0"/>
          <w:sz w:val="21"/>
          <w:szCs w:val="21"/>
          <w:lang w:val="en-US" w:eastAsia="zh-CN"/>
        </w:rPr>
        <w:t>负债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32326"/>
          <w:spacing w:val="0"/>
          <w:sz w:val="21"/>
          <w:szCs w:val="21"/>
        </w:rPr>
        <w:t>规模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32326"/>
          <w:spacing w:val="0"/>
          <w:sz w:val="21"/>
          <w:szCs w:val="21"/>
          <w:lang w:val="en-US" w:eastAsia="zh-CN"/>
        </w:rPr>
        <w:t>均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32326"/>
          <w:spacing w:val="0"/>
          <w:sz w:val="21"/>
          <w:szCs w:val="21"/>
        </w:rPr>
        <w:t>有所扩大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32326"/>
          <w:spacing w:val="0"/>
          <w:sz w:val="21"/>
          <w:szCs w:val="21"/>
          <w:lang w:eastAsia="zh-CN"/>
        </w:rPr>
        <w:t>。资产负债率降低，意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32326"/>
          <w:spacing w:val="0"/>
          <w:sz w:val="21"/>
          <w:szCs w:val="21"/>
          <w:lang w:val="en-US" w:eastAsia="zh-CN"/>
        </w:rPr>
        <w:t>说明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232326"/>
          <w:spacing w:val="0"/>
          <w:sz w:val="21"/>
          <w:szCs w:val="21"/>
          <w:lang w:eastAsia="zh-CN"/>
        </w:rPr>
        <w:t>企业依靠自身资产偿还债务的能力增强，财务风险相对降低。</w:t>
      </w:r>
    </w:p>
    <w:p>
      <w:pP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  <w:t>触达思路：</w:t>
      </w:r>
    </w:p>
    <w:p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怎么联系上客户</w:t>
      </w:r>
    </w:p>
    <w:p>
      <w:pPr>
        <w:numPr>
          <w:numId w:val="0"/>
        </w:numP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1.该公司的两位股东之一的朱舜芳是我行的零售金卡客户，其管户是山西路支行，与我行粘性较强，可以借助旺季零售客户维护的机会完成对公触达。</w:t>
      </w: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2. 在企业的营销画像中，可以查看到关键人的手机号码（如丁**，有可能就是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spacing w:val="0"/>
          <w:sz w:val="21"/>
          <w:szCs w:val="21"/>
          <w:shd w:val="clear" w:fill="FFFFFF"/>
        </w:rPr>
        <w:t>创始人</w:t>
      </w:r>
      <w:r>
        <w:rPr>
          <w:rFonts w:hint="eastAsia" w:asciiTheme="majorEastAsia" w:hAnsiTheme="majorEastAsia" w:eastAsiaTheme="majorEastAsia" w:cstheme="majorEastAsia"/>
        </w:rPr>
        <w:t>丁剑峰</w:t>
      </w: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）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3622675" cy="1621790"/>
            <wp:effectExtent l="0" t="0" r="9525" b="3810"/>
            <wp:docPr id="2" name="图片 2" descr="WXWorkLocal_17393607342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WXWorkLocal_1739360734239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267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二、触达之后聊什么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1.邀请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张成和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分享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作为创始人的过往经历，打开话题，了解他对市场的看法和未来展望，比如有没有上市需求、接班人计划等。</w:t>
      </w:r>
    </w:p>
    <w:p>
      <w:pPr>
        <w:numPr>
          <w:numId w:val="0"/>
        </w:numP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</w:p>
    <w:p>
      <w:pPr>
        <w:numPr>
          <w:ilvl w:val="0"/>
          <w:numId w:val="3"/>
        </w:numP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提出该企业在南京地区的相似优质竞争对手，如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南京莱斯信息技术股份有限公司（该公司在国家知识产权局提交了一项名为“无人机起降场的进离场路线和时隙分配方法”的专利）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南京星谱智信息科技有限公司（该公司的开发研究以“无人机集群智能组网”等国家重大应用需求的核心难题为主要攻关方向）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南京奥途信息技术有限公司（该公司取得了一项名为“一种无人机电力巡检方法及系统”的专利）</w:t>
      </w:r>
    </w:p>
    <w:p>
      <w:pPr>
        <w:numPr>
          <w:numId w:val="0"/>
        </w:numPr>
        <w:ind w:leftChars="0"/>
        <w:rPr>
          <w:rFonts w:hint="default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以上企业均为我行客户，且和目标企业均位于南京，可以假设目标企业了解上述企业，可以用其他企业选择我行说明我们的优越性。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可以从主营产品及技术、市场应用切入，展现我行人员对于无人机领域的深入了解和专业性。例如，南京御龙航空科技有限责任公司当前主攻无人机系统，那随着电力巡检、应急救援等需求的日益增长，该公司是否正在积极开拓这些新兴市场？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drawing>
          <wp:inline distT="0" distB="0" distL="114300" distR="114300">
            <wp:extent cx="5190490" cy="3056255"/>
            <wp:effectExtent l="0" t="0" r="0" b="0"/>
            <wp:docPr id="1" name="图片 1" descr="18351739359669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8351739359669_.pic"/>
                    <pic:cNvPicPr>
                      <a:picLocks noChangeAspect="1"/>
                    </pic:cNvPicPr>
                  </pic:nvPicPr>
                  <pic:blipFill>
                    <a:blip r:embed="rId5"/>
                    <a:srcRect r="1566" b="9240"/>
                    <a:stretch>
                      <a:fillRect/>
                    </a:stretch>
                  </pic:blipFill>
                  <pic:spPr>
                    <a:xfrm>
                      <a:off x="0" y="0"/>
                      <a:ext cx="519049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（1）无人机飞行控制技术（大脑）：这是无人机的核心操控系统，它集成了导航算法、姿态控制等关键功能，决定了无人机的飞行轨迹和稳定性。就像大脑指挥我们的身体行动一样，飞行控制技术为无人机提供智能和决策能力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（2）无人机动力系统（心脏）：这是驱动无人机飞行的关键组件，包括电机、电池和能源管理系统。它为无人机提供持续的能量和动力，就像心脏为身体输送血液一样，动力系统支撑着无人机的持续运行。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（3）无人机机身结构技术（骨架）：这是无人机的基础构造技术，它决定了无人机的强度和耐久性。机身结构技术通过合理的设计和选材，确保无人机在复杂环境中保持稳定和可靠，类似于骨架支撑我们的身体结构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（4）无人机传感器与感知技术（眼睛与耳朵）：这是无人机获取外界信息的重要手段，包括摄像头、雷达、红外传感器等。它们帮助无人机感知周围环境，实现自主导航和避障，就像眼睛和耳朵让我们感知世界一样，传感器技术增强了无人机的环境适应能力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（5）无人机数据传输与处理技术（神经系统）：这是无人机与外界通信和数据交换的核心技术，它负责将无人机收集的信息实时传输到地面站或云端，并进行处理和分析。就像神经系统传递和处理信息一样，数据传输与处理技术使无人机成为智能网络的一部分，实现远程监控和智能决策。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三、产品推荐</w:t>
      </w:r>
    </w:p>
    <w:p>
      <w:pP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1、该公司中标项目较多（最近一次25年2月10号），是否有保函、信用证贴现等需求？</w:t>
      </w:r>
    </w:p>
    <w:p>
      <w:pPr>
        <w:numPr>
          <w:ilvl w:val="0"/>
          <w:numId w:val="0"/>
        </w:numP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  <w:t>2、我行可以提供鑫e科企（预估额度约在50-200万元）等标准化产品置换。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Helvetica" w:hAnsi="Helvetica" w:eastAsia="宋体" w:cs="Helvetica"/>
          <w:i w:val="0"/>
          <w:iCs w:val="0"/>
          <w:caps w:val="0"/>
          <w:color w:val="2C3E50"/>
          <w:spacing w:val="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4801C"/>
    <w:multiLevelType w:val="singleLevel"/>
    <w:tmpl w:val="FFF4801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DDF47B5"/>
    <w:multiLevelType w:val="singleLevel"/>
    <w:tmpl w:val="5DDF47B5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7AC629E"/>
    <w:multiLevelType w:val="singleLevel"/>
    <w:tmpl w:val="67AC629E"/>
    <w:lvl w:ilvl="0" w:tentative="0">
      <w:start w:val="1"/>
      <w:numFmt w:val="chineseCounting"/>
      <w:suff w:val="nothing"/>
      <w:lvlText w:val="%1、"/>
      <w:lvlJc w:val="left"/>
    </w:lvl>
  </w:abstractNum>
  <w:abstractNum w:abstractNumId="3">
    <w:nsid w:val="7FC62E62"/>
    <w:multiLevelType w:val="singleLevel"/>
    <w:tmpl w:val="7FC62E6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236B1"/>
    <w:rsid w:val="1991296D"/>
    <w:rsid w:val="1FFF44E1"/>
    <w:rsid w:val="2A832325"/>
    <w:rsid w:val="3FB236B1"/>
    <w:rsid w:val="41136C80"/>
    <w:rsid w:val="5ADC39B3"/>
    <w:rsid w:val="6B59F53C"/>
    <w:rsid w:val="74DD29FF"/>
    <w:rsid w:val="7C7CD1B3"/>
    <w:rsid w:val="BBBF711B"/>
    <w:rsid w:val="DFBA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customStyle="1" w:styleId="6">
    <w:name w:val="font21"/>
    <w:basedOn w:val="4"/>
    <w:qFormat/>
    <w:uiPriority w:val="0"/>
    <w:rPr>
      <w:rFonts w:hint="default" w:ascii="Segoe UI" w:hAnsi="Segoe UI" w:eastAsia="Segoe UI" w:cs="Segoe UI"/>
      <w:color w:val="FF4D4F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2025-02-12T16:46:00Z</dcterms:created>
  <dc:creator>张昕晔</dc:creator>
  <cp:lastModifiedBy>Katrina Zhang</cp:lastModifiedBy>
  <dcterms:modified xsi:type="dcterms:W3CDTF">2025-02-12T19:58:08Z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FC4A40CD102C1737F475AC67CC8128FD_42</vt:lpwstr>
  </property>
</Properties>
</file>