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&lt;% { </w:t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noProof/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 w:rsidR="00041A0C">
                                  <w:rPr>
                                    <w:lang w:val="en-US"/>
                                  </w:rPr>
                                  <w:t>January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&lt;% { </w:t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noProof/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noProof/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 w:rsidR="00041A0C">
                            <w:rPr>
                              <w:lang w:val="en-US"/>
                            </w:rPr>
                            <w:t>January 2018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D381B" w:rsidRPr="00245E5C" w:rsidRDefault="007503FB">
      <w:pPr>
        <w:pStyle w:val="Kop1"/>
        <w:rPr>
          <w:lang w:val="en-US"/>
        </w:rPr>
      </w:pPr>
      <w:bookmarkStart w:id="1" w:name="_Toc50249446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1"/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SharpDocx is inspired by Web technologies like ASP.NET and JSP. Developers familiar with those technologies should feel right at home.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First you create a view in Word. A view is a Word document which also contains C# code. Code can be inserted anywhere: &lt;%= 3*8 %&gt; would insert 24.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Out of the box SharpDocx supports inserting text, tables, images and </w:t>
      </w:r>
      <w:r>
        <w:rPr>
          <w:lang w:val="en-US"/>
        </w:rPr>
        <w:t>more. This tutorial shows you how.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RDefault="00B16B1C" w:rsidP="00B16B1C">
      <w:pPr>
        <w:rPr>
          <w:lang w:val="en-US"/>
        </w:rPr>
      </w:pPr>
      <w:r w:rsidRPr="00B16B1C">
        <w:rPr>
          <w:lang w:val="en-US"/>
        </w:rPr>
        <w:t>If you want to do something that's not supported by SharpDocx, you can do so by creating your own document subclass. See the Inheritance example.</w:t>
      </w:r>
    </w:p>
    <w:p w:rsidR="00CA5637" w:rsidRPr="00245E5C" w:rsidRDefault="00CA5637" w:rsidP="00B16B1C">
      <w:pPr>
        <w:rPr>
          <w:lang w:val="en-US"/>
        </w:rPr>
      </w:pPr>
      <w:r>
        <w:rPr>
          <w:lang w:val="en-US"/>
        </w:rPr>
        <w:t>Generating documents with SharpDocx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2" w:name="_Toc50249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2"/>
        </w:p>
        <w:p w:rsidR="00FC5405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2494466" w:history="1">
            <w:r w:rsidR="00FC5405" w:rsidRPr="0062525B">
              <w:rPr>
                <w:rStyle w:val="Hyperlink"/>
                <w:noProof/>
                <w:lang w:val="en-US"/>
              </w:rPr>
              <w:t>Summary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1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1"/>
            <w:rPr>
              <w:noProof/>
              <w:lang w:val="nl-NL" w:eastAsia="nl-NL"/>
            </w:rPr>
          </w:pPr>
          <w:hyperlink w:anchor="_Toc502494467" w:history="1">
            <w:r w:rsidR="00FC5405" w:rsidRPr="0062525B">
              <w:rPr>
                <w:rStyle w:val="Hyperlink"/>
                <w:noProof/>
                <w:lang w:val="en-US"/>
              </w:rPr>
              <w:t>Contents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_Toc502494467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2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1"/>
            <w:rPr>
              <w:noProof/>
              <w:lang w:val="nl-NL" w:eastAsia="nl-NL"/>
            </w:rPr>
          </w:pPr>
          <w:hyperlink w:anchor="_Toc502494468" w:history="1">
            <w:r w:rsidR="00FC5405" w:rsidRPr="0062525B">
              <w:rPr>
                <w:rStyle w:val="Hyperlink"/>
                <w:noProof/>
                <w:lang w:val="en-US"/>
              </w:rPr>
              <w:t>The basics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_Toc502494468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69" w:history="1">
            <w:r w:rsidR="00FC5405" w:rsidRPr="0062525B">
              <w:rPr>
                <w:rStyle w:val="Hyperlink"/>
                <w:noProof/>
                <w:lang w:val="en-US"/>
              </w:rPr>
              <w:t>Write method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_Toc502494469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0" w:history="1">
            <w:r w:rsidR="00FC5405" w:rsidRPr="0062525B">
              <w:rPr>
                <w:rStyle w:val="Hyperlink"/>
                <w:noProof/>
                <w:lang w:val="en-US"/>
              </w:rPr>
              <w:t>Conditional content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_Toc502494470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1" w:history="1">
            <w:r w:rsidR="00FC5405" w:rsidRPr="0062525B">
              <w:rPr>
                <w:rStyle w:val="Hyperlink"/>
                <w:noProof/>
                <w:lang w:val="en-US"/>
              </w:rPr>
              <w:t>Loops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_Toc502494471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4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2" w:history="1">
            <w:r w:rsidR="00FC5405" w:rsidRPr="0062525B">
              <w:rPr>
                <w:rStyle w:val="Hyperlink"/>
                <w:noProof/>
                <w:lang w:val="en-US"/>
              </w:rPr>
              <w:t>Tables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_Toc502494472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5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3" w:history="1">
            <w:r w:rsidR="00FC5405" w:rsidRPr="0062525B">
              <w:rPr>
                <w:rStyle w:val="Hyperlink"/>
                <w:noProof/>
                <w:lang w:val="en-US"/>
              </w:rPr>
              <w:t>Images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_Toc502494473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6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4" w:history="1">
            <w:r w:rsidR="00FC5405" w:rsidRPr="0062525B">
              <w:rPr>
                <w:rStyle w:val="Hyperlink"/>
                <w:noProof/>
                <w:lang w:val="en-US"/>
              </w:rPr>
              <w:t>Replacing text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_Toc502494474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7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5" w:history="1">
            <w:r w:rsidR="00FC5405" w:rsidRPr="0062525B">
              <w:rPr>
                <w:rStyle w:val="Hyperlink"/>
                <w:noProof/>
                <w:lang w:val="en-US"/>
              </w:rPr>
              <w:t>Referencing assemblies and importing namespaces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_Toc502494475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8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403F6">
          <w:pPr>
            <w:pStyle w:val="Inhopg2"/>
            <w:rPr>
              <w:noProof/>
              <w:lang w:val="nl-NL" w:eastAsia="nl-NL"/>
            </w:rPr>
          </w:pPr>
          <w:hyperlink w:anchor="_Toc502494476" w:history="1">
            <w:r w:rsidR="00FC5405" w:rsidRPr="0062525B">
              <w:rPr>
                <w:rStyle w:val="Hyperlink"/>
                <w:noProof/>
                <w:lang w:val="en-US"/>
              </w:rPr>
              <w:t>The Map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9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3" w:name="_Toc502494468"/>
      <w:r w:rsidRPr="00245E5C">
        <w:rPr>
          <w:lang w:val="en-US"/>
        </w:rPr>
        <w:lastRenderedPageBreak/>
        <w:t>The basics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 xml:space="preserve">. Like right &lt;% </w:t>
      </w:r>
      <w:proofErr w:type="spellStart"/>
      <w:r w:rsidR="0022411E" w:rsidRPr="00245E5C">
        <w:rPr>
          <w:lang w:val="en-US"/>
        </w:rPr>
        <w:t>var</w:t>
      </w:r>
      <w:proofErr w:type="spellEnd"/>
      <w:r w:rsidR="0022411E" w:rsidRPr="00245E5C">
        <w:rPr>
          <w:lang w:val="en-US"/>
        </w:rPr>
        <w:t xml:space="preserve">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4" w:name="_Toc502494469"/>
      <w:r w:rsidRPr="00245E5C">
        <w:rPr>
          <w:lang w:val="en-US"/>
        </w:rPr>
        <w:t>Write method</w:t>
      </w:r>
      <w:bookmarkEnd w:id="4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This </w:t>
      </w:r>
      <w:r w:rsidR="00D0659C">
        <w:rPr>
          <w:noProof/>
          <w:lang w:val="en-US"/>
        </w:rPr>
        <w:t>paragraph</w:t>
      </w:r>
      <w:r w:rsidR="003874F3">
        <w:rPr>
          <w:noProof/>
          <w:lang w:val="en-US"/>
        </w:rPr>
        <w:t>\n</w:t>
      </w:r>
      <w:r w:rsidR="00D0659C">
        <w:rPr>
          <w:noProof/>
          <w:lang w:val="en-US"/>
        </w:rPr>
        <w:t>contains</w:t>
      </w:r>
      <w:r w:rsidR="003874F3">
        <w:rPr>
          <w:noProof/>
          <w:lang w:val="en-US"/>
        </w:rPr>
        <w:t xml:space="preserve"> two</w:t>
      </w:r>
      <w:r>
        <w:rPr>
          <w:noProof/>
          <w:lang w:val="en-US"/>
        </w:rPr>
        <w:t>\n</w:t>
      </w:r>
      <w:r w:rsidR="00D0659C">
        <w:rPr>
          <w:noProof/>
          <w:lang w:val="en-US"/>
        </w:rPr>
        <w:t>line break</w:t>
      </w:r>
      <w:r w:rsidR="003874F3">
        <w:rPr>
          <w:noProof/>
          <w:lang w:val="en-US"/>
        </w:rPr>
        <w:t>s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  <w:r>
        <w:rPr>
          <w:lang w:val="en-US"/>
        </w:rPr>
        <w:t>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5" w:name="_Toc502494470"/>
      <w:r w:rsidRPr="00245E5C">
        <w:rPr>
          <w:lang w:val="en-US"/>
        </w:rPr>
        <w:t>Conditional content</w:t>
      </w:r>
      <w:bookmarkEnd w:id="5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</w:p>
    <w:p w:rsidR="00673BC1" w:rsidRPr="00245E5C" w:rsidRDefault="00786AE8">
      <w:pPr>
        <w:rPr>
          <w:rStyle w:val="tgc"/>
          <w:rFonts w:ascii="Arial" w:hAnsi="Arial" w:cs="Arial"/>
          <w:noProof/>
          <w:color w:val="222222"/>
          <w:shd w:val="clear" w:color="auto" w:fill="FFFFFF"/>
          <w:lang w:val="en-US"/>
        </w:rPr>
      </w:pPr>
      <w:r w:rsidRPr="00245E5C">
        <w:rPr>
          <w:noProof/>
          <w:lang w:val="en-US"/>
        </w:rPr>
        <w:t>&lt;% if (DateTime.Now.Second</w:t>
      </w:r>
      <w:r w:rsidR="00673BC1" w:rsidRPr="00245E5C">
        <w:rPr>
          <w:noProof/>
          <w:lang w:val="en-US"/>
        </w:rPr>
        <w:t xml:space="preserve"> % 2 </w:t>
      </w:r>
      <w:r w:rsidR="00DB1E80" w:rsidRPr="00245E5C">
        <w:rPr>
          <w:noProof/>
          <w:lang w:val="en-US"/>
        </w:rPr>
        <w:t>=</w:t>
      </w:r>
      <w:r w:rsidR="00F31278" w:rsidRPr="00245E5C">
        <w:rPr>
          <w:noProof/>
          <w:lang w:val="en-US"/>
        </w:rPr>
        <w:t xml:space="preserve">= </w:t>
      </w:r>
      <w:r w:rsidR="009707F3">
        <w:rPr>
          <w:noProof/>
          <w:lang w:val="en-US"/>
        </w:rPr>
        <w:t>0</w:t>
      </w:r>
      <w:r w:rsidR="00673BC1" w:rsidRPr="00245E5C">
        <w:rPr>
          <w:noProof/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r w:rsidR="006A226A"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="006A226A"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6" w:name="_Toc502494471"/>
      <w:r w:rsidRPr="00245E5C">
        <w:rPr>
          <w:lang w:val="en-US"/>
        </w:rPr>
        <w:lastRenderedPageBreak/>
        <w:t>Loops</w:t>
      </w:r>
      <w:bookmarkEnd w:id="6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="00182C12" w:rsidRPr="00245E5C">
        <w:rPr>
          <w:lang w:val="en-US"/>
        </w:rPr>
        <w:t>programmatically</w:t>
      </w:r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noProof/>
          <w:lang w:val="en-US"/>
        </w:rPr>
      </w:pPr>
      <w:r w:rsidRPr="00245E5C">
        <w:rPr>
          <w:noProof/>
          <w:lang w:val="en-US"/>
        </w:rPr>
        <w:t>&lt;% for (i</w:t>
      </w:r>
      <w:r w:rsidR="00804475" w:rsidRPr="00245E5C">
        <w:rPr>
          <w:noProof/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0A7E31">
        <w:rPr>
          <w:lang w:val="en-US"/>
        </w:rPr>
        <w:t>%&gt;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7" w:name="_Toc502494472"/>
      <w:r w:rsidRPr="00245E5C">
        <w:rPr>
          <w:lang w:val="en-US"/>
        </w:rPr>
        <w:lastRenderedPageBreak/>
        <w:t>Tables</w:t>
      </w:r>
      <w:bookmarkEnd w:id="7"/>
    </w:p>
    <w:p w:rsidR="00FD12CC" w:rsidRDefault="00FD12CC" w:rsidP="007F4118">
      <w:pPr>
        <w:rPr>
          <w:lang w:val="en-US"/>
        </w:rPr>
      </w:pPr>
      <w:r>
        <w:rPr>
          <w:lang w:val="en-US"/>
        </w:rPr>
        <w:t>Design your tables in Word, and create r</w:t>
      </w:r>
      <w:r w:rsidR="00182C12">
        <w:rPr>
          <w:lang w:val="en-US"/>
        </w:rPr>
        <w:t>ows using the AppendRow method.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="00F25459" w:rsidRPr="00245E5C" w:rsidTr="0098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245E5C" w:rsidRDefault="009420D5" w:rsidP="001C2020">
            <w:pPr>
              <w:jc w:val="center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2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3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4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5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6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7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8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9</w:t>
            </w:r>
          </w:p>
        </w:tc>
        <w:tc>
          <w:tcPr>
            <w:tcW w:w="1049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10</w:t>
            </w:r>
          </w:p>
        </w:tc>
      </w:tr>
      <w:tr w:rsidR="00F25459" w:rsidRPr="00245E5C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125B35" w:rsidRDefault="007D760B" w:rsidP="001C2020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>&lt;%= i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1049" w:type="dxa"/>
          </w:tcPr>
          <w:p w:rsidR="007D760B" w:rsidRPr="00245E5C" w:rsidRDefault="007D760B" w:rsidP="0013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182C12" w:rsidRPr="00245E5C" w:rsidRDefault="00625292" w:rsidP="007F4118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8" w:name="_Toc502494473"/>
      <w:r w:rsidRPr="00245E5C">
        <w:rPr>
          <w:lang w:val="en-US"/>
        </w:rPr>
        <w:lastRenderedPageBreak/>
        <w:t>Images</w:t>
      </w:r>
      <w:bookmarkEnd w:id="8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>&lt;%= ImageDirectory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9" w:name="_Toc502494474"/>
      <w:r w:rsidRPr="00245E5C">
        <w:rPr>
          <w:lang w:val="en-US"/>
        </w:rPr>
        <w:lastRenderedPageBreak/>
        <w:t>Replacing text</w:t>
      </w:r>
      <w:bookmarkEnd w:id="9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611FFD">
      <w:pPr>
        <w:pStyle w:val="Kop2"/>
        <w:rPr>
          <w:lang w:val="en-US"/>
        </w:rPr>
      </w:pPr>
      <w:bookmarkStart w:id="10" w:name="_Toc502494475"/>
      <w:r>
        <w:rPr>
          <w:lang w:val="en-US"/>
        </w:rPr>
        <w:lastRenderedPageBreak/>
        <w:t>Referencing assemblies and importing namespaces</w:t>
      </w:r>
      <w:bookmarkEnd w:id="10"/>
    </w:p>
    <w:p w:rsidR="00144514" w:rsidRDefault="008C0799" w:rsidP="00611FFD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="00611FFD" w:rsidRPr="00611FFD" w:rsidRDefault="00EA6D84" w:rsidP="00611FFD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RDefault="00611FFD" w:rsidP="00611FF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</w:t>
      </w:r>
      <w:r w:rsidRPr="00691EFD">
        <w:rPr>
          <w:noProof/>
          <w:lang w:val="en-US"/>
        </w:rPr>
        <w:t>" %&gt;</w:t>
      </w:r>
      <w:r>
        <w:rPr>
          <w:noProof/>
          <w:lang w:val="en-US"/>
        </w:rPr>
        <w:br/>
      </w: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Name="System.Xml.Linq</w:t>
      </w:r>
      <w:r w:rsidRPr="00691EFD">
        <w:rPr>
          <w:noProof/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RDefault="00611FFD" w:rsidP="007D5E7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>&lt;%@ Import Namespace="System.</w:t>
      </w:r>
      <w:r>
        <w:rPr>
          <w:noProof/>
          <w:lang w:val="en-US"/>
        </w:rPr>
        <w:t>Xml.Linq</w:t>
      </w:r>
      <w:r w:rsidRPr="00691EFD">
        <w:rPr>
          <w:noProof/>
          <w:lang w:val="en-US"/>
        </w:rPr>
        <w:t>" %&gt;</w:t>
      </w:r>
    </w:p>
    <w:p w:rsidR="007D5E7D" w:rsidRDefault="007D5E7D" w:rsidP="00611FFD">
      <w:pPr>
        <w:rPr>
          <w:lang w:val="en-US"/>
        </w:rPr>
      </w:pPr>
      <w:r>
        <w:rPr>
          <w:lang w:val="en-US"/>
        </w:rPr>
        <w:t>In C# you would write:</w:t>
      </w:r>
    </w:p>
    <w:p w:rsidR="007D5E7D" w:rsidRPr="00C46E12" w:rsidRDefault="007D5E7D" w:rsidP="00611FF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System.Xml.Linq.</w:t>
      </w:r>
      <w:r w:rsidR="00FE1FC5">
        <w:rPr>
          <w:lang w:val="en-US"/>
        </w:rPr>
        <w:t xml:space="preserve"> Let’s read some news.</w:t>
      </w:r>
    </w:p>
    <w:p w:rsidR="0010285D" w:rsidRDefault="00952048" w:rsidP="00952048">
      <w:pPr>
        <w:rPr>
          <w:noProof/>
          <w:lang w:val="en-US"/>
        </w:rPr>
      </w:pPr>
      <w:r>
        <w:rPr>
          <w:noProof/>
          <w:lang w:val="en-US"/>
        </w:rPr>
        <w:t xml:space="preserve">&lt;% </w:t>
      </w:r>
      <w:r w:rsidR="00884183">
        <w:rPr>
          <w:noProof/>
          <w:lang w:val="en-US"/>
        </w:rPr>
        <w:t>try</w:t>
      </w:r>
      <w:r w:rsidR="00884183">
        <w:rPr>
          <w:noProof/>
          <w:lang w:val="en-US"/>
        </w:rPr>
        <w:br/>
        <w:t>{</w:t>
      </w:r>
      <w:r w:rsidR="00884183">
        <w:rPr>
          <w:noProof/>
          <w:lang w:val="en-US"/>
        </w:rPr>
        <w:br/>
        <w:t xml:space="preserve">  </w:t>
      </w:r>
      <w:r w:rsidRPr="00952048">
        <w:rPr>
          <w:noProof/>
          <w:lang w:val="en-US"/>
        </w:rPr>
        <w:t>var atom = XDocument.Load("http://rss.slashdot.o</w:t>
      </w:r>
      <w:r w:rsidR="0010285D">
        <w:rPr>
          <w:noProof/>
          <w:lang w:val="en-US"/>
        </w:rPr>
        <w:t>rg/Slashdot/slashdotMainatom");</w:t>
      </w:r>
    </w:p>
    <w:p w:rsidR="00952048" w:rsidRDefault="00884183" w:rsidP="00952048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 xml:space="preserve">foreach (var </w:t>
      </w:r>
      <w:r w:rsidR="000F3A8C">
        <w:rPr>
          <w:noProof/>
          <w:lang w:val="en-US"/>
        </w:rPr>
        <w:t>entry</w:t>
      </w:r>
      <w:r w:rsidR="00952048" w:rsidRPr="00952048">
        <w:rPr>
          <w:noProof/>
          <w:lang w:val="en-US"/>
        </w:rPr>
        <w:t xml:space="preserve"> in atom.Descendants("{http://www.w3.org/2005/Atom}entry")</w:t>
      </w:r>
      <w:r w:rsidR="000F3A8C">
        <w:rPr>
          <w:noProof/>
          <w:lang w:val="en-US"/>
        </w:rPr>
        <w:t>)</w:t>
      </w:r>
      <w:r w:rsidR="0010285D">
        <w:rPr>
          <w:noProof/>
          <w:lang w:val="en-US"/>
        </w:rPr>
        <w:br/>
      </w:r>
      <w:r w:rsidR="005649AF"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>{</w:t>
      </w:r>
      <w:r w:rsidR="00500EAF">
        <w:rPr>
          <w:noProof/>
          <w:lang w:val="en-US"/>
        </w:rPr>
        <w:t xml:space="preserve"> </w:t>
      </w:r>
      <w:r w:rsidR="00952048">
        <w:rPr>
          <w:noProof/>
          <w:lang w:val="en-US"/>
        </w:rPr>
        <w:t>%&gt;</w:t>
      </w:r>
    </w:p>
    <w:p w:rsidR="00611FFD" w:rsidRDefault="00660D24" w:rsidP="005649AF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>&lt;%=</w:t>
      </w:r>
      <w:r w:rsidR="000F3A8C" w:rsidRPr="000F3A8C">
        <w:rPr>
          <w:noProof/>
        </w:rPr>
        <w:t xml:space="preserve"> </w:t>
      </w:r>
      <w:r w:rsidR="000F3A8C" w:rsidRPr="000F3A8C">
        <w:rPr>
          <w:b/>
          <w:noProof/>
          <w:lang w:val="en-US"/>
        </w:rPr>
        <w:t>entry.Element("{http://www.w3.org/2005/Atom}title").Value</w:t>
      </w:r>
      <w:r w:rsidR="00952048" w:rsidRPr="000F3A8C">
        <w:rPr>
          <w:b/>
          <w:noProof/>
          <w:lang w:val="en-US"/>
        </w:rPr>
        <w:t xml:space="preserve"> %&gt;</w:t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>&lt;%</w:t>
      </w:r>
      <w:r w:rsidR="00D80E4A">
        <w:rPr>
          <w:noProof/>
          <w:lang w:val="en-US"/>
        </w:rPr>
        <w:t>=</w:t>
      </w:r>
      <w:r w:rsidR="00CC3FEB">
        <w:rPr>
          <w:noProof/>
          <w:lang w:val="en-US"/>
        </w:rPr>
        <w:t xml:space="preserve"> </w:t>
      </w:r>
      <w:r w:rsidR="000F3A8C" w:rsidRPr="000F3A8C">
        <w:rPr>
          <w:noProof/>
          <w:lang w:val="en-US"/>
        </w:rPr>
        <w:t>entry.Element("{http://www.w3.org/2005/Atom}summary").Value.Substring(0,200) %&gt;</w:t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>&lt;% AppendParagraph(); %&gt;</w:t>
      </w:r>
    </w:p>
    <w:p w:rsidR="00952048" w:rsidRDefault="00952048" w:rsidP="00611FFD">
      <w:pPr>
        <w:rPr>
          <w:noProof/>
          <w:lang w:val="en-US"/>
        </w:rPr>
      </w:pPr>
      <w:r>
        <w:rPr>
          <w:noProof/>
          <w:lang w:val="en-US"/>
        </w:rPr>
        <w:t>&lt;% }</w:t>
      </w:r>
      <w:r w:rsidR="00884183">
        <w:rPr>
          <w:noProof/>
          <w:lang w:val="en-US"/>
        </w:rPr>
        <w:br/>
        <w:t>}</w:t>
      </w:r>
      <w:r w:rsidR="008A52C5">
        <w:rPr>
          <w:noProof/>
          <w:lang w:val="en-US"/>
        </w:rPr>
        <w:br/>
        <w:t>catch (</w:t>
      </w:r>
      <w:r w:rsidR="00D41BB4">
        <w:rPr>
          <w:noProof/>
          <w:lang w:val="en-US"/>
        </w:rPr>
        <w:t>Exception</w:t>
      </w:r>
      <w:r w:rsidR="008F0641">
        <w:rPr>
          <w:noProof/>
          <w:lang w:val="en-US"/>
        </w:rPr>
        <w:t xml:space="preserve"> ex</w:t>
      </w:r>
      <w:r w:rsidR="00500EAF">
        <w:rPr>
          <w:noProof/>
          <w:lang w:val="en-US"/>
        </w:rPr>
        <w:t>)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{</w:t>
      </w:r>
      <w:r w:rsidR="00ED2C0B">
        <w:rPr>
          <w:noProof/>
          <w:lang w:val="en-US"/>
        </w:rPr>
        <w:t xml:space="preserve"> </w:t>
      </w:r>
      <w:r w:rsidR="00500EAF">
        <w:rPr>
          <w:noProof/>
          <w:lang w:val="en-US"/>
        </w:rPr>
        <w:br/>
        <w:t xml:space="preserve">  </w:t>
      </w:r>
      <w:r w:rsidR="008F0641">
        <w:rPr>
          <w:noProof/>
          <w:lang w:val="en-US"/>
        </w:rPr>
        <w:t>Write(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Error: 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 + ex.</w:t>
      </w:r>
      <w:r w:rsidR="00D82256">
        <w:rPr>
          <w:noProof/>
          <w:lang w:val="en-US"/>
        </w:rPr>
        <w:t>Message</w:t>
      </w:r>
      <w:r w:rsidR="008F0641">
        <w:rPr>
          <w:noProof/>
          <w:lang w:val="en-US"/>
        </w:rPr>
        <w:t xml:space="preserve">); 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}</w:t>
      </w:r>
      <w:r>
        <w:rPr>
          <w:noProof/>
          <w:lang w:val="en-US"/>
        </w:rPr>
        <w:t xml:space="preserve"> %&gt;</w:t>
      </w:r>
    </w:p>
    <w:p w:rsidR="00506D4E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="00506D4E" w:rsidRPr="00245E5C" w:rsidRDefault="00506D4E" w:rsidP="00506D4E">
      <w:pPr>
        <w:pStyle w:val="Kop2"/>
        <w:rPr>
          <w:lang w:val="en-US"/>
        </w:rPr>
      </w:pPr>
      <w:bookmarkStart w:id="11" w:name="_Toc502494476"/>
      <w:r w:rsidRPr="00245E5C">
        <w:rPr>
          <w:lang w:val="en-US"/>
        </w:rPr>
        <w:lastRenderedPageBreak/>
        <w:t>The Map</w:t>
      </w:r>
      <w:bookmarkEnd w:id="11"/>
    </w:p>
    <w:p w:rsidR="00506D4E" w:rsidRPr="00245E5C" w:rsidRDefault="00506D4E" w:rsidP="00506D4E">
      <w:pPr>
        <w:rPr>
          <w:lang w:val="en-US"/>
        </w:rPr>
      </w:pPr>
      <w:r w:rsidRPr="00245E5C">
        <w:rPr>
          <w:lang w:val="en-US"/>
        </w:rPr>
        <w:t xml:space="preserve">The Map maps OpenXmlElements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Map.Text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RDefault="00506D4E" w:rsidP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&lt;%= Map.Text</w:t>
      </w:r>
      <w:r>
        <w:rPr>
          <w:noProof/>
          <w:lang w:val="en-US"/>
        </w:rPr>
        <w:t>.Substring(0,500)</w:t>
      </w:r>
      <w:r w:rsidRPr="00245E5C">
        <w:rPr>
          <w:noProof/>
          <w:lang w:val="en-US"/>
        </w:rPr>
        <w:t xml:space="preserve"> %&gt;</w:t>
      </w:r>
      <w:r>
        <w:rPr>
          <w:noProof/>
          <w:lang w:val="en-US"/>
        </w:rPr>
        <w:t xml:space="preserve"> … </w:t>
      </w:r>
    </w:p>
    <w:p w:rsidR="00506D4E" w:rsidRDefault="00DC41E7" w:rsidP="00506D4E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sectPr w:rsidR="00506D4E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3F6" w:rsidRDefault="000403F6">
      <w:r>
        <w:separator/>
      </w:r>
    </w:p>
  </w:endnote>
  <w:endnote w:type="continuationSeparator" w:id="0">
    <w:p w:rsidR="000403F6" w:rsidRDefault="0004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0403F6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&lt;%=DateTime.Now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>
                      <w:rPr>
                        <w:lang w:val="nl-NL"/>
                      </w:rPr>
                      <w:t>DateTime.Now</w:t>
                    </w:r>
                    <w:proofErr w:type="spellEnd"/>
                    <w:r>
                      <w:rPr>
                        <w:lang w:val="nl-NL"/>
                      </w:rPr>
                      <w:t xml:space="preserve">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3F6" w:rsidRDefault="000403F6">
      <w:r>
        <w:separator/>
      </w:r>
    </w:p>
  </w:footnote>
  <w:footnote w:type="continuationSeparator" w:id="0">
    <w:p w:rsidR="000403F6" w:rsidRDefault="000403F6">
      <w:r>
        <w:separator/>
      </w:r>
    </w:p>
  </w:footnote>
  <w:footnote w:type="continuationNotice" w:id="1">
    <w:p w:rsidR="000403F6" w:rsidRDefault="000403F6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146F3" w:rsidRPr="00E146F3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146F3" w:rsidRPr="00E146F3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7BCC"/>
    <w:rsid w:val="00022DE1"/>
    <w:rsid w:val="000375FC"/>
    <w:rsid w:val="000403F6"/>
    <w:rsid w:val="00041A0C"/>
    <w:rsid w:val="00082CA8"/>
    <w:rsid w:val="0009094D"/>
    <w:rsid w:val="00091135"/>
    <w:rsid w:val="000954E9"/>
    <w:rsid w:val="000A430A"/>
    <w:rsid w:val="000A7E31"/>
    <w:rsid w:val="000B15F5"/>
    <w:rsid w:val="000C3F02"/>
    <w:rsid w:val="000D1540"/>
    <w:rsid w:val="000D3EBB"/>
    <w:rsid w:val="000D5B7A"/>
    <w:rsid w:val="000D705E"/>
    <w:rsid w:val="000E3406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5654"/>
    <w:rsid w:val="00144514"/>
    <w:rsid w:val="001451EE"/>
    <w:rsid w:val="00157870"/>
    <w:rsid w:val="001607A2"/>
    <w:rsid w:val="001621AC"/>
    <w:rsid w:val="001711B9"/>
    <w:rsid w:val="00174F13"/>
    <w:rsid w:val="00182C12"/>
    <w:rsid w:val="00186E7F"/>
    <w:rsid w:val="001964F8"/>
    <w:rsid w:val="00196E57"/>
    <w:rsid w:val="001A16C0"/>
    <w:rsid w:val="001A3774"/>
    <w:rsid w:val="001A769A"/>
    <w:rsid w:val="001B0C12"/>
    <w:rsid w:val="001C2020"/>
    <w:rsid w:val="001D622D"/>
    <w:rsid w:val="001E6B7C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2F673C"/>
    <w:rsid w:val="003068E1"/>
    <w:rsid w:val="00315D05"/>
    <w:rsid w:val="003724C2"/>
    <w:rsid w:val="00381320"/>
    <w:rsid w:val="003874F3"/>
    <w:rsid w:val="00387721"/>
    <w:rsid w:val="003B6DAE"/>
    <w:rsid w:val="003C3D67"/>
    <w:rsid w:val="003C41C9"/>
    <w:rsid w:val="003C590D"/>
    <w:rsid w:val="003D331A"/>
    <w:rsid w:val="003D7E62"/>
    <w:rsid w:val="003E499D"/>
    <w:rsid w:val="00416DB1"/>
    <w:rsid w:val="00422090"/>
    <w:rsid w:val="004227F0"/>
    <w:rsid w:val="0044466C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F340B"/>
    <w:rsid w:val="00500EAF"/>
    <w:rsid w:val="00506D4E"/>
    <w:rsid w:val="005124D3"/>
    <w:rsid w:val="00520535"/>
    <w:rsid w:val="005330AC"/>
    <w:rsid w:val="00546C5E"/>
    <w:rsid w:val="005649AF"/>
    <w:rsid w:val="0057492B"/>
    <w:rsid w:val="005964A3"/>
    <w:rsid w:val="005B2F7B"/>
    <w:rsid w:val="005C3EFC"/>
    <w:rsid w:val="005D36E1"/>
    <w:rsid w:val="005D63D2"/>
    <w:rsid w:val="005E7809"/>
    <w:rsid w:val="005F0708"/>
    <w:rsid w:val="00611FFD"/>
    <w:rsid w:val="00614D74"/>
    <w:rsid w:val="00617DF1"/>
    <w:rsid w:val="006211CE"/>
    <w:rsid w:val="00623DAE"/>
    <w:rsid w:val="00625292"/>
    <w:rsid w:val="0062596F"/>
    <w:rsid w:val="00660D24"/>
    <w:rsid w:val="00661B6A"/>
    <w:rsid w:val="00670269"/>
    <w:rsid w:val="00673BC1"/>
    <w:rsid w:val="0068589C"/>
    <w:rsid w:val="00691EFD"/>
    <w:rsid w:val="00692041"/>
    <w:rsid w:val="006A226A"/>
    <w:rsid w:val="006B46A7"/>
    <w:rsid w:val="006B6E3D"/>
    <w:rsid w:val="006B7C44"/>
    <w:rsid w:val="006C5F9B"/>
    <w:rsid w:val="006C63C4"/>
    <w:rsid w:val="006C7605"/>
    <w:rsid w:val="006D1DA3"/>
    <w:rsid w:val="006E553B"/>
    <w:rsid w:val="006E7EB9"/>
    <w:rsid w:val="006F12A5"/>
    <w:rsid w:val="006F1B44"/>
    <w:rsid w:val="00711BCB"/>
    <w:rsid w:val="00723BE2"/>
    <w:rsid w:val="00724CC7"/>
    <w:rsid w:val="0073157E"/>
    <w:rsid w:val="00733F23"/>
    <w:rsid w:val="007503FB"/>
    <w:rsid w:val="00751B9C"/>
    <w:rsid w:val="00751DF3"/>
    <w:rsid w:val="0075569C"/>
    <w:rsid w:val="00761EB1"/>
    <w:rsid w:val="00776A7C"/>
    <w:rsid w:val="00781E05"/>
    <w:rsid w:val="00786AE8"/>
    <w:rsid w:val="007B1D90"/>
    <w:rsid w:val="007C0A14"/>
    <w:rsid w:val="007D5E7D"/>
    <w:rsid w:val="007D760B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2CF2"/>
    <w:rsid w:val="008462FA"/>
    <w:rsid w:val="008566D8"/>
    <w:rsid w:val="00860327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8165B"/>
    <w:rsid w:val="00982F6B"/>
    <w:rsid w:val="009B3FF6"/>
    <w:rsid w:val="009D2660"/>
    <w:rsid w:val="009D381B"/>
    <w:rsid w:val="009D465E"/>
    <w:rsid w:val="009F66BA"/>
    <w:rsid w:val="009F7613"/>
    <w:rsid w:val="00A05E59"/>
    <w:rsid w:val="00A1010E"/>
    <w:rsid w:val="00A3288D"/>
    <w:rsid w:val="00A328B0"/>
    <w:rsid w:val="00A34339"/>
    <w:rsid w:val="00A527AA"/>
    <w:rsid w:val="00A55272"/>
    <w:rsid w:val="00A7482B"/>
    <w:rsid w:val="00A77C62"/>
    <w:rsid w:val="00AA7288"/>
    <w:rsid w:val="00AB5C8F"/>
    <w:rsid w:val="00AD402B"/>
    <w:rsid w:val="00AD626A"/>
    <w:rsid w:val="00AE4DFA"/>
    <w:rsid w:val="00AF62AC"/>
    <w:rsid w:val="00B16B1C"/>
    <w:rsid w:val="00B26CBC"/>
    <w:rsid w:val="00B41086"/>
    <w:rsid w:val="00B47A53"/>
    <w:rsid w:val="00B514F7"/>
    <w:rsid w:val="00B561BB"/>
    <w:rsid w:val="00B57592"/>
    <w:rsid w:val="00B65476"/>
    <w:rsid w:val="00B65EFF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50D8"/>
    <w:rsid w:val="00C261A7"/>
    <w:rsid w:val="00C3081F"/>
    <w:rsid w:val="00C46E12"/>
    <w:rsid w:val="00C52A12"/>
    <w:rsid w:val="00C52E36"/>
    <w:rsid w:val="00C57812"/>
    <w:rsid w:val="00C70EA1"/>
    <w:rsid w:val="00C711BA"/>
    <w:rsid w:val="00C808EA"/>
    <w:rsid w:val="00C86031"/>
    <w:rsid w:val="00C864B7"/>
    <w:rsid w:val="00CA5637"/>
    <w:rsid w:val="00CC3FEB"/>
    <w:rsid w:val="00CC6B67"/>
    <w:rsid w:val="00CD27B0"/>
    <w:rsid w:val="00CE1A49"/>
    <w:rsid w:val="00CF35B1"/>
    <w:rsid w:val="00D04E6F"/>
    <w:rsid w:val="00D063BF"/>
    <w:rsid w:val="00D0659C"/>
    <w:rsid w:val="00D17858"/>
    <w:rsid w:val="00D25E4D"/>
    <w:rsid w:val="00D41BB4"/>
    <w:rsid w:val="00D51964"/>
    <w:rsid w:val="00D67E92"/>
    <w:rsid w:val="00D76113"/>
    <w:rsid w:val="00D80E4A"/>
    <w:rsid w:val="00D82256"/>
    <w:rsid w:val="00D91B2C"/>
    <w:rsid w:val="00D93DC2"/>
    <w:rsid w:val="00D94BB4"/>
    <w:rsid w:val="00DA182F"/>
    <w:rsid w:val="00DA7ABC"/>
    <w:rsid w:val="00DB1E80"/>
    <w:rsid w:val="00DB571C"/>
    <w:rsid w:val="00DC203B"/>
    <w:rsid w:val="00DC41E7"/>
    <w:rsid w:val="00DD146B"/>
    <w:rsid w:val="00DD7E9A"/>
    <w:rsid w:val="00DE758B"/>
    <w:rsid w:val="00DF4D86"/>
    <w:rsid w:val="00DF64C2"/>
    <w:rsid w:val="00E01A86"/>
    <w:rsid w:val="00E026AB"/>
    <w:rsid w:val="00E04165"/>
    <w:rsid w:val="00E146F3"/>
    <w:rsid w:val="00E1604A"/>
    <w:rsid w:val="00E377E6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5691"/>
    <w:rsid w:val="00ED2C0B"/>
    <w:rsid w:val="00ED6550"/>
    <w:rsid w:val="00EE4953"/>
    <w:rsid w:val="00F103E7"/>
    <w:rsid w:val="00F25459"/>
    <w:rsid w:val="00F30887"/>
    <w:rsid w:val="00F31278"/>
    <w:rsid w:val="00F5064E"/>
    <w:rsid w:val="00F53377"/>
    <w:rsid w:val="00F60FA7"/>
    <w:rsid w:val="00F62C4B"/>
    <w:rsid w:val="00F66A61"/>
    <w:rsid w:val="00F677B8"/>
    <w:rsid w:val="00F7505F"/>
    <w:rsid w:val="00F76EA0"/>
    <w:rsid w:val="00F83643"/>
    <w:rsid w:val="00F8367D"/>
    <w:rsid w:val="00FA3509"/>
    <w:rsid w:val="00FC17FB"/>
    <w:rsid w:val="00FC5405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50FEF-F702-4C5A-AD71-90656C49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10</Pages>
  <Words>960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2018-01-04T21:59:00Z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