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8"/>
          <w:sz w:val="44"/>
          <w:szCs w:val="44"/>
        </w:rPr>
        <w:t xml:space="preserve">GEMA Education</w:t>
      </w:r>
    </w:p>
    <w:p>
      <w:pPr>
        <w:spacing w:after="40"/>
      </w:pPr>
      <w:r>
        <w:rPr>
          <w:color w:val="595959"/>
          <w:sz w:val="28"/>
          <w:szCs w:val="28"/>
        </w:rPr>
        <w:t xml:space="preserve">Competition Registrations — 2026 vs 2025 Performance Summary</w:t>
      </w:r>
    </w:p>
    <w:p>
      <w:pPr>
        <w:spacing w:after="20"/>
      </w:pPr>
      <w:r>
        <w:rPr>
          <w:i/>
          <w:iCs/>
          <w:color w:val="595959"/>
          <w:sz w:val="20"/>
          <w:szCs w:val="20"/>
        </w:rPr>
        <w:t xml:space="preserve">Period compared: January 1 – September 4, both years</w:t>
      </w:r>
    </w:p>
    <w:p>
      <w:pPr>
        <w:pBdr>
          <w:bottom w:val="single" w:color="1F4E78" w:sz="12" w:space="8"/>
        </w:pBdr>
        <w:spacing w:after="240"/>
      </w:pPr>
      <w:r>
        <w:rPr>
          <w:b/>
          <w:bCs/>
          <w:color w:val="595959"/>
          <w:sz w:val="20"/>
          <w:szCs w:val="20"/>
        </w:rPr>
        <w:t xml:space="preserve">Prepared by: Ankita Daweshar</w:t>
      </w:r>
    </w:p>
    <w:p>
      <w:pPr>
        <w:pStyle w:val="Heading1"/>
        <w:spacing w:after="120" w:before="240"/>
      </w:pPr>
      <w:r>
        <w:t xml:space="preserve">What Management Should Know</w:t>
      </w:r>
    </w:p>
    <w:p>
      <w:pPr>
        <w:spacing w:after="200"/>
      </w:pPr>
      <w:r>
        <w:t xml:space="preserve">Overall registrations across all GEMA competitions are up 19.4% year-over-year (1,800 → 2,150 registrations) for the identical Jan 1 – Sep 4 window in both years. Every competition grew this year — none declined — though growth rates vary widely by competition, and the most recent four weeks show some notable shifts in momentum worth flagging to leadership.</w:t>
      </w:r>
    </w:p>
    <w:p>
      <w:pPr>
        <w:pStyle w:val="Heading1"/>
        <w:spacing w:after="120" w:before="240"/>
      </w:pPr>
      <w:r>
        <w:t xml:space="preserve">Key Observations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Total registrations grew 19.4% year-over-year (1,800 in 2025 → 2,150 in 2026), a gain of 350 registrations over the same calendar period.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eight competitions are ahead of last year's pace — the growth is broad-based, not carried by one or two events.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Top 3 fastest-growing: Student Speaker Competition (+32.9%), International Coding Olympiad (+26.1%), and International Science Olympiad (+25.1%).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Slowest-growing 3: AI &amp; Robotics Challenge (+10.0%), Winter Painting Competition (+11.6%), and International Mathematics Olympiad (+14.9%) — still positive, but lagging the portfolio average.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Momentum shift: Young Innovators Challenge is up only +15.8% for the full period but registrations roughly doubled (+125%) in just the last 4 weeks — a late surge worth capitalizing on with extra promotion before the window closes.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Conversely, International Science Olympiad and International School Olympiad — both strong performers overall — have nearly flattened or slipped in the last 4 weeks (momentum gap of -5.9pp and -3.1pp), suggesting their early-year push has faded.</w:t>
      </w:r>
    </w:p>
    <w:p>
      <w:pPr>
        <w:pStyle w:val="Heading1"/>
        <w:spacing w:after="120" w:before="240"/>
      </w:pPr>
      <w:r>
        <w:t xml:space="preserve">Competition-Wise Performance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1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type="dxa" w:w="1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Speaker Competition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226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+56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+32.9%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International Coding Olympiad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+77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+26.1%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International Science Olympiad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227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284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+57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+25.1%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International School Olympiad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+43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+19.7%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Young Innovators Challenge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209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+33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+15.8%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International Mathematics Olympiad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+40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+14.9%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Winter Painting Competition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164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183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+19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+11.6%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&amp; Robotics Challenge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+25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+10.0%</w:t>
            </w:r>
          </w:p>
        </w:tc>
      </w:tr>
      <w:tr>
        <w:tc>
          <w:tcPr>
            <w:tcW w:type="dxa" w:w="36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1,800</w:t>
            </w:r>
          </w:p>
        </w:tc>
        <w:tc>
          <w:tcPr>
            <w:tcW w:type="dxa" w:w="16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2,150</w:t>
            </w:r>
          </w:p>
        </w:tc>
        <w:tc>
          <w:tcPr>
            <w:tcW w:type="dxa" w:w="16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+350</w:t>
            </w:r>
          </w:p>
        </w:tc>
        <w:tc>
          <w:tcPr>
            <w:tcW w:type="dxa" w:w="1600"/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7A3D"/>
                <w:sz w:val="20"/>
                <w:szCs w:val="20"/>
              </w:rPr>
              <w:t xml:space="preserve">+19.4%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Investigate what is driving the Student Speaker Competition and International Coding Olympiad surges (channel, timing, partner schools) and replicate the approach for the slower performers.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Give Young Innovators Challenge a short-term promotional push now, while it is accelerating, to convert momentum into registrations before the period closes.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 outreach for International Science and School Olympiads — both are past their peak growth phase and may benefit from a second promotional wave.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Treat AI &amp; Robotics Challenge, Winter Painting Competition, and International Mathematics Olympiad as priority areas for the next campaign cycle, given they lag the portfolio's average growth rate.</w:t>
      </w:r>
    </w:p>
    <w:p>
      <w:pPr>
        <w:pStyle w:val="Heading1"/>
        <w:spacing w:after="120" w:before="240"/>
      </w:pPr>
      <w:r>
        <w:t xml:space="preserve">Data Notes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Figures reflect cleaned registration data: duplicate entries, test/placeholder records, and inconsistent competition and school name variants were removed or standardized before analysis. September figures reflect a partial month (data through Sep 4) in both years, not an actual decline.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Dashboard — Overview</w:t>
      </w:r>
    </w:p>
    <w:p>
      <w:pPr>
        <w:spacing w:after="60"/>
        <w:jc w:val="center"/>
      </w:pPr>
      <w:r>
        <w:drawing>
          <wp:inline distT="0" distB="0" distL="0" distR="0">
            <wp:extent cx="5905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Page 1: KPI summary, competition comparison, and monthly registration trend</w:t>
      </w:r>
    </w:p>
    <w:p>
      <w:pPr>
        <w:pStyle w:val="Heading1"/>
        <w:spacing w:after="120" w:before="240"/>
      </w:pPr>
      <w:r>
        <w:t xml:space="preserve">Dashboard — Competition Analysis</w:t>
      </w:r>
    </w:p>
    <w:p>
      <w:pPr>
        <w:spacing w:after="6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Page 2: Detailed performance table, growth ranking, target gauge, and source breakdown</w:t>
      </w:r>
    </w:p>
    <w:p>
      <w:pPr>
        <w:pStyle w:val="Heading1"/>
        <w:spacing w:after="120" w:before="240"/>
      </w:pPr>
      <w:r>
        <w:t xml:space="preserve">Dashboard — Trend Analysis</w:t>
      </w:r>
    </w:p>
    <w:p>
      <w:pPr>
        <w:spacing w:after="6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Page 3: Recent momentum vs full-period pace, key trend insights, and weekly registration trend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a12a457c2a71b4bc06cfbe28821f024ce5407c.undefined"/><Relationship Id="rId8" Type="http://schemas.openxmlformats.org/officeDocument/2006/relationships/image" Target="media/efb840c8050fe9c5d7037e5036055469b4150c11.undefined"/><Relationship Id="rId9" Type="http://schemas.openxmlformats.org/officeDocument/2006/relationships/image" Target="media/ebe1f41efa0ecc458931729ee3471eb6055bfa33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2026-09-06T07:52:07.400Z</dcterms:created>
  <dcterms:modified xsi:type="dcterms:W3CDTF">2026-09-06T07:52:07.411Z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