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commentsExtensible.xml" ContentType="application/vnd.openxmlformats-officedocument.wordprocessingml.commentsExtensibl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9810" w:type="dxa"/>
        <w:tblLayout w:type="fixed"/>
        <w:tblLook w:val="01E0" w:firstRow="1" w:lastRow="1" w:firstColumn="1" w:lastColumn="1" w:noHBand="0" w:noVBand="0"/>
      </w:tblPr>
      <w:tblGrid>
        <w:gridCol w:w="9810"/>
      </w:tblGrid>
      <w:tr w:rsidR="00D804E2" w:rsidRPr="00D804E2" w14:paraId="0918C96E" w14:textId="77777777" w:rsidTr="00452911">
        <w:trPr>
          <w:trHeight w:val="230"/>
        </w:trPr>
        <w:tc>
          <w:tcPr>
            <w:tcW w:w="9810" w:type="dxa"/>
            <w:tcMar>
              <w:top w:w="20" w:type="dxa"/>
              <w:left w:w="20" w:type="dxa"/>
              <w:bottom w:w="1020" w:type="dxa"/>
              <w:right w:w="20" w:type="dxa"/>
            </w:tcMar>
          </w:tcPr>
          <w:bookmarkStart w:id="0" w:name="__bookmark_1"/>
          <w:bookmarkStart w:id="1" w:name="__bookmark_2"/>
          <w:bookmarkEnd w:id="0"/>
          <w:bookmarkEnd w:id="1"/>
          <w:p w14:paraId="132EE520" w14:textId="5E823482" w:rsidR="00D804E2" w:rsidRPr="00D804E2" w:rsidRDefault="00D804E2" w:rsidP="00661E71">
            <w:pPr>
              <w:spacing w:after="0" w:line="240" w:lineRule="auto"/>
              <w:rPr>
                <w:rFonts w:ascii="Times New Roman" w:eastAsia="Times New Roman" w:hAnsi="Times New Roman" w:cs="Times New Roman"/>
                <w:kern w:val="0"/>
                <w:sz w:val="20"/>
                <w:szCs w:val="20"/>
                <w:lang w:eastAsia="pl-PL"/>
                <w14:ligatures w14:val="none"/>
              </w:rPr>
            </w:pPr>
            <w:r w:rsidRPr="00D804E2">
              <w:rPr>
                <w:rFonts w:ascii="Times New Roman" w:eastAsia="Times New Roman" w:hAnsi="Times New Roman" w:cs="Times New Roman"/>
                <w:noProof/>
                <w:kern w:val="0"/>
                <w:sz w:val="20"/>
                <w:szCs w:val="20"/>
                <w:lang w:eastAsia="pl-PL"/>
                <w14:ligatures w14:val="none"/>
              </w:rPr>
              <mc:AlternateContent>
                <mc:Choice Requires="wps">
                  <w:drawing>
                    <wp:anchor distT="0" distB="0" distL="114300" distR="114300" simplePos="0" relativeHeight="251659264" behindDoc="0" locked="0" layoutInCell="1" allowOverlap="1" wp14:anchorId="1676094E" wp14:editId="494FBACB">
                      <wp:simplePos x="0" y="0"/>
                      <wp:positionH relativeFrom="column">
                        <wp:posOffset>0</wp:posOffset>
                      </wp:positionH>
                      <wp:positionV relativeFrom="paragraph">
                        <wp:posOffset>0</wp:posOffset>
                      </wp:positionV>
                      <wp:extent cx="635000" cy="635000"/>
                      <wp:effectExtent l="0" t="0" r="3175" b="3175"/>
                      <wp:wrapNone/>
                      <wp:docPr id="20" name="Prostokąt 2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93938" id="Prostokąt 20"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" filled="f" stroked="f">
                      <o:lock v:ext="edit" aspectratio="t" selection="t"/>
                    </v:rect>
                  </w:pict>
                </mc:Fallback>
              </mc:AlternateContent>
            </w:r>
            <w:r w:rsidR="005679CF">
              <w:rPr>
                <w:rFonts w:ascii="Times New Roman" w:eastAsia="Times New Roman" w:hAnsi="Times New Roman" w:cs="Times New Roman"/>
                <w:kern w:val="0"/>
                <w:sz w:val="20"/>
                <w:szCs w:val="20"/>
                <w:lang w:eastAsia="pl-PL"/>
                <w14:ligatures w14:val="none"/>
              </w:rPr>
              <w:t>+</w:t>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\d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sidRPr="00D804E2">
              <w:rPr>
                <w:rFonts w:ascii="Times New Roman" w:eastAsia="Times New Roman" w:hAnsi="Times New Roman" w:cs="Times New Roman"/>
                <w:kern w:val="0"/>
                <w:sz w:val="20"/>
                <w:szCs w:val="20"/>
                <w:lang w:eastAsia="pl-PL"/>
                <w14:ligatures w14:val="none"/>
              </w:rPr>
              <w:fldChar w:fldCharType="begin"/>
            </w:r>
            <w:r w:rsidRPr="00D804E2">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Pr="00D804E2">
              <w:rPr>
                <w:rFonts w:ascii="Times New Roman" w:eastAsia="Times New Roman" w:hAnsi="Times New Roman" w:cs="Times New Roman"/>
                <w:kern w:val="0"/>
                <w:sz w:val="20"/>
                <w:szCs w:val="20"/>
                <w:lang w:eastAsia="pl-PL"/>
                <w14:ligatures w14:val="none"/>
              </w:rPr>
              <w:fldChar w:fldCharType="separate"/>
            </w:r>
            <w:r>
              <w:rPr>
                <w:rFonts w:ascii="Times New Roman" w:eastAsia="Times New Roman" w:hAnsi="Times New Roman" w:cs="Times New Roman"/>
                <w:kern w:val="0"/>
                <w:sz w:val="20"/>
                <w:szCs w:val="20"/>
                <w:lang w:eastAsia="pl-PL"/>
                <w14:ligatures w14:val="none"/>
              </w:rPr>
              <w:fldChar w:fldCharType="begin"/>
            </w:r>
            <w:r>
              <w:rPr>
                <w:rFonts w:ascii="Times New Roman" w:eastAsia="Times New Roman" w:hAnsi="Times New Roman" w:cs="Times New Roman"/>
                <w:kern w:val="0"/>
                <w:sz w:val="20"/>
                <w:szCs w:val="20"/>
                <w:lang w:eastAsia="pl-PL"/>
                <w14:ligatures w14:val="none"/>
              </w:rPr>
              <w:instrText xml:space="preserve"> INCLUDEPICTURE  "wordml://75.png" \* MERGEFORMATINET </w:instrText>
            </w:r>
            <w:r>
              <w:rPr>
                <w:rFonts w:ascii="Times New Roman" w:eastAsia="Times New Roman" w:hAnsi="Times New Roman" w:cs="Times New Roman"/>
                <w:kern w:val="0"/>
                <w:sz w:val="20"/>
                <w:szCs w:val="20"/>
                <w:lang w:eastAsia="pl-PL"/>
                <w14:ligatures w14:val="none"/>
              </w:rPr>
              <w:fldChar w:fldCharType="separate"/>
            </w:r>
            <w:r w:rsidR="00BF5EDF">
              <w:rPr>
                <w:rFonts w:ascii="Times New Roman" w:eastAsia="Times New Roman" w:hAnsi="Times New Roman" w:cs="Times New Roman"/>
                <w:kern w:val="0"/>
                <w:sz w:val="20"/>
                <w:szCs w:val="20"/>
                <w:lang w:eastAsia="pl-PL"/>
                <w14:ligatures w14:val="none"/>
              </w:rPr>
              <w:fldChar w:fldCharType="begin"/>
            </w:r>
            <w:r w:rsidR="00BF5EDF">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00BF5EDF">
              <w:rPr>
                <w:rFonts w:ascii="Times New Roman" w:eastAsia="Times New Roman" w:hAnsi="Times New Roman" w:cs="Times New Roman"/>
                <w:kern w:val="0"/>
                <w:sz w:val="20"/>
                <w:szCs w:val="20"/>
                <w:lang w:eastAsia="pl-PL"/>
                <w14:ligatures w14:val="none"/>
              </w:rPr>
              <w:fldChar w:fldCharType="separate"/>
            </w:r>
            <w:r w:rsidR="00012ED5">
              <w:rPr>
                <w:rFonts w:ascii="Times New Roman" w:eastAsia="Times New Roman" w:hAnsi="Times New Roman" w:cs="Times New Roman"/>
                <w:kern w:val="0"/>
                <w:sz w:val="20"/>
                <w:szCs w:val="20"/>
                <w:lang w:eastAsia="pl-PL"/>
                <w14:ligatures w14:val="none"/>
              </w:rPr>
              <w:fldChar w:fldCharType="begin"/>
            </w:r>
            <w:r w:rsidR="00012ED5">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00012ED5">
              <w:rPr>
                <w:rFonts w:ascii="Times New Roman" w:eastAsia="Times New Roman" w:hAnsi="Times New Roman" w:cs="Times New Roman"/>
                <w:kern w:val="0"/>
                <w:sz w:val="20"/>
                <w:szCs w:val="20"/>
                <w:lang w:eastAsia="pl-PL"/>
                <w14:ligatures w14:val="none"/>
              </w:rPr>
              <w:fldChar w:fldCharType="separate"/>
            </w:r>
            <w:r w:rsidR="00452911">
              <w:rPr>
                <w:rFonts w:ascii="Times New Roman" w:eastAsia="Times New Roman" w:hAnsi="Times New Roman" w:cs="Times New Roman"/>
                <w:kern w:val="0"/>
                <w:sz w:val="20"/>
                <w:szCs w:val="20"/>
                <w:lang w:eastAsia="pl-PL"/>
                <w14:ligatures w14:val="none"/>
              </w:rPr>
              <w:fldChar w:fldCharType="begin"/>
            </w:r>
            <w:r w:rsidR="00452911">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00452911">
              <w:rPr>
                <w:rFonts w:ascii="Times New Roman" w:eastAsia="Times New Roman" w:hAnsi="Times New Roman" w:cs="Times New Roman"/>
                <w:kern w:val="0"/>
                <w:sz w:val="20"/>
                <w:szCs w:val="20"/>
                <w:lang w:eastAsia="pl-PL"/>
                <w14:ligatures w14:val="none"/>
              </w:rPr>
              <w:fldChar w:fldCharType="separate"/>
            </w:r>
            <w:r>
              <w:rPr>
                <w:rFonts w:ascii="Times New Roman" w:eastAsia="Times New Roman" w:hAnsi="Times New Roman" w:cs="Times New Roman"/>
                <w:kern w:val="0"/>
                <w:sz w:val="20"/>
                <w:szCs w:val="20"/>
                <w:lang w:eastAsia="pl-PL"/>
                <w14:ligatures w14:val="none"/>
              </w:rPr>
              <w:fldChar w:fldCharType="begin"/>
            </w:r>
            <w:r>
              <w:rPr>
                <w:rFonts w:ascii="Times New Roman" w:eastAsia="Times New Roman" w:hAnsi="Times New Roman" w:cs="Times New Roman"/>
                <w:kern w:val="0"/>
                <w:sz w:val="20"/>
                <w:szCs w:val="20"/>
                <w:lang w:eastAsia="pl-PL"/>
                <w14:ligatures w14:val="none"/>
              </w:rPr>
              <w:instrText xml:space="preserve"> INCLUDEPICTURE  "wordml://75.png" \* MERGEFORMATINET </w:instrText>
            </w:r>
            <w:r>
              <w:rPr>
                <w:rFonts w:ascii="Times New Roman" w:eastAsia="Times New Roman" w:hAnsi="Times New Roman" w:cs="Times New Roman"/>
                <w:kern w:val="0"/>
                <w:sz w:val="20"/>
                <w:szCs w:val="20"/>
                <w:lang w:eastAsia="pl-PL"/>
                <w14:ligatures w14:val="none"/>
              </w:rPr>
              <w:fldChar w:fldCharType="separate"/>
            </w:r>
            <w:r>
              <w:rPr>
                <w:rFonts w:ascii="Times New Roman" w:eastAsia="Times New Roman" w:hAnsi="Times New Roman" w:cs="Times New Roman"/>
                <w:kern w:val="0"/>
                <w:sz w:val="20"/>
                <w:szCs w:val="20"/>
                <w:lang w:eastAsia="pl-PL"/>
                <w14:ligatures w14:val="none"/>
              </w:rPr>
              <w:fldChar w:fldCharType="begin"/>
            </w:r>
            <w:r>
              <w:rPr>
                <w:rFonts w:ascii="Times New Roman" w:eastAsia="Times New Roman" w:hAnsi="Times New Roman" w:cs="Times New Roman"/>
                <w:kern w:val="0"/>
                <w:sz w:val="20"/>
                <w:szCs w:val="20"/>
                <w:lang w:eastAsia="pl-PL"/>
                <w14:ligatures w14:val="none"/>
              </w:rPr>
              <w:instrText xml:space="preserve"> INCLUDEPICTURE  "wordml://75.png" \* MERGEFORMATINET </w:instrText>
            </w:r>
            <w:r>
              <w:rPr>
                <w:rFonts w:ascii="Times New Roman" w:eastAsia="Times New Roman" w:hAnsi="Times New Roman" w:cs="Times New Roman"/>
                <w:kern w:val="0"/>
                <w:sz w:val="20"/>
                <w:szCs w:val="20"/>
                <w:lang w:eastAsia="pl-PL"/>
                <w14:ligatures w14:val="none"/>
              </w:rPr>
              <w:fldChar w:fldCharType="separate"/>
            </w:r>
            <w:r>
              <w:rPr>
                <w:rFonts w:ascii="Times New Roman" w:eastAsia="Times New Roman" w:hAnsi="Times New Roman" w:cs="Times New Roman"/>
                <w:kern w:val="0"/>
                <w:sz w:val="20"/>
                <w:szCs w:val="20"/>
                <w:lang w:eastAsia="pl-PL"/>
                <w14:ligatures w14:val="none"/>
              </w:rPr>
              <w:fldChar w:fldCharType="begin"/>
            </w:r>
            <w:r>
              <w:rPr>
                <w:rFonts w:ascii="Times New Roman" w:eastAsia="Times New Roman" w:hAnsi="Times New Roman" w:cs="Times New Roman"/>
                <w:kern w:val="0"/>
                <w:sz w:val="20"/>
                <w:szCs w:val="20"/>
                <w:lang w:eastAsia="pl-PL"/>
                <w14:ligatures w14:val="none"/>
              </w:rPr>
              <w:instrText xml:space="preserve"> INCLUDEPICTURE  "wordml://75.png" \* MERGEFORMATINET </w:instrText>
            </w:r>
            <w:r>
              <w:rPr>
                <w:rFonts w:ascii="Times New Roman" w:eastAsia="Times New Roman" w:hAnsi="Times New Roman" w:cs="Times New Roman"/>
                <w:kern w:val="0"/>
                <w:sz w:val="20"/>
                <w:szCs w:val="20"/>
                <w:lang w:eastAsia="pl-PL"/>
                <w14:ligatures w14:val="none"/>
              </w:rPr>
              <w:fldChar w:fldCharType="separate"/>
            </w:r>
            <w:r>
              <w:rPr>
                <w:rFonts w:ascii="Times New Roman" w:eastAsia="Times New Roman" w:hAnsi="Times New Roman" w:cs="Times New Roman"/>
                <w:kern w:val="0"/>
                <w:sz w:val="20"/>
                <w:szCs w:val="20"/>
                <w:lang w:eastAsia="pl-PL"/>
                <w14:ligatures w14:val="none"/>
              </w:rPr>
              <w:fldChar w:fldCharType="begin"/>
            </w:r>
            <w:r>
              <w:rPr>
                <w:rFonts w:ascii="Times New Roman" w:eastAsia="Times New Roman" w:hAnsi="Times New Roman" w:cs="Times New Roman"/>
                <w:kern w:val="0"/>
                <w:sz w:val="20"/>
                <w:szCs w:val="20"/>
                <w:lang w:eastAsia="pl-PL"/>
                <w14:ligatures w14:val="none"/>
              </w:rPr>
              <w:instrText xml:space="preserve"> INCLUDEPICTURE  "wordml://75.png" \* MERGEFORMATINET </w:instrText>
            </w:r>
            <w:r>
              <w:rPr>
                <w:rFonts w:ascii="Times New Roman" w:eastAsia="Times New Roman" w:hAnsi="Times New Roman" w:cs="Times New Roman"/>
                <w:kern w:val="0"/>
                <w:sz w:val="20"/>
                <w:szCs w:val="20"/>
                <w:lang w:eastAsia="pl-PL"/>
                <w14:ligatures w14:val="none"/>
              </w:rPr>
              <w:fldChar w:fldCharType="separate"/>
            </w:r>
            <w:r w:rsidR="003979C8">
              <w:rPr>
                <w:rFonts w:ascii="Times New Roman" w:eastAsia="Times New Roman" w:hAnsi="Times New Roman" w:cs="Times New Roman"/>
                <w:kern w:val="0"/>
                <w:sz w:val="20"/>
                <w:szCs w:val="20"/>
                <w:lang w:eastAsia="pl-PL"/>
                <w14:ligatures w14:val="none"/>
              </w:rPr>
              <w:fldChar w:fldCharType="begin"/>
            </w:r>
            <w:r w:rsidR="003979C8">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003979C8">
              <w:rPr>
                <w:rFonts w:ascii="Times New Roman" w:eastAsia="Times New Roman" w:hAnsi="Times New Roman" w:cs="Times New Roman"/>
                <w:kern w:val="0"/>
                <w:sz w:val="20"/>
                <w:szCs w:val="20"/>
                <w:lang w:eastAsia="pl-PL"/>
                <w14:ligatures w14:val="none"/>
              </w:rPr>
              <w:fldChar w:fldCharType="separate"/>
            </w:r>
            <w:r>
              <w:rPr>
                <w:rFonts w:ascii="Times New Roman" w:eastAsia="Times New Roman" w:hAnsi="Times New Roman" w:cs="Times New Roman"/>
                <w:kern w:val="0"/>
                <w:sz w:val="20"/>
                <w:szCs w:val="20"/>
                <w:lang w:eastAsia="pl-PL"/>
                <w14:ligatures w14:val="none"/>
              </w:rPr>
              <w:fldChar w:fldCharType="begin"/>
            </w:r>
            <w:r>
              <w:rPr>
                <w:rFonts w:ascii="Times New Roman" w:eastAsia="Times New Roman" w:hAnsi="Times New Roman" w:cs="Times New Roman"/>
                <w:kern w:val="0"/>
                <w:sz w:val="20"/>
                <w:szCs w:val="20"/>
                <w:lang w:eastAsia="pl-PL"/>
                <w14:ligatures w14:val="none"/>
              </w:rPr>
              <w:instrText xml:space="preserve"> INCLUDEPICTURE  "wordml://75.png" \* MERGEFORMATINET </w:instrText>
            </w:r>
            <w:r>
              <w:rPr>
                <w:rFonts w:ascii="Times New Roman" w:eastAsia="Times New Roman" w:hAnsi="Times New Roman" w:cs="Times New Roman"/>
                <w:kern w:val="0"/>
                <w:sz w:val="20"/>
                <w:szCs w:val="20"/>
                <w:lang w:eastAsia="pl-PL"/>
                <w14:ligatures w14:val="none"/>
              </w:rPr>
              <w:fldChar w:fldCharType="separate"/>
            </w:r>
            <w:r>
              <w:rPr>
                <w:rFonts w:ascii="Times New Roman" w:eastAsia="Times New Roman" w:hAnsi="Times New Roman" w:cs="Times New Roman"/>
                <w:kern w:val="0"/>
                <w:sz w:val="20"/>
                <w:szCs w:val="20"/>
                <w:lang w:eastAsia="pl-PL"/>
                <w14:ligatures w14:val="none"/>
              </w:rPr>
              <w:fldChar w:fldCharType="begin"/>
            </w:r>
            <w:r>
              <w:rPr>
                <w:rFonts w:ascii="Times New Roman" w:eastAsia="Times New Roman" w:hAnsi="Times New Roman" w:cs="Times New Roman"/>
                <w:kern w:val="0"/>
                <w:sz w:val="20"/>
                <w:szCs w:val="20"/>
                <w:lang w:eastAsia="pl-PL"/>
                <w14:ligatures w14:val="none"/>
              </w:rPr>
              <w:instrText xml:space="preserve"> INCLUDEPICTURE  "wordml://75.png" \* MERGEFORMATINET </w:instrText>
            </w:r>
            <w:r>
              <w:rPr>
                <w:rFonts w:ascii="Times New Roman" w:eastAsia="Times New Roman" w:hAnsi="Times New Roman" w:cs="Times New Roman"/>
                <w:kern w:val="0"/>
                <w:sz w:val="20"/>
                <w:szCs w:val="20"/>
                <w:lang w:eastAsia="pl-PL"/>
                <w14:ligatures w14:val="none"/>
              </w:rPr>
              <w:fldChar w:fldCharType="separate"/>
            </w:r>
            <w:r>
              <w:rPr>
                <w:rFonts w:ascii="Times New Roman" w:eastAsia="Times New Roman" w:hAnsi="Times New Roman" w:cs="Times New Roman"/>
                <w:kern w:val="0"/>
                <w:sz w:val="20"/>
                <w:szCs w:val="20"/>
                <w:lang w:eastAsia="pl-PL"/>
                <w14:ligatures w14:val="none"/>
              </w:rPr>
              <w:fldChar w:fldCharType="begin"/>
            </w:r>
            <w:r>
              <w:rPr>
                <w:rFonts w:ascii="Times New Roman" w:eastAsia="Times New Roman" w:hAnsi="Times New Roman" w:cs="Times New Roman"/>
                <w:kern w:val="0"/>
                <w:sz w:val="20"/>
                <w:szCs w:val="20"/>
                <w:lang w:eastAsia="pl-PL"/>
                <w14:ligatures w14:val="none"/>
              </w:rPr>
              <w:instrText xml:space="preserve"> INCLUDEPICTURE  "wordml://75.png" \* MERGEFORMATINET </w:instrText>
            </w:r>
            <w:r>
              <w:rPr>
                <w:rFonts w:ascii="Times New Roman" w:eastAsia="Times New Roman" w:hAnsi="Times New Roman" w:cs="Times New Roman"/>
                <w:kern w:val="0"/>
                <w:sz w:val="20"/>
                <w:szCs w:val="20"/>
                <w:lang w:eastAsia="pl-PL"/>
                <w14:ligatures w14:val="none"/>
              </w:rPr>
              <w:fldChar w:fldCharType="separate"/>
            </w:r>
            <w:r>
              <w:rPr>
                <w:rFonts w:ascii="Times New Roman" w:eastAsia="Times New Roman" w:hAnsi="Times New Roman" w:cs="Times New Roman"/>
                <w:kern w:val="0"/>
                <w:sz w:val="20"/>
                <w:szCs w:val="20"/>
                <w:lang w:eastAsia="pl-PL"/>
                <w14:ligatures w14:val="none"/>
              </w:rPr>
              <w:fldChar w:fldCharType="begin"/>
            </w:r>
            <w:r>
              <w:rPr>
                <w:rFonts w:ascii="Times New Roman" w:eastAsia="Times New Roman" w:hAnsi="Times New Roman" w:cs="Times New Roman"/>
                <w:kern w:val="0"/>
                <w:sz w:val="20"/>
                <w:szCs w:val="20"/>
                <w:lang w:eastAsia="pl-PL"/>
                <w14:ligatures w14:val="none"/>
              </w:rPr>
              <w:instrText xml:space="preserve"> INCLUDEPICTURE  "wordml://75.png" \* MERGEFORMATINET </w:instrText>
            </w:r>
            <w:r>
              <w:rPr>
                <w:rFonts w:ascii="Times New Roman" w:eastAsia="Times New Roman" w:hAnsi="Times New Roman" w:cs="Times New Roman"/>
                <w:kern w:val="0"/>
                <w:sz w:val="20"/>
                <w:szCs w:val="20"/>
                <w:lang w:eastAsia="pl-PL"/>
                <w14:ligatures w14:val="none"/>
              </w:rPr>
              <w:fldChar w:fldCharType="separate"/>
            </w:r>
            <w:r>
              <w:rPr>
                <w:rFonts w:ascii="Times New Roman" w:eastAsia="Times New Roman" w:hAnsi="Times New Roman" w:cs="Times New Roman"/>
                <w:kern w:val="0"/>
                <w:sz w:val="20"/>
                <w:szCs w:val="20"/>
                <w:lang w:eastAsia="pl-PL"/>
                <w14:ligatures w14:val="none"/>
              </w:rPr>
              <w:fldChar w:fldCharType="begin"/>
            </w:r>
            <w:r>
              <w:rPr>
                <w:rFonts w:ascii="Times New Roman" w:eastAsia="Times New Roman" w:hAnsi="Times New Roman" w:cs="Times New Roman"/>
                <w:kern w:val="0"/>
                <w:sz w:val="20"/>
                <w:szCs w:val="20"/>
                <w:lang w:eastAsia="pl-PL"/>
                <w14:ligatures w14:val="none"/>
              </w:rPr>
              <w:instrText xml:space="preserve"> INCLUDEPICTURE  "wordml://75.png" \* MERGEFORMATINET </w:instrText>
            </w:r>
            <w:r>
              <w:rPr>
                <w:rFonts w:ascii="Times New Roman" w:eastAsia="Times New Roman" w:hAnsi="Times New Roman" w:cs="Times New Roman"/>
                <w:kern w:val="0"/>
                <w:sz w:val="20"/>
                <w:szCs w:val="20"/>
                <w:lang w:eastAsia="pl-PL"/>
                <w14:ligatures w14:val="none"/>
              </w:rPr>
              <w:fldChar w:fldCharType="separate"/>
            </w:r>
            <w:r>
              <w:rPr>
                <w:rFonts w:ascii="Times New Roman" w:eastAsia="Times New Roman" w:hAnsi="Times New Roman" w:cs="Times New Roman"/>
                <w:kern w:val="0"/>
                <w:sz w:val="20"/>
                <w:szCs w:val="20"/>
                <w:lang w:eastAsia="pl-PL"/>
                <w14:ligatures w14:val="none"/>
              </w:rPr>
              <w:fldChar w:fldCharType="begin"/>
            </w:r>
            <w:r>
              <w:rPr>
                <w:rFonts w:ascii="Times New Roman" w:eastAsia="Times New Roman" w:hAnsi="Times New Roman" w:cs="Times New Roman"/>
                <w:kern w:val="0"/>
                <w:sz w:val="20"/>
                <w:szCs w:val="20"/>
                <w:lang w:eastAsia="pl-PL"/>
                <w14:ligatures w14:val="none"/>
              </w:rPr>
              <w:instrText xml:space="preserve"> INCLUDEPICTURE  "wordml://75.png" \* MERGEFORMATINET </w:instrText>
            </w:r>
            <w:r>
              <w:rPr>
                <w:rFonts w:ascii="Times New Roman" w:eastAsia="Times New Roman" w:hAnsi="Times New Roman" w:cs="Times New Roman"/>
                <w:kern w:val="0"/>
                <w:sz w:val="20"/>
                <w:szCs w:val="20"/>
                <w:lang w:eastAsia="pl-PL"/>
                <w14:ligatures w14:val="none"/>
              </w:rPr>
              <w:fldChar w:fldCharType="separate"/>
            </w:r>
            <w:r>
              <w:rPr>
                <w:rFonts w:ascii="Times New Roman" w:eastAsia="Times New Roman" w:hAnsi="Times New Roman" w:cs="Times New Roman"/>
                <w:kern w:val="0"/>
                <w:sz w:val="20"/>
                <w:szCs w:val="20"/>
                <w:lang w:eastAsia="pl-PL"/>
                <w14:ligatures w14:val="none"/>
              </w:rPr>
              <w:fldChar w:fldCharType="begin"/>
            </w:r>
            <w:r>
              <w:rPr>
                <w:rFonts w:ascii="Times New Roman" w:eastAsia="Times New Roman" w:hAnsi="Times New Roman" w:cs="Times New Roman"/>
                <w:kern w:val="0"/>
                <w:sz w:val="20"/>
                <w:szCs w:val="20"/>
                <w:lang w:eastAsia="pl-PL"/>
                <w14:ligatures w14:val="none"/>
              </w:rPr>
              <w:instrText xml:space="preserve"> INCLUDEPICTURE  "wordml://75.png" \* MERGEFORMATINET </w:instrText>
            </w:r>
            <w:r>
              <w:rPr>
                <w:rFonts w:ascii="Times New Roman" w:eastAsia="Times New Roman" w:hAnsi="Times New Roman" w:cs="Times New Roman"/>
                <w:kern w:val="0"/>
                <w:sz w:val="20"/>
                <w:szCs w:val="20"/>
                <w:lang w:eastAsia="pl-PL"/>
                <w14:ligatures w14:val="none"/>
              </w:rPr>
              <w:fldChar w:fldCharType="separate"/>
            </w:r>
            <w:r>
              <w:rPr>
                <w:rFonts w:ascii="Times New Roman" w:eastAsia="Times New Roman" w:hAnsi="Times New Roman" w:cs="Times New Roman"/>
                <w:kern w:val="0"/>
                <w:sz w:val="20"/>
                <w:szCs w:val="20"/>
                <w:lang w:eastAsia="pl-PL"/>
                <w14:ligatures w14:val="none"/>
              </w:rPr>
              <w:fldChar w:fldCharType="begin"/>
            </w:r>
            <w:r>
              <w:rPr>
                <w:rFonts w:ascii="Times New Roman" w:eastAsia="Times New Roman" w:hAnsi="Times New Roman" w:cs="Times New Roman"/>
                <w:kern w:val="0"/>
                <w:sz w:val="20"/>
                <w:szCs w:val="20"/>
                <w:lang w:eastAsia="pl-PL"/>
                <w14:ligatures w14:val="none"/>
              </w:rPr>
              <w:instrText xml:space="preserve"> INCLUDEPICTURE  "wordml://75.png" \* MERGEFORMATINET </w:instrText>
            </w:r>
            <w:r>
              <w:rPr>
                <w:rFonts w:ascii="Times New Roman" w:eastAsia="Times New Roman" w:hAnsi="Times New Roman" w:cs="Times New Roman"/>
                <w:kern w:val="0"/>
                <w:sz w:val="20"/>
                <w:szCs w:val="20"/>
                <w:lang w:eastAsia="pl-PL"/>
                <w14:ligatures w14:val="none"/>
              </w:rPr>
              <w:fldChar w:fldCharType="separate"/>
            </w:r>
            <w:r w:rsidR="00000000">
              <w:rPr>
                <w:rFonts w:ascii="Times New Roman" w:eastAsia="Times New Roman" w:hAnsi="Times New Roman" w:cs="Times New Roman"/>
                <w:kern w:val="0"/>
                <w:sz w:val="20"/>
                <w:szCs w:val="20"/>
                <w:lang w:eastAsia="pl-PL"/>
                <w14:ligatures w14:val="none"/>
              </w:rPr>
              <w:fldChar w:fldCharType="begin"/>
            </w:r>
            <w:r w:rsidR="00000000">
              <w:rPr>
                <w:rFonts w:ascii="Times New Roman" w:eastAsia="Times New Roman" w:hAnsi="Times New Roman" w:cs="Times New Roman"/>
                <w:kern w:val="0"/>
                <w:sz w:val="20"/>
                <w:szCs w:val="20"/>
                <w:lang w:eastAsia="pl-PL"/>
                <w14:ligatures w14:val="none"/>
              </w:rPr>
              <w:instrText xml:space="preserve"> INCLUDEPICTURE  "wordml://75.png" \* MERGEFORMATINET </w:instrText>
            </w:r>
            <w:r w:rsidR="00000000">
              <w:rPr>
                <w:rFonts w:ascii="Times New Roman" w:eastAsia="Times New Roman" w:hAnsi="Times New Roman" w:cs="Times New Roman"/>
                <w:kern w:val="0"/>
                <w:sz w:val="20"/>
                <w:szCs w:val="20"/>
                <w:lang w:eastAsia="pl-PL"/>
                <w14:ligatures w14:val="none"/>
              </w:rPr>
              <w:fldChar w:fldCharType="separate"/>
            </w:r>
            <w:r w:rsidR="0056772A">
              <w:rPr>
                <w:rFonts w:ascii="Times New Roman" w:eastAsia="Times New Roman" w:hAnsi="Times New Roman" w:cs="Times New Roman"/>
                <w:kern w:val="0"/>
                <w:sz w:val="20"/>
                <w:szCs w:val="20"/>
                <w:lang w:eastAsia="pl-PL"/>
                <w14:ligatures w14:val="none"/>
              </w:rPr>
              <w:pict w14:anchorId="04D5A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60pt;visibility:visible" o:bordertopcolor="black" o:borderleftcolor="black" o:borderbottomcolor="black" o:borderrightcolor="black">
                  <v:imagedata r:id="rId8" r:href="rId9"/>
                </v:shape>
              </w:pict>
            </w:r>
            <w:r w:rsidR="00000000">
              <w:rPr>
                <w:rFonts w:ascii="Times New Roman" w:eastAsia="Times New Roman" w:hAnsi="Times New Roman" w:cs="Times New Roman"/>
                <w:kern w:val="0"/>
                <w:sz w:val="20"/>
                <w:szCs w:val="20"/>
                <w:lang w:eastAsia="pl-PL"/>
                <w14:ligatures w14:val="none"/>
              </w:rPr>
              <w:fldChar w:fldCharType="end"/>
            </w:r>
            <w:r>
              <w:rPr>
                <w:rFonts w:ascii="Times New Roman" w:eastAsia="Times New Roman" w:hAnsi="Times New Roman" w:cs="Times New Roman"/>
                <w:kern w:val="0"/>
                <w:sz w:val="20"/>
                <w:szCs w:val="20"/>
                <w:lang w:eastAsia="pl-PL"/>
                <w14:ligatures w14:val="none"/>
              </w:rPr>
              <w:fldChar w:fldCharType="end"/>
            </w:r>
            <w:r>
              <w:rPr>
                <w:rFonts w:ascii="Times New Roman" w:eastAsia="Times New Roman" w:hAnsi="Times New Roman" w:cs="Times New Roman"/>
                <w:kern w:val="0"/>
                <w:sz w:val="20"/>
                <w:szCs w:val="20"/>
                <w:lang w:eastAsia="pl-PL"/>
                <w14:ligatures w14:val="none"/>
              </w:rPr>
              <w:fldChar w:fldCharType="end"/>
            </w:r>
            <w:r>
              <w:rPr>
                <w:rFonts w:ascii="Times New Roman" w:eastAsia="Times New Roman" w:hAnsi="Times New Roman" w:cs="Times New Roman"/>
                <w:kern w:val="0"/>
                <w:sz w:val="20"/>
                <w:szCs w:val="20"/>
                <w:lang w:eastAsia="pl-PL"/>
                <w14:ligatures w14:val="none"/>
              </w:rPr>
              <w:fldChar w:fldCharType="end"/>
            </w:r>
            <w:r>
              <w:rPr>
                <w:rFonts w:ascii="Times New Roman" w:eastAsia="Times New Roman" w:hAnsi="Times New Roman" w:cs="Times New Roman"/>
                <w:kern w:val="0"/>
                <w:sz w:val="20"/>
                <w:szCs w:val="20"/>
                <w:lang w:eastAsia="pl-PL"/>
                <w14:ligatures w14:val="none"/>
              </w:rPr>
              <w:fldChar w:fldCharType="end"/>
            </w:r>
            <w:r>
              <w:rPr>
                <w:rFonts w:ascii="Times New Roman" w:eastAsia="Times New Roman" w:hAnsi="Times New Roman" w:cs="Times New Roman"/>
                <w:kern w:val="0"/>
                <w:sz w:val="20"/>
                <w:szCs w:val="20"/>
                <w:lang w:eastAsia="pl-PL"/>
                <w14:ligatures w14:val="none"/>
              </w:rPr>
              <w:fldChar w:fldCharType="end"/>
            </w:r>
            <w:r>
              <w:rPr>
                <w:rFonts w:ascii="Times New Roman" w:eastAsia="Times New Roman" w:hAnsi="Times New Roman" w:cs="Times New Roman"/>
                <w:kern w:val="0"/>
                <w:sz w:val="20"/>
                <w:szCs w:val="20"/>
                <w:lang w:eastAsia="pl-PL"/>
                <w14:ligatures w14:val="none"/>
              </w:rPr>
              <w:fldChar w:fldCharType="end"/>
            </w:r>
            <w:r>
              <w:rPr>
                <w:rFonts w:ascii="Times New Roman" w:eastAsia="Times New Roman" w:hAnsi="Times New Roman" w:cs="Times New Roman"/>
                <w:kern w:val="0"/>
                <w:sz w:val="20"/>
                <w:szCs w:val="20"/>
                <w:lang w:eastAsia="pl-PL"/>
                <w14:ligatures w14:val="none"/>
              </w:rPr>
              <w:fldChar w:fldCharType="end"/>
            </w:r>
            <w:r>
              <w:rPr>
                <w:rFonts w:ascii="Times New Roman" w:eastAsia="Times New Roman" w:hAnsi="Times New Roman" w:cs="Times New Roman"/>
                <w:kern w:val="0"/>
                <w:sz w:val="20"/>
                <w:szCs w:val="20"/>
                <w:lang w:eastAsia="pl-PL"/>
                <w14:ligatures w14:val="none"/>
              </w:rPr>
              <w:fldChar w:fldCharType="end"/>
            </w:r>
            <w:r w:rsidR="003979C8">
              <w:rPr>
                <w:rFonts w:ascii="Times New Roman" w:eastAsia="Times New Roman" w:hAnsi="Times New Roman" w:cs="Times New Roman"/>
                <w:kern w:val="0"/>
                <w:sz w:val="20"/>
                <w:szCs w:val="20"/>
                <w:lang w:eastAsia="pl-PL"/>
                <w14:ligatures w14:val="none"/>
              </w:rPr>
              <w:fldChar w:fldCharType="end"/>
            </w:r>
            <w:r>
              <w:rPr>
                <w:rFonts w:ascii="Times New Roman" w:eastAsia="Times New Roman" w:hAnsi="Times New Roman" w:cs="Times New Roman"/>
                <w:kern w:val="0"/>
                <w:sz w:val="20"/>
                <w:szCs w:val="20"/>
                <w:lang w:eastAsia="pl-PL"/>
                <w14:ligatures w14:val="none"/>
              </w:rPr>
              <w:fldChar w:fldCharType="end"/>
            </w:r>
            <w:r>
              <w:rPr>
                <w:rFonts w:ascii="Times New Roman" w:eastAsia="Times New Roman" w:hAnsi="Times New Roman" w:cs="Times New Roman"/>
                <w:kern w:val="0"/>
                <w:sz w:val="20"/>
                <w:szCs w:val="20"/>
                <w:lang w:eastAsia="pl-PL"/>
                <w14:ligatures w14:val="none"/>
              </w:rPr>
              <w:fldChar w:fldCharType="end"/>
            </w:r>
            <w:r>
              <w:rPr>
                <w:rFonts w:ascii="Times New Roman" w:eastAsia="Times New Roman" w:hAnsi="Times New Roman" w:cs="Times New Roman"/>
                <w:kern w:val="0"/>
                <w:sz w:val="20"/>
                <w:szCs w:val="20"/>
                <w:lang w:eastAsia="pl-PL"/>
                <w14:ligatures w14:val="none"/>
              </w:rPr>
              <w:fldChar w:fldCharType="end"/>
            </w:r>
            <w:r>
              <w:rPr>
                <w:rFonts w:ascii="Times New Roman" w:eastAsia="Times New Roman" w:hAnsi="Times New Roman" w:cs="Times New Roman"/>
                <w:kern w:val="0"/>
                <w:sz w:val="20"/>
                <w:szCs w:val="20"/>
                <w:lang w:eastAsia="pl-PL"/>
                <w14:ligatures w14:val="none"/>
              </w:rPr>
              <w:fldChar w:fldCharType="end"/>
            </w:r>
            <w:r w:rsidR="00452911">
              <w:rPr>
                <w:rFonts w:ascii="Times New Roman" w:eastAsia="Times New Roman" w:hAnsi="Times New Roman" w:cs="Times New Roman"/>
                <w:kern w:val="0"/>
                <w:sz w:val="20"/>
                <w:szCs w:val="20"/>
                <w:lang w:eastAsia="pl-PL"/>
                <w14:ligatures w14:val="none"/>
              </w:rPr>
              <w:fldChar w:fldCharType="end"/>
            </w:r>
            <w:r w:rsidR="00012ED5">
              <w:rPr>
                <w:rFonts w:ascii="Times New Roman" w:eastAsia="Times New Roman" w:hAnsi="Times New Roman" w:cs="Times New Roman"/>
                <w:kern w:val="0"/>
                <w:sz w:val="20"/>
                <w:szCs w:val="20"/>
                <w:lang w:eastAsia="pl-PL"/>
                <w14:ligatures w14:val="none"/>
              </w:rPr>
              <w:fldChar w:fldCharType="end"/>
            </w:r>
            <w:r w:rsidR="00BF5EDF">
              <w:rPr>
                <w:rFonts w:ascii="Times New Roman" w:eastAsia="Times New Roman" w:hAnsi="Times New Roman" w:cs="Times New Roman"/>
                <w:kern w:val="0"/>
                <w:sz w:val="20"/>
                <w:szCs w:val="20"/>
                <w:lang w:eastAsia="pl-PL"/>
                <w14:ligatures w14:val="none"/>
              </w:rPr>
              <w:fldChar w:fldCharType="end"/>
            </w:r>
            <w:r>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r w:rsidRPr="00D804E2">
              <w:rPr>
                <w:rFonts w:ascii="Times New Roman" w:eastAsia="Times New Roman" w:hAnsi="Times New Roman" w:cs="Times New Roman"/>
                <w:kern w:val="0"/>
                <w:sz w:val="20"/>
                <w:szCs w:val="20"/>
                <w:lang w:eastAsia="pl-PL"/>
                <w14:ligatures w14:val="none"/>
              </w:rPr>
              <w:fldChar w:fldCharType="end"/>
            </w:r>
          </w:p>
        </w:tc>
      </w:tr>
    </w:tbl>
    <w:p w14:paraId="16F43B68" w14:textId="77777777" w:rsidR="00D804E2" w:rsidRPr="00D804E2" w:rsidRDefault="00D804E2" w:rsidP="00661E71">
      <w:pPr>
        <w:spacing w:after="0" w:line="240" w:lineRule="auto"/>
        <w:rPr>
          <w:rFonts w:ascii="Times New Roman" w:eastAsia="Times New Roman" w:hAnsi="Times New Roman" w:cs="Times New Roman"/>
          <w:vanish/>
          <w:kern w:val="0"/>
          <w:sz w:val="20"/>
          <w:szCs w:val="20"/>
          <w:lang w:eastAsia="pl-PL"/>
          <w14:ligatures w14:val="none"/>
        </w:rPr>
      </w:pPr>
      <w:bookmarkStart w:id="2" w:name="__bookmark_3"/>
      <w:bookmarkEnd w:id="2"/>
    </w:p>
    <w:tbl>
      <w:tblPr>
        <w:tblOverlap w:val="never"/>
        <w:tblW w:w="9451" w:type="dxa"/>
        <w:tblLayout w:type="fixed"/>
        <w:tblLook w:val="01E0" w:firstRow="1" w:lastRow="1" w:firstColumn="1" w:lastColumn="1" w:noHBand="0" w:noVBand="0"/>
      </w:tblPr>
      <w:tblGrid>
        <w:gridCol w:w="9451"/>
      </w:tblGrid>
      <w:tr w:rsidR="00D804E2" w:rsidRPr="00D804E2" w14:paraId="51AB2868" w14:textId="77777777" w:rsidTr="00F5375B">
        <w:tc>
          <w:tcPr>
            <w:tcW w:w="9451" w:type="dxa"/>
            <w:tcMar>
              <w:top w:w="0" w:type="dxa"/>
              <w:left w:w="0" w:type="dxa"/>
              <w:bottom w:w="260" w:type="dxa"/>
              <w:right w:w="0" w:type="dxa"/>
            </w:tcMar>
          </w:tcPr>
          <w:tbl>
            <w:tblPr>
              <w:tblOverlap w:val="never"/>
              <w:tblW w:w="9451" w:type="dxa"/>
              <w:tblLayout w:type="fixed"/>
              <w:tblLook w:val="01E0" w:firstRow="1" w:lastRow="1" w:firstColumn="1" w:lastColumn="1" w:noHBand="0" w:noVBand="0"/>
            </w:tblPr>
            <w:tblGrid>
              <w:gridCol w:w="9451"/>
            </w:tblGrid>
            <w:tr w:rsidR="00D804E2" w:rsidRPr="00D804E2" w14:paraId="4D3A6B74" w14:textId="77777777" w:rsidTr="00452911">
              <w:tc>
                <w:tcPr>
                  <w:tcW w:w="9451" w:type="dxa"/>
                  <w:tcMar>
                    <w:top w:w="20" w:type="dxa"/>
                    <w:left w:w="737" w:type="dxa"/>
                    <w:bottom w:w="0" w:type="dxa"/>
                    <w:right w:w="0" w:type="dxa"/>
                  </w:tcMar>
                  <w:vAlign w:val="bottom"/>
                </w:tcPr>
                <w:tbl>
                  <w:tblPr>
                    <w:tblOverlap w:val="never"/>
                    <w:tblW w:w="8714" w:type="dxa"/>
                    <w:tblLayout w:type="fixed"/>
                    <w:tblCellMar>
                      <w:left w:w="0" w:type="dxa"/>
                      <w:right w:w="0" w:type="dxa"/>
                    </w:tblCellMar>
                    <w:tblLook w:val="01E0" w:firstRow="1" w:lastRow="1" w:firstColumn="1" w:lastColumn="1" w:noHBand="0" w:noVBand="0"/>
                  </w:tblPr>
                  <w:tblGrid>
                    <w:gridCol w:w="8714"/>
                  </w:tblGrid>
                  <w:tr w:rsidR="00D804E2" w:rsidRPr="00D804E2" w14:paraId="056CE0A6" w14:textId="77777777" w:rsidTr="00452911">
                    <w:tc>
                      <w:tcPr>
                        <w:tcW w:w="8714" w:type="dxa"/>
                        <w:tcMar>
                          <w:top w:w="0" w:type="dxa"/>
                          <w:left w:w="0" w:type="dxa"/>
                          <w:bottom w:w="0" w:type="dxa"/>
                          <w:right w:w="0" w:type="dxa"/>
                        </w:tcMar>
                      </w:tcPr>
                      <w:p w14:paraId="3297D255" w14:textId="77777777" w:rsidR="00D804E2" w:rsidRPr="00D804E2" w:rsidRDefault="00D804E2" w:rsidP="00FD3CEA">
                        <w:pPr>
                          <w:spacing w:after="0" w:line="240" w:lineRule="auto"/>
                          <w:rPr>
                            <w:rFonts w:ascii="Times New Roman" w:eastAsia="Times New Roman" w:hAnsi="Times New Roman" w:cs="Times New Roman"/>
                            <w:kern w:val="0"/>
                            <w:sz w:val="20"/>
                            <w:szCs w:val="20"/>
                            <w:lang w:eastAsia="pl-PL"/>
                            <w14:ligatures w14:val="none"/>
                          </w:rPr>
                        </w:pPr>
                        <w:bookmarkStart w:id="3" w:name="__bookmark_4"/>
                        <w:bookmarkEnd w:id="3"/>
                        <w:r w:rsidRPr="00D804E2">
                          <w:rPr>
                            <w:rFonts w:ascii="Arial" w:eastAsia="Arial" w:hAnsi="Arial" w:cs="Arial"/>
                            <w:color w:val="000000"/>
                            <w:kern w:val="0"/>
                            <w:sz w:val="20"/>
                            <w:szCs w:val="20"/>
                            <w:lang w:eastAsia="pl-PL"/>
                            <w14:ligatures w14:val="none"/>
                          </w:rPr>
                          <w:t xml:space="preserve">Imię i nazwisko studenta: </w:t>
                        </w:r>
                        <w:r w:rsidRPr="00D804E2">
                          <w:rPr>
                            <w:rFonts w:ascii="Arial" w:eastAsia="Times New Roman" w:hAnsi="Arial" w:cs="Arial"/>
                            <w:kern w:val="0"/>
                            <w:sz w:val="20"/>
                            <w:szCs w:val="20"/>
                            <w:lang w:eastAsia="pl-PL"/>
                            <w14:ligatures w14:val="none"/>
                          </w:rPr>
                          <w:t>Dawid Drawc</w:t>
                        </w:r>
                      </w:p>
                    </w:tc>
                  </w:tr>
                </w:tbl>
                <w:p w14:paraId="3CF2E4A5" w14:textId="77777777" w:rsidR="00D804E2" w:rsidRPr="00D804E2" w:rsidRDefault="00D804E2" w:rsidP="00FD3CEA">
                  <w:pPr>
                    <w:spacing w:after="0" w:line="1" w:lineRule="auto"/>
                    <w:rPr>
                      <w:rFonts w:ascii="Times New Roman" w:eastAsia="Times New Roman" w:hAnsi="Times New Roman" w:cs="Times New Roman"/>
                      <w:kern w:val="0"/>
                      <w:sz w:val="20"/>
                      <w:szCs w:val="20"/>
                      <w:lang w:eastAsia="pl-PL"/>
                      <w14:ligatures w14:val="none"/>
                    </w:rPr>
                  </w:pPr>
                </w:p>
              </w:tc>
            </w:tr>
            <w:tr w:rsidR="00D804E2" w:rsidRPr="00D804E2" w14:paraId="6E27B793" w14:textId="77777777" w:rsidTr="00452911">
              <w:trPr>
                <w:hidden/>
              </w:trPr>
              <w:tc>
                <w:tcPr>
                  <w:tcW w:w="9451" w:type="dxa"/>
                  <w:tcMar>
                    <w:top w:w="0" w:type="dxa"/>
                    <w:left w:w="737" w:type="dxa"/>
                    <w:bottom w:w="0" w:type="dxa"/>
                    <w:right w:w="0" w:type="dxa"/>
                  </w:tcMar>
                </w:tcPr>
                <w:p w14:paraId="55390EFD" w14:textId="77777777" w:rsidR="00D804E2" w:rsidRPr="00D804E2" w:rsidRDefault="00D804E2" w:rsidP="00FD3CEA">
                  <w:pPr>
                    <w:spacing w:after="0" w:line="240" w:lineRule="auto"/>
                    <w:rPr>
                      <w:rFonts w:ascii="Times New Roman" w:eastAsia="Times New Roman" w:hAnsi="Times New Roman" w:cs="Times New Roman"/>
                      <w:vanish/>
                      <w:kern w:val="0"/>
                      <w:sz w:val="20"/>
                      <w:szCs w:val="20"/>
                      <w:lang w:eastAsia="pl-PL"/>
                      <w14:ligatures w14:val="none"/>
                    </w:rPr>
                  </w:pPr>
                </w:p>
                <w:tbl>
                  <w:tblPr>
                    <w:tblOverlap w:val="never"/>
                    <w:tblW w:w="8714" w:type="dxa"/>
                    <w:tblLayout w:type="fixed"/>
                    <w:tblCellMar>
                      <w:left w:w="0" w:type="dxa"/>
                      <w:right w:w="0" w:type="dxa"/>
                    </w:tblCellMar>
                    <w:tblLook w:val="01E0" w:firstRow="1" w:lastRow="1" w:firstColumn="1" w:lastColumn="1" w:noHBand="0" w:noVBand="0"/>
                  </w:tblPr>
                  <w:tblGrid>
                    <w:gridCol w:w="8714"/>
                  </w:tblGrid>
                  <w:tr w:rsidR="00D804E2" w:rsidRPr="00D804E2" w14:paraId="04D8DC72" w14:textId="77777777" w:rsidTr="00452911">
                    <w:tc>
                      <w:tcPr>
                        <w:tcW w:w="8714" w:type="dxa"/>
                        <w:tcMar>
                          <w:top w:w="0" w:type="dxa"/>
                          <w:left w:w="0" w:type="dxa"/>
                          <w:bottom w:w="0" w:type="dxa"/>
                          <w:right w:w="0" w:type="dxa"/>
                        </w:tcMar>
                      </w:tcPr>
                      <w:p w14:paraId="0900F58D" w14:textId="77777777" w:rsidR="00D804E2" w:rsidRPr="00D804E2" w:rsidRDefault="00D804E2" w:rsidP="00FD3CEA">
                        <w:pPr>
                          <w:spacing w:after="0" w:line="240" w:lineRule="auto"/>
                          <w:rPr>
                            <w:rFonts w:ascii="Times New Roman" w:eastAsia="Times New Roman" w:hAnsi="Times New Roman" w:cs="Times New Roman"/>
                            <w:kern w:val="0"/>
                            <w:sz w:val="20"/>
                            <w:szCs w:val="20"/>
                            <w:lang w:eastAsia="pl-PL"/>
                            <w14:ligatures w14:val="none"/>
                          </w:rPr>
                        </w:pPr>
                        <w:r w:rsidRPr="00D804E2">
                          <w:rPr>
                            <w:rFonts w:ascii="Arial" w:eastAsia="Arial" w:hAnsi="Arial" w:cs="Arial"/>
                            <w:color w:val="000000"/>
                            <w:kern w:val="0"/>
                            <w:sz w:val="20"/>
                            <w:szCs w:val="20"/>
                            <w:lang w:eastAsia="pl-PL"/>
                            <w14:ligatures w14:val="none"/>
                          </w:rPr>
                          <w:t>Nr albumu: s202286</w:t>
                        </w:r>
                      </w:p>
                    </w:tc>
                  </w:tr>
                </w:tbl>
                <w:p w14:paraId="0E8DBA10" w14:textId="77777777" w:rsidR="00D804E2" w:rsidRPr="00D804E2" w:rsidRDefault="00D804E2" w:rsidP="00FD3CEA">
                  <w:pPr>
                    <w:spacing w:after="0" w:line="1" w:lineRule="auto"/>
                    <w:rPr>
                      <w:rFonts w:ascii="Times New Roman" w:eastAsia="Times New Roman" w:hAnsi="Times New Roman" w:cs="Times New Roman"/>
                      <w:kern w:val="0"/>
                      <w:sz w:val="20"/>
                      <w:szCs w:val="20"/>
                      <w:lang w:eastAsia="pl-PL"/>
                      <w14:ligatures w14:val="none"/>
                    </w:rPr>
                  </w:pPr>
                </w:p>
              </w:tc>
            </w:tr>
            <w:tr w:rsidR="00D804E2" w:rsidRPr="00D804E2" w14:paraId="184D1D51" w14:textId="77777777" w:rsidTr="00452911">
              <w:trPr>
                <w:hidden/>
              </w:trPr>
              <w:tc>
                <w:tcPr>
                  <w:tcW w:w="9451" w:type="dxa"/>
                  <w:tcMar>
                    <w:top w:w="0" w:type="dxa"/>
                    <w:left w:w="737" w:type="dxa"/>
                    <w:bottom w:w="0" w:type="dxa"/>
                    <w:right w:w="0" w:type="dxa"/>
                  </w:tcMar>
                </w:tcPr>
                <w:p w14:paraId="04BA7259" w14:textId="77777777" w:rsidR="00D804E2" w:rsidRPr="00D804E2" w:rsidRDefault="00D804E2" w:rsidP="00FD3CEA">
                  <w:pPr>
                    <w:spacing w:after="0" w:line="240" w:lineRule="auto"/>
                    <w:rPr>
                      <w:rFonts w:ascii="Times New Roman" w:eastAsia="Times New Roman" w:hAnsi="Times New Roman" w:cs="Times New Roman"/>
                      <w:vanish/>
                      <w:kern w:val="0"/>
                      <w:sz w:val="20"/>
                      <w:szCs w:val="20"/>
                      <w:lang w:eastAsia="pl-PL"/>
                      <w14:ligatures w14:val="none"/>
                    </w:rPr>
                  </w:pPr>
                </w:p>
                <w:tbl>
                  <w:tblPr>
                    <w:tblOverlap w:val="never"/>
                    <w:tblW w:w="8714" w:type="dxa"/>
                    <w:tblLayout w:type="fixed"/>
                    <w:tblCellMar>
                      <w:left w:w="0" w:type="dxa"/>
                      <w:right w:w="0" w:type="dxa"/>
                    </w:tblCellMar>
                    <w:tblLook w:val="01E0" w:firstRow="1" w:lastRow="1" w:firstColumn="1" w:lastColumn="1" w:noHBand="0" w:noVBand="0"/>
                  </w:tblPr>
                  <w:tblGrid>
                    <w:gridCol w:w="8714"/>
                  </w:tblGrid>
                  <w:tr w:rsidR="00D804E2" w:rsidRPr="00D804E2" w14:paraId="3DAC850A" w14:textId="77777777" w:rsidTr="00452911">
                    <w:tc>
                      <w:tcPr>
                        <w:tcW w:w="8714" w:type="dxa"/>
                        <w:tcMar>
                          <w:top w:w="0" w:type="dxa"/>
                          <w:left w:w="0" w:type="dxa"/>
                          <w:bottom w:w="0" w:type="dxa"/>
                          <w:right w:w="0" w:type="dxa"/>
                        </w:tcMar>
                      </w:tcPr>
                      <w:p w14:paraId="7FC18231" w14:textId="77777777" w:rsidR="00D804E2" w:rsidRPr="00D804E2" w:rsidRDefault="00D804E2" w:rsidP="00FD3CEA">
                        <w:pPr>
                          <w:spacing w:after="0" w:line="240" w:lineRule="auto"/>
                          <w:rPr>
                            <w:rFonts w:ascii="Times New Roman" w:eastAsia="Times New Roman" w:hAnsi="Times New Roman" w:cs="Times New Roman"/>
                            <w:kern w:val="0"/>
                            <w:sz w:val="20"/>
                            <w:szCs w:val="20"/>
                            <w:lang w:eastAsia="pl-PL"/>
                            <w14:ligatures w14:val="none"/>
                          </w:rPr>
                        </w:pPr>
                        <w:r w:rsidRPr="00D804E2">
                          <w:rPr>
                            <w:rFonts w:ascii="Arial" w:eastAsia="Arial" w:hAnsi="Arial" w:cs="Arial"/>
                            <w:color w:val="000000"/>
                            <w:kern w:val="0"/>
                            <w:sz w:val="20"/>
                            <w:szCs w:val="20"/>
                            <w:lang w:eastAsia="pl-PL"/>
                            <w14:ligatures w14:val="none"/>
                          </w:rPr>
                          <w:t>Poziom kształcenia: studia drugiego stopnia</w:t>
                        </w:r>
                      </w:p>
                    </w:tc>
                  </w:tr>
                </w:tbl>
                <w:p w14:paraId="1E78B890" w14:textId="77777777" w:rsidR="00D804E2" w:rsidRPr="00D804E2" w:rsidRDefault="00D804E2" w:rsidP="00FD3CEA">
                  <w:pPr>
                    <w:spacing w:after="0" w:line="1" w:lineRule="auto"/>
                    <w:rPr>
                      <w:rFonts w:ascii="Times New Roman" w:eastAsia="Times New Roman" w:hAnsi="Times New Roman" w:cs="Times New Roman"/>
                      <w:kern w:val="0"/>
                      <w:sz w:val="20"/>
                      <w:szCs w:val="20"/>
                      <w:lang w:eastAsia="pl-PL"/>
                      <w14:ligatures w14:val="none"/>
                    </w:rPr>
                  </w:pPr>
                </w:p>
              </w:tc>
            </w:tr>
            <w:tr w:rsidR="00D804E2" w:rsidRPr="00D804E2" w14:paraId="10381B1A" w14:textId="77777777" w:rsidTr="00452911">
              <w:trPr>
                <w:hidden/>
              </w:trPr>
              <w:tc>
                <w:tcPr>
                  <w:tcW w:w="9451" w:type="dxa"/>
                  <w:tcMar>
                    <w:top w:w="0" w:type="dxa"/>
                    <w:left w:w="737" w:type="dxa"/>
                    <w:bottom w:w="0" w:type="dxa"/>
                    <w:right w:w="0" w:type="dxa"/>
                  </w:tcMar>
                </w:tcPr>
                <w:p w14:paraId="616A7E52" w14:textId="77777777" w:rsidR="00D804E2" w:rsidRPr="00D804E2" w:rsidRDefault="00D804E2" w:rsidP="00FD3CEA">
                  <w:pPr>
                    <w:spacing w:after="0" w:line="240" w:lineRule="auto"/>
                    <w:rPr>
                      <w:rFonts w:ascii="Times New Roman" w:eastAsia="Times New Roman" w:hAnsi="Times New Roman" w:cs="Times New Roman"/>
                      <w:vanish/>
                      <w:kern w:val="0"/>
                      <w:sz w:val="20"/>
                      <w:szCs w:val="20"/>
                      <w:lang w:eastAsia="pl-PL"/>
                      <w14:ligatures w14:val="none"/>
                    </w:rPr>
                  </w:pPr>
                </w:p>
                <w:tbl>
                  <w:tblPr>
                    <w:tblOverlap w:val="never"/>
                    <w:tblW w:w="8714" w:type="dxa"/>
                    <w:tblLayout w:type="fixed"/>
                    <w:tblCellMar>
                      <w:left w:w="0" w:type="dxa"/>
                      <w:right w:w="0" w:type="dxa"/>
                    </w:tblCellMar>
                    <w:tblLook w:val="01E0" w:firstRow="1" w:lastRow="1" w:firstColumn="1" w:lastColumn="1" w:noHBand="0" w:noVBand="0"/>
                  </w:tblPr>
                  <w:tblGrid>
                    <w:gridCol w:w="8714"/>
                  </w:tblGrid>
                  <w:tr w:rsidR="00D804E2" w:rsidRPr="00D804E2" w14:paraId="4F2C53DB" w14:textId="77777777" w:rsidTr="00452911">
                    <w:tc>
                      <w:tcPr>
                        <w:tcW w:w="8714" w:type="dxa"/>
                        <w:tcMar>
                          <w:top w:w="0" w:type="dxa"/>
                          <w:left w:w="0" w:type="dxa"/>
                          <w:bottom w:w="0" w:type="dxa"/>
                          <w:right w:w="0" w:type="dxa"/>
                        </w:tcMar>
                      </w:tcPr>
                      <w:p w14:paraId="4D7CFE15" w14:textId="77777777" w:rsidR="00D804E2" w:rsidRPr="00D804E2" w:rsidRDefault="00D804E2" w:rsidP="00FD3CEA">
                        <w:pPr>
                          <w:spacing w:after="0" w:line="240" w:lineRule="auto"/>
                          <w:rPr>
                            <w:rFonts w:ascii="Times New Roman" w:eastAsia="Times New Roman" w:hAnsi="Times New Roman" w:cs="Times New Roman"/>
                            <w:kern w:val="0"/>
                            <w:sz w:val="20"/>
                            <w:szCs w:val="20"/>
                            <w:lang w:eastAsia="pl-PL"/>
                            <w14:ligatures w14:val="none"/>
                          </w:rPr>
                        </w:pPr>
                        <w:r w:rsidRPr="00D804E2">
                          <w:rPr>
                            <w:rFonts w:ascii="Arial" w:eastAsia="Arial" w:hAnsi="Arial" w:cs="Arial"/>
                            <w:color w:val="000000"/>
                            <w:kern w:val="0"/>
                            <w:sz w:val="20"/>
                            <w:szCs w:val="20"/>
                            <w:lang w:eastAsia="pl-PL"/>
                            <w14:ligatures w14:val="none"/>
                          </w:rPr>
                          <w:t>Forma studiów: niestacjonarne</w:t>
                        </w:r>
                      </w:p>
                    </w:tc>
                  </w:tr>
                </w:tbl>
                <w:p w14:paraId="7299C56F" w14:textId="77777777" w:rsidR="00D804E2" w:rsidRPr="00D804E2" w:rsidRDefault="00D804E2" w:rsidP="00FD3CEA">
                  <w:pPr>
                    <w:spacing w:after="0" w:line="1" w:lineRule="auto"/>
                    <w:rPr>
                      <w:rFonts w:ascii="Times New Roman" w:eastAsia="Times New Roman" w:hAnsi="Times New Roman" w:cs="Times New Roman"/>
                      <w:kern w:val="0"/>
                      <w:sz w:val="20"/>
                      <w:szCs w:val="20"/>
                      <w:lang w:eastAsia="pl-PL"/>
                      <w14:ligatures w14:val="none"/>
                    </w:rPr>
                  </w:pPr>
                </w:p>
              </w:tc>
            </w:tr>
            <w:tr w:rsidR="00D804E2" w:rsidRPr="00D804E2" w14:paraId="486470DB" w14:textId="77777777" w:rsidTr="00452911">
              <w:trPr>
                <w:hidden/>
              </w:trPr>
              <w:tc>
                <w:tcPr>
                  <w:tcW w:w="9451" w:type="dxa"/>
                  <w:tcMar>
                    <w:top w:w="0" w:type="dxa"/>
                    <w:left w:w="737" w:type="dxa"/>
                    <w:bottom w:w="0" w:type="dxa"/>
                    <w:right w:w="0" w:type="dxa"/>
                  </w:tcMar>
                </w:tcPr>
                <w:p w14:paraId="53747DF3" w14:textId="77777777" w:rsidR="00D804E2" w:rsidRPr="00D804E2" w:rsidRDefault="00D804E2" w:rsidP="00FD3CEA">
                  <w:pPr>
                    <w:spacing w:after="0" w:line="240" w:lineRule="auto"/>
                    <w:rPr>
                      <w:rFonts w:ascii="Times New Roman" w:eastAsia="Times New Roman" w:hAnsi="Times New Roman" w:cs="Times New Roman"/>
                      <w:vanish/>
                      <w:kern w:val="0"/>
                      <w:sz w:val="20"/>
                      <w:szCs w:val="20"/>
                      <w:lang w:eastAsia="pl-PL"/>
                      <w14:ligatures w14:val="none"/>
                    </w:rPr>
                  </w:pPr>
                </w:p>
                <w:tbl>
                  <w:tblPr>
                    <w:tblOverlap w:val="never"/>
                    <w:tblW w:w="8714" w:type="dxa"/>
                    <w:tblLayout w:type="fixed"/>
                    <w:tblCellMar>
                      <w:left w:w="0" w:type="dxa"/>
                      <w:right w:w="0" w:type="dxa"/>
                    </w:tblCellMar>
                    <w:tblLook w:val="01E0" w:firstRow="1" w:lastRow="1" w:firstColumn="1" w:lastColumn="1" w:noHBand="0" w:noVBand="0"/>
                  </w:tblPr>
                  <w:tblGrid>
                    <w:gridCol w:w="8714"/>
                  </w:tblGrid>
                  <w:tr w:rsidR="00D804E2" w:rsidRPr="00D804E2" w14:paraId="16E4FD07" w14:textId="77777777" w:rsidTr="00452911">
                    <w:tc>
                      <w:tcPr>
                        <w:tcW w:w="8714" w:type="dxa"/>
                        <w:tcMar>
                          <w:top w:w="0" w:type="dxa"/>
                          <w:left w:w="0" w:type="dxa"/>
                          <w:bottom w:w="0" w:type="dxa"/>
                          <w:right w:w="0" w:type="dxa"/>
                        </w:tcMar>
                      </w:tcPr>
                      <w:p w14:paraId="3710B463" w14:textId="77777777" w:rsidR="00D804E2" w:rsidRPr="00D804E2" w:rsidRDefault="00D804E2" w:rsidP="00FD3CEA">
                        <w:pPr>
                          <w:spacing w:after="0" w:line="240" w:lineRule="auto"/>
                          <w:rPr>
                            <w:rFonts w:ascii="Times New Roman" w:eastAsia="Times New Roman" w:hAnsi="Times New Roman" w:cs="Times New Roman"/>
                            <w:kern w:val="0"/>
                            <w:sz w:val="20"/>
                            <w:szCs w:val="20"/>
                            <w:lang w:eastAsia="pl-PL"/>
                            <w14:ligatures w14:val="none"/>
                          </w:rPr>
                        </w:pPr>
                        <w:r w:rsidRPr="00D804E2">
                          <w:rPr>
                            <w:rFonts w:ascii="Arial" w:eastAsia="Arial" w:hAnsi="Arial" w:cs="Arial"/>
                            <w:color w:val="000000"/>
                            <w:kern w:val="0"/>
                            <w:sz w:val="20"/>
                            <w:szCs w:val="20"/>
                            <w:lang w:eastAsia="pl-PL"/>
                            <w14:ligatures w14:val="none"/>
                          </w:rPr>
                          <w:t>Kierunek studiów: Analityka gospodarcza</w:t>
                        </w:r>
                      </w:p>
                    </w:tc>
                  </w:tr>
                </w:tbl>
                <w:p w14:paraId="69CBBED2" w14:textId="77777777" w:rsidR="00D804E2" w:rsidRPr="00D804E2" w:rsidRDefault="00D804E2" w:rsidP="00FD3CEA">
                  <w:pPr>
                    <w:spacing w:after="0" w:line="1" w:lineRule="auto"/>
                    <w:rPr>
                      <w:rFonts w:ascii="Times New Roman" w:eastAsia="Times New Roman" w:hAnsi="Times New Roman" w:cs="Times New Roman"/>
                      <w:kern w:val="0"/>
                      <w:sz w:val="20"/>
                      <w:szCs w:val="20"/>
                      <w:lang w:eastAsia="pl-PL"/>
                      <w14:ligatures w14:val="none"/>
                    </w:rPr>
                  </w:pPr>
                </w:p>
              </w:tc>
            </w:tr>
            <w:tr w:rsidR="00D804E2" w:rsidRPr="00D804E2" w14:paraId="4E119BB4" w14:textId="77777777" w:rsidTr="00452911">
              <w:tc>
                <w:tcPr>
                  <w:tcW w:w="9451" w:type="dxa"/>
                  <w:tcMar>
                    <w:top w:w="0" w:type="dxa"/>
                    <w:left w:w="737" w:type="dxa"/>
                    <w:bottom w:w="20" w:type="dxa"/>
                    <w:right w:w="0" w:type="dxa"/>
                  </w:tcMar>
                </w:tcPr>
                <w:p w14:paraId="5C4692D7" w14:textId="77777777" w:rsidR="00D804E2" w:rsidRDefault="00D804E2" w:rsidP="00FD3CEA">
                  <w:pPr>
                    <w:spacing w:after="0" w:line="240" w:lineRule="auto"/>
                    <w:rPr>
                      <w:rFonts w:ascii="Arial" w:eastAsia="Arial" w:hAnsi="Arial" w:cs="Arial"/>
                      <w:color w:val="000000"/>
                      <w:kern w:val="0"/>
                      <w:sz w:val="20"/>
                      <w:szCs w:val="20"/>
                      <w:lang w:eastAsia="pl-PL"/>
                      <w14:ligatures w14:val="none"/>
                    </w:rPr>
                  </w:pPr>
                  <w:r w:rsidRPr="00D804E2">
                    <w:rPr>
                      <w:rFonts w:ascii="Arial" w:eastAsia="Arial" w:hAnsi="Arial" w:cs="Arial"/>
                      <w:color w:val="000000"/>
                      <w:kern w:val="0"/>
                      <w:sz w:val="20"/>
                      <w:szCs w:val="20"/>
                      <w:lang w:eastAsia="pl-PL"/>
                      <w14:ligatures w14:val="none"/>
                    </w:rPr>
                    <w:t>Specjalność: Analityk danych</w:t>
                  </w:r>
                </w:p>
                <w:p w14:paraId="263A853C" w14:textId="77777777" w:rsidR="00CB0FCF" w:rsidRDefault="00CB0FCF" w:rsidP="00FD3CEA">
                  <w:pPr>
                    <w:spacing w:after="0" w:line="240" w:lineRule="auto"/>
                    <w:rPr>
                      <w:rFonts w:ascii="Times New Roman" w:eastAsia="Times New Roman" w:hAnsi="Times New Roman" w:cs="Times New Roman"/>
                      <w:kern w:val="0"/>
                      <w:sz w:val="20"/>
                      <w:szCs w:val="20"/>
                      <w:lang w:eastAsia="pl-PL"/>
                      <w14:ligatures w14:val="none"/>
                    </w:rPr>
                  </w:pPr>
                </w:p>
                <w:p w14:paraId="7789E1B9" w14:textId="77777777" w:rsidR="00CB0FCF" w:rsidRDefault="00CB0FCF" w:rsidP="00FD3CEA">
                  <w:pPr>
                    <w:spacing w:after="0" w:line="240" w:lineRule="auto"/>
                    <w:rPr>
                      <w:rFonts w:ascii="Times New Roman" w:eastAsia="Times New Roman" w:hAnsi="Times New Roman" w:cs="Times New Roman"/>
                      <w:kern w:val="0"/>
                      <w:sz w:val="20"/>
                      <w:szCs w:val="20"/>
                      <w:lang w:eastAsia="pl-PL"/>
                      <w14:ligatures w14:val="none"/>
                    </w:rPr>
                  </w:pPr>
                </w:p>
                <w:p w14:paraId="504A50FB" w14:textId="54332230" w:rsidR="00C31FCB" w:rsidRPr="00D804E2" w:rsidRDefault="00C31FCB" w:rsidP="00FD3CEA">
                  <w:pPr>
                    <w:spacing w:after="0" w:line="240" w:lineRule="auto"/>
                    <w:rPr>
                      <w:rFonts w:ascii="Times New Roman" w:eastAsia="Times New Roman" w:hAnsi="Times New Roman" w:cs="Times New Roman"/>
                      <w:kern w:val="0"/>
                      <w:sz w:val="20"/>
                      <w:szCs w:val="20"/>
                      <w:lang w:eastAsia="pl-PL"/>
                      <w14:ligatures w14:val="none"/>
                    </w:rPr>
                  </w:pPr>
                </w:p>
              </w:tc>
            </w:tr>
          </w:tbl>
          <w:p w14:paraId="148F1F29" w14:textId="77777777" w:rsidR="00D804E2" w:rsidRPr="00D804E2" w:rsidRDefault="00D804E2" w:rsidP="00661E71">
            <w:pPr>
              <w:spacing w:after="0" w:line="1" w:lineRule="auto"/>
              <w:rPr>
                <w:rFonts w:ascii="Times New Roman" w:eastAsia="Times New Roman" w:hAnsi="Times New Roman" w:cs="Times New Roman"/>
                <w:kern w:val="0"/>
                <w:sz w:val="20"/>
                <w:szCs w:val="20"/>
                <w:lang w:eastAsia="pl-PL"/>
                <w14:ligatures w14:val="none"/>
              </w:rPr>
            </w:pPr>
          </w:p>
        </w:tc>
      </w:tr>
      <w:tr w:rsidR="00D804E2" w:rsidRPr="00D804E2" w14:paraId="031F2671" w14:textId="77777777" w:rsidTr="00F5375B">
        <w:tc>
          <w:tcPr>
            <w:tcW w:w="9451" w:type="dxa"/>
            <w:tcMar>
              <w:top w:w="0" w:type="dxa"/>
              <w:left w:w="0" w:type="dxa"/>
              <w:bottom w:w="260" w:type="dxa"/>
              <w:right w:w="0" w:type="dxa"/>
            </w:tcMar>
          </w:tcPr>
          <w:p w14:paraId="2E3A06AF" w14:textId="77777777" w:rsidR="00D804E2" w:rsidRPr="00D804E2" w:rsidRDefault="00D804E2" w:rsidP="00661E71">
            <w:pPr>
              <w:spacing w:after="0" w:line="1" w:lineRule="auto"/>
              <w:rPr>
                <w:rFonts w:ascii="Times New Roman" w:eastAsia="Times New Roman" w:hAnsi="Times New Roman" w:cs="Times New Roman"/>
                <w:kern w:val="0"/>
                <w:sz w:val="20"/>
                <w:szCs w:val="20"/>
                <w:lang w:eastAsia="pl-PL"/>
                <w14:ligatures w14:val="none"/>
              </w:rPr>
            </w:pPr>
          </w:p>
        </w:tc>
      </w:tr>
      <w:tr w:rsidR="00D804E2" w:rsidRPr="00D804E2" w14:paraId="29BB4277" w14:textId="77777777" w:rsidTr="00F5375B">
        <w:tc>
          <w:tcPr>
            <w:tcW w:w="9451" w:type="dxa"/>
            <w:tcMar>
              <w:top w:w="0" w:type="dxa"/>
              <w:left w:w="0" w:type="dxa"/>
              <w:bottom w:w="260" w:type="dxa"/>
              <w:right w:w="0" w:type="dxa"/>
            </w:tcMar>
          </w:tcPr>
          <w:p w14:paraId="5D127FBC" w14:textId="77777777" w:rsidR="00D804E2" w:rsidRPr="00D804E2" w:rsidRDefault="00D804E2" w:rsidP="00661E71">
            <w:pPr>
              <w:spacing w:after="0" w:line="1" w:lineRule="auto"/>
              <w:rPr>
                <w:rFonts w:ascii="Times New Roman" w:eastAsia="Times New Roman" w:hAnsi="Times New Roman" w:cs="Times New Roman"/>
                <w:kern w:val="0"/>
                <w:sz w:val="20"/>
                <w:szCs w:val="20"/>
                <w:lang w:eastAsia="pl-PL"/>
                <w14:ligatures w14:val="none"/>
              </w:rPr>
            </w:pPr>
          </w:p>
        </w:tc>
      </w:tr>
      <w:tr w:rsidR="00D804E2" w:rsidRPr="00D804E2" w14:paraId="43ADF7B2" w14:textId="77777777" w:rsidTr="00F5375B">
        <w:tc>
          <w:tcPr>
            <w:tcW w:w="9451" w:type="dxa"/>
            <w:tcMar>
              <w:top w:w="0" w:type="dxa"/>
              <w:left w:w="0" w:type="dxa"/>
              <w:bottom w:w="0" w:type="dxa"/>
              <w:right w:w="0" w:type="dxa"/>
            </w:tcMar>
          </w:tcPr>
          <w:p w14:paraId="0FF1A0AE" w14:textId="77777777" w:rsidR="00D804E2" w:rsidRPr="00D804E2" w:rsidRDefault="00D804E2" w:rsidP="00661E71">
            <w:pPr>
              <w:spacing w:after="0" w:line="1" w:lineRule="auto"/>
              <w:rPr>
                <w:rFonts w:ascii="Times New Roman" w:eastAsia="Times New Roman" w:hAnsi="Times New Roman" w:cs="Times New Roman"/>
                <w:kern w:val="0"/>
                <w:sz w:val="20"/>
                <w:szCs w:val="20"/>
                <w:lang w:eastAsia="pl-PL"/>
                <w14:ligatures w14:val="none"/>
              </w:rPr>
            </w:pPr>
          </w:p>
        </w:tc>
      </w:tr>
      <w:tr w:rsidR="00D804E2" w:rsidRPr="00D804E2" w14:paraId="5013F27F" w14:textId="77777777" w:rsidTr="00F5375B">
        <w:trPr>
          <w:hidden/>
        </w:trPr>
        <w:tc>
          <w:tcPr>
            <w:tcW w:w="9451" w:type="dxa"/>
            <w:tcMar>
              <w:top w:w="0" w:type="dxa"/>
              <w:left w:w="0" w:type="dxa"/>
              <w:bottom w:w="0" w:type="dxa"/>
              <w:right w:w="0" w:type="dxa"/>
            </w:tcMar>
          </w:tcPr>
          <w:p w14:paraId="04044242" w14:textId="77777777" w:rsidR="00D804E2" w:rsidRPr="00D804E2" w:rsidRDefault="00D804E2" w:rsidP="00661E71">
            <w:pPr>
              <w:spacing w:after="0" w:line="240" w:lineRule="auto"/>
              <w:rPr>
                <w:rFonts w:ascii="Times New Roman" w:eastAsia="Times New Roman" w:hAnsi="Times New Roman" w:cs="Times New Roman"/>
                <w:vanish/>
                <w:kern w:val="0"/>
                <w:sz w:val="20"/>
                <w:szCs w:val="20"/>
                <w:lang w:eastAsia="pl-PL"/>
                <w14:ligatures w14:val="none"/>
              </w:rPr>
            </w:pPr>
          </w:p>
          <w:tbl>
            <w:tblPr>
              <w:tblOverlap w:val="never"/>
              <w:tblW w:w="7945" w:type="dxa"/>
              <w:tblLayout w:type="fixed"/>
              <w:tblCellMar>
                <w:left w:w="0" w:type="dxa"/>
                <w:right w:w="0" w:type="dxa"/>
              </w:tblCellMar>
              <w:tblLook w:val="01E0" w:firstRow="1" w:lastRow="1" w:firstColumn="1" w:lastColumn="1" w:noHBand="0" w:noVBand="0"/>
            </w:tblPr>
            <w:tblGrid>
              <w:gridCol w:w="7945"/>
            </w:tblGrid>
            <w:tr w:rsidR="00D804E2" w:rsidRPr="00D804E2" w14:paraId="67BD6D25" w14:textId="77777777" w:rsidTr="009E7636">
              <w:trPr>
                <w:trHeight w:val="929"/>
              </w:trPr>
              <w:tc>
                <w:tcPr>
                  <w:tcW w:w="7945" w:type="dxa"/>
                  <w:tcMar>
                    <w:top w:w="907" w:type="dxa"/>
                    <w:left w:w="737" w:type="dxa"/>
                    <w:bottom w:w="0" w:type="dxa"/>
                    <w:right w:w="0" w:type="dxa"/>
                  </w:tcMar>
                </w:tcPr>
                <w:p w14:paraId="326E823E" w14:textId="7B2B59FD" w:rsidR="00D804E2" w:rsidRPr="00D804E2" w:rsidRDefault="0037067C" w:rsidP="002570E0">
                  <w:pPr>
                    <w:spacing w:after="0" w:line="240" w:lineRule="auto"/>
                    <w:ind w:hanging="738"/>
                    <w:rPr>
                      <w:rFonts w:ascii="Arial" w:eastAsia="Arial" w:hAnsi="Arial" w:cs="Arial"/>
                      <w:b/>
                      <w:bCs/>
                      <w:color w:val="000000"/>
                      <w:kern w:val="0"/>
                      <w:lang w:val="pl" w:eastAsia="pl-PL"/>
                      <w14:ligatures w14:val="none"/>
                    </w:rPr>
                  </w:pPr>
                  <w:r w:rsidRPr="009C35FF">
                    <w:rPr>
                      <w:rFonts w:eastAsia="Arial" w:cs="Arial"/>
                      <w:b/>
                      <w:bCs/>
                      <w:color w:val="000000"/>
                    </w:rPr>
                    <w:t>PRACA DYPLOMOWA MAGISTERSKA</w:t>
                  </w:r>
                </w:p>
                <w:p w14:paraId="54875B11" w14:textId="77777777" w:rsidR="00D804E2" w:rsidRPr="00D804E2" w:rsidRDefault="00D804E2" w:rsidP="00661E71">
                  <w:pPr>
                    <w:spacing w:after="0" w:line="240" w:lineRule="auto"/>
                    <w:rPr>
                      <w:rFonts w:ascii="Times New Roman" w:eastAsia="Times New Roman" w:hAnsi="Times New Roman" w:cs="Times New Roman"/>
                      <w:kern w:val="0"/>
                      <w:sz w:val="20"/>
                      <w:szCs w:val="20"/>
                      <w:lang w:val="pl" w:eastAsia="pl-PL"/>
                      <w14:ligatures w14:val="none"/>
                    </w:rPr>
                  </w:pPr>
                </w:p>
              </w:tc>
            </w:tr>
          </w:tbl>
          <w:p w14:paraId="691119B4" w14:textId="77777777" w:rsidR="00D804E2" w:rsidRPr="00D804E2" w:rsidRDefault="00D804E2" w:rsidP="00661E71">
            <w:pPr>
              <w:spacing w:after="0" w:line="1" w:lineRule="auto"/>
              <w:rPr>
                <w:rFonts w:ascii="Times New Roman" w:eastAsia="Times New Roman" w:hAnsi="Times New Roman" w:cs="Times New Roman"/>
                <w:kern w:val="0"/>
                <w:sz w:val="20"/>
                <w:szCs w:val="20"/>
                <w:lang w:eastAsia="pl-PL"/>
                <w14:ligatures w14:val="none"/>
              </w:rPr>
            </w:pPr>
          </w:p>
        </w:tc>
      </w:tr>
      <w:tr w:rsidR="00D804E2" w:rsidRPr="0056772A" w14:paraId="7BACF058" w14:textId="77777777" w:rsidTr="00F5375B">
        <w:trPr>
          <w:hidden/>
        </w:trPr>
        <w:tc>
          <w:tcPr>
            <w:tcW w:w="9451" w:type="dxa"/>
            <w:tcMar>
              <w:top w:w="20" w:type="dxa"/>
              <w:left w:w="20" w:type="dxa"/>
              <w:bottom w:w="0" w:type="dxa"/>
              <w:right w:w="0" w:type="dxa"/>
            </w:tcMar>
          </w:tcPr>
          <w:p w14:paraId="284ABF64" w14:textId="77777777" w:rsidR="00D804E2" w:rsidRPr="00D804E2" w:rsidRDefault="00D804E2" w:rsidP="00661E71">
            <w:pPr>
              <w:spacing w:after="0" w:line="240" w:lineRule="auto"/>
              <w:rPr>
                <w:rFonts w:ascii="Times New Roman" w:eastAsia="Times New Roman" w:hAnsi="Times New Roman" w:cs="Times New Roman"/>
                <w:vanish/>
                <w:kern w:val="0"/>
                <w:sz w:val="20"/>
                <w:szCs w:val="20"/>
                <w:lang w:eastAsia="pl-PL"/>
                <w14:ligatures w14:val="none"/>
              </w:rPr>
            </w:pPr>
          </w:p>
          <w:tbl>
            <w:tblPr>
              <w:tblOverlap w:val="never"/>
              <w:tblW w:w="8189" w:type="dxa"/>
              <w:tblLayout w:type="fixed"/>
              <w:tblCellMar>
                <w:left w:w="0" w:type="dxa"/>
                <w:right w:w="0" w:type="dxa"/>
              </w:tblCellMar>
              <w:tblLook w:val="01E0" w:firstRow="1" w:lastRow="1" w:firstColumn="1" w:lastColumn="1" w:noHBand="0" w:noVBand="0"/>
            </w:tblPr>
            <w:tblGrid>
              <w:gridCol w:w="8189"/>
            </w:tblGrid>
            <w:tr w:rsidR="00D804E2" w:rsidRPr="00D804E2" w14:paraId="6476C888" w14:textId="77777777" w:rsidTr="0037067C">
              <w:trPr>
                <w:trHeight w:val="504"/>
              </w:trPr>
              <w:tc>
                <w:tcPr>
                  <w:tcW w:w="8189" w:type="dxa"/>
                  <w:tcMar>
                    <w:top w:w="907" w:type="dxa"/>
                    <w:left w:w="737" w:type="dxa"/>
                    <w:bottom w:w="283" w:type="dxa"/>
                    <w:right w:w="0" w:type="dxa"/>
                  </w:tcMar>
                </w:tcPr>
                <w:p w14:paraId="569D1D38" w14:textId="0BEB12CC" w:rsidR="00D804E2" w:rsidRPr="00D804E2" w:rsidRDefault="00D804E2" w:rsidP="003B2D37">
                  <w:pPr>
                    <w:spacing w:after="0" w:line="240" w:lineRule="auto"/>
                    <w:ind w:left="-614"/>
                    <w:rPr>
                      <w:rFonts w:ascii="Arial" w:eastAsia="Times New Roman" w:hAnsi="Arial" w:cs="Arial"/>
                      <w:kern w:val="0"/>
                      <w:sz w:val="20"/>
                      <w:szCs w:val="20"/>
                      <w:lang w:eastAsia="pl-PL"/>
                      <w14:ligatures w14:val="none"/>
                    </w:rPr>
                  </w:pPr>
                  <w:r w:rsidRPr="00D804E2">
                    <w:rPr>
                      <w:rFonts w:ascii="Arial" w:eastAsia="Arial" w:hAnsi="Arial" w:cs="Arial"/>
                      <w:color w:val="000000"/>
                      <w:kern w:val="0"/>
                      <w:sz w:val="20"/>
                      <w:szCs w:val="20"/>
                      <w:lang w:eastAsia="pl-PL"/>
                      <w14:ligatures w14:val="none"/>
                    </w:rPr>
                    <w:t xml:space="preserve">Tytuł pracy w języku polskim: </w:t>
                  </w:r>
                  <w:r w:rsidR="003B2D37" w:rsidRPr="003B2D37">
                    <w:rPr>
                      <w:rStyle w:val="tytyuZnak"/>
                      <w:rFonts w:eastAsiaTheme="minorHAnsi"/>
                    </w:rPr>
                    <w:t>Budowa i analiza portfela inwestycyjnego z krótką sprzedażą na przykładzie akcji wybranych spółek (</w:t>
                  </w:r>
                  <w:r w:rsidR="004D53A7" w:rsidRPr="003B2D37">
                    <w:rPr>
                      <w:rStyle w:val="tytyuZnak"/>
                      <w:rFonts w:eastAsiaTheme="minorHAnsi"/>
                    </w:rPr>
                    <w:t>KGHM, PKO BP, PKN Orlen, CD Projekt, LPP oraz Allegro</w:t>
                  </w:r>
                  <w:r w:rsidR="003B2D37" w:rsidRPr="003B2D37">
                    <w:rPr>
                      <w:rStyle w:val="tytyuZnak"/>
                      <w:rFonts w:eastAsiaTheme="minorHAnsi"/>
                    </w:rPr>
                    <w:t>)</w:t>
                  </w:r>
                </w:p>
              </w:tc>
            </w:tr>
          </w:tbl>
          <w:p w14:paraId="29EC19B6" w14:textId="77777777" w:rsidR="003B2D37" w:rsidRDefault="003B2D37" w:rsidP="00661E71">
            <w:pPr>
              <w:spacing w:after="0" w:line="240" w:lineRule="auto"/>
              <w:rPr>
                <w:rFonts w:ascii="Times New Roman" w:eastAsia="Times New Roman" w:hAnsi="Times New Roman" w:cs="Times New Roman"/>
                <w:vanish/>
                <w:kern w:val="0"/>
                <w:sz w:val="20"/>
                <w:szCs w:val="20"/>
                <w:lang w:eastAsia="pl-PL"/>
                <w14:ligatures w14:val="none"/>
              </w:rPr>
            </w:pPr>
          </w:p>
          <w:p w14:paraId="764F72E0" w14:textId="77777777" w:rsidR="003B2D37" w:rsidRPr="0056772A" w:rsidRDefault="003B2D37" w:rsidP="003B2D37"/>
          <w:p w14:paraId="3BF7E56B" w14:textId="6BB0BCFF" w:rsidR="00D804E2" w:rsidRPr="00D804E2" w:rsidRDefault="00D804E2" w:rsidP="00661E71">
            <w:pPr>
              <w:spacing w:after="0" w:line="240" w:lineRule="auto"/>
              <w:rPr>
                <w:rFonts w:ascii="Times New Roman" w:eastAsia="Times New Roman" w:hAnsi="Times New Roman" w:cs="Times New Roman"/>
                <w:vanish/>
                <w:kern w:val="0"/>
                <w:sz w:val="20"/>
                <w:szCs w:val="20"/>
                <w:lang w:eastAsia="pl-PL"/>
                <w14:ligatures w14:val="none"/>
              </w:rPr>
            </w:pPr>
          </w:p>
          <w:tbl>
            <w:tblPr>
              <w:tblOverlap w:val="never"/>
              <w:tblW w:w="8437" w:type="dxa"/>
              <w:tblLayout w:type="fixed"/>
              <w:tblCellMar>
                <w:left w:w="0" w:type="dxa"/>
                <w:right w:w="0" w:type="dxa"/>
              </w:tblCellMar>
              <w:tblLook w:val="01E0" w:firstRow="1" w:lastRow="1" w:firstColumn="1" w:lastColumn="1" w:noHBand="0" w:noVBand="0"/>
            </w:tblPr>
            <w:tblGrid>
              <w:gridCol w:w="8437"/>
            </w:tblGrid>
            <w:tr w:rsidR="00D804E2" w:rsidRPr="0056772A" w14:paraId="33367B2B" w14:textId="77777777" w:rsidTr="009E7636">
              <w:trPr>
                <w:trHeight w:val="979"/>
              </w:trPr>
              <w:tc>
                <w:tcPr>
                  <w:tcW w:w="8437" w:type="dxa"/>
                  <w:tcMar>
                    <w:top w:w="0" w:type="dxa"/>
                    <w:left w:w="737" w:type="dxa"/>
                    <w:bottom w:w="0" w:type="dxa"/>
                    <w:right w:w="0" w:type="dxa"/>
                  </w:tcMar>
                </w:tcPr>
                <w:p w14:paraId="7E98E01A" w14:textId="144E7A14" w:rsidR="00D804E2" w:rsidRPr="004D53A7" w:rsidRDefault="00D804E2" w:rsidP="003B2D37">
                  <w:pPr>
                    <w:pStyle w:val="tytyu"/>
                    <w:rPr>
                      <w:rFonts w:eastAsia="Arial"/>
                      <w:color w:val="000000"/>
                      <w:lang w:val="en-US"/>
                    </w:rPr>
                  </w:pPr>
                  <w:r w:rsidRPr="003247AA">
                    <w:rPr>
                      <w:rFonts w:eastAsia="Arial"/>
                      <w:color w:val="000000"/>
                      <w:lang w:val="en-US"/>
                    </w:rPr>
                    <w:t xml:space="preserve">Tytuł pracy w języku angielskim: </w:t>
                  </w:r>
                  <w:r w:rsidR="003B2D37" w:rsidRPr="003B2D37">
                    <w:rPr>
                      <w:lang w:val="en-US"/>
                    </w:rPr>
                    <w:t>Construction and analysis of an investment portfolio with short selling on the example of selected companies' shares (KGHM, PKO BP, PKN Orlen, CD Projekt, LPP and Allegro)</w:t>
                  </w:r>
                </w:p>
                <w:p w14:paraId="56249DAC" w14:textId="77777777" w:rsidR="009E7636" w:rsidRDefault="009E7636" w:rsidP="003B2D37">
                  <w:pPr>
                    <w:pStyle w:val="tytyu"/>
                    <w:rPr>
                      <w:rFonts w:eastAsia="Arial" w:cs="Times New Roman"/>
                      <w:color w:val="000000"/>
                      <w:szCs w:val="22"/>
                      <w:lang w:val="en-GB"/>
                    </w:rPr>
                  </w:pPr>
                </w:p>
                <w:p w14:paraId="04E52029" w14:textId="77777777" w:rsidR="009E7636" w:rsidRDefault="009E7636" w:rsidP="00661E71">
                  <w:pPr>
                    <w:spacing w:after="0" w:line="240" w:lineRule="auto"/>
                    <w:rPr>
                      <w:rFonts w:ascii="Arial" w:eastAsia="Arial" w:hAnsi="Arial" w:cs="Times New Roman"/>
                      <w:color w:val="000000"/>
                      <w:kern w:val="0"/>
                      <w:sz w:val="20"/>
                      <w:szCs w:val="22"/>
                      <w:lang w:val="en-GB" w:eastAsia="pl-PL"/>
                      <w14:ligatures w14:val="none"/>
                    </w:rPr>
                  </w:pPr>
                </w:p>
                <w:p w14:paraId="1CC90EDA" w14:textId="77777777" w:rsidR="009E7636" w:rsidRDefault="009E7636" w:rsidP="00661E71">
                  <w:pPr>
                    <w:spacing w:after="0" w:line="240" w:lineRule="auto"/>
                    <w:rPr>
                      <w:rFonts w:ascii="Arial" w:eastAsia="Arial" w:hAnsi="Arial" w:cs="Times New Roman"/>
                      <w:color w:val="000000"/>
                      <w:kern w:val="0"/>
                      <w:sz w:val="20"/>
                      <w:szCs w:val="22"/>
                      <w:lang w:val="en-GB" w:eastAsia="pl-PL"/>
                      <w14:ligatures w14:val="none"/>
                    </w:rPr>
                  </w:pPr>
                </w:p>
                <w:p w14:paraId="32D8CFDF" w14:textId="77777777" w:rsidR="009E7636" w:rsidRDefault="009E7636" w:rsidP="00661E71">
                  <w:pPr>
                    <w:spacing w:after="0" w:line="240" w:lineRule="auto"/>
                    <w:rPr>
                      <w:rFonts w:ascii="Arial" w:eastAsia="Arial" w:hAnsi="Arial" w:cs="Times New Roman"/>
                      <w:color w:val="000000"/>
                      <w:kern w:val="0"/>
                      <w:sz w:val="20"/>
                      <w:szCs w:val="22"/>
                      <w:lang w:val="en-GB" w:eastAsia="pl-PL"/>
                      <w14:ligatures w14:val="none"/>
                    </w:rPr>
                  </w:pPr>
                </w:p>
                <w:p w14:paraId="45E2A639" w14:textId="77777777" w:rsidR="009E7636" w:rsidRDefault="009E7636" w:rsidP="00661E71">
                  <w:pPr>
                    <w:spacing w:after="0" w:line="240" w:lineRule="auto"/>
                    <w:rPr>
                      <w:rFonts w:ascii="Arial" w:eastAsia="Arial" w:hAnsi="Arial" w:cs="Times New Roman"/>
                      <w:color w:val="000000"/>
                      <w:kern w:val="0"/>
                      <w:sz w:val="20"/>
                      <w:szCs w:val="22"/>
                      <w:lang w:val="en-GB" w:eastAsia="pl-PL"/>
                      <w14:ligatures w14:val="none"/>
                    </w:rPr>
                  </w:pPr>
                </w:p>
                <w:p w14:paraId="2BC01C5A" w14:textId="77777777" w:rsidR="009E7636" w:rsidRDefault="009E7636" w:rsidP="00661E71">
                  <w:pPr>
                    <w:spacing w:after="0" w:line="240" w:lineRule="auto"/>
                    <w:rPr>
                      <w:rFonts w:ascii="Arial" w:eastAsia="Arial" w:hAnsi="Arial" w:cs="Times New Roman"/>
                      <w:color w:val="000000"/>
                      <w:kern w:val="0"/>
                      <w:sz w:val="20"/>
                      <w:szCs w:val="22"/>
                      <w:lang w:val="en-GB" w:eastAsia="pl-PL"/>
                      <w14:ligatures w14:val="none"/>
                    </w:rPr>
                  </w:pPr>
                </w:p>
                <w:p w14:paraId="302915CF" w14:textId="230FAF2D" w:rsidR="009E7636" w:rsidRPr="00D804E2" w:rsidRDefault="009E7636" w:rsidP="00661E71">
                  <w:pPr>
                    <w:spacing w:after="0" w:line="240" w:lineRule="auto"/>
                    <w:rPr>
                      <w:rFonts w:ascii="Arial" w:eastAsia="Arial" w:hAnsi="Arial" w:cs="Times New Roman"/>
                      <w:color w:val="000000"/>
                      <w:kern w:val="0"/>
                      <w:sz w:val="20"/>
                      <w:szCs w:val="22"/>
                      <w:lang w:val="en-GB" w:eastAsia="pl-PL"/>
                      <w14:ligatures w14:val="none"/>
                    </w:rPr>
                  </w:pPr>
                </w:p>
              </w:tc>
            </w:tr>
          </w:tbl>
          <w:p w14:paraId="4C1FF9B6" w14:textId="77777777" w:rsidR="00D804E2" w:rsidRPr="00D804E2" w:rsidRDefault="00D804E2" w:rsidP="00661E71">
            <w:pPr>
              <w:spacing w:after="0" w:line="240" w:lineRule="auto"/>
              <w:rPr>
                <w:rFonts w:ascii="Times New Roman" w:eastAsia="Times New Roman" w:hAnsi="Times New Roman" w:cs="Times New Roman"/>
                <w:vanish/>
                <w:kern w:val="0"/>
                <w:sz w:val="20"/>
                <w:szCs w:val="22"/>
                <w:lang w:val="en-GB" w:eastAsia="pl-PL"/>
                <w14:ligatures w14:val="none"/>
              </w:rPr>
            </w:pPr>
          </w:p>
          <w:tbl>
            <w:tblPr>
              <w:tblOverlap w:val="never"/>
              <w:tblW w:w="9431" w:type="dxa"/>
              <w:tblLayout w:type="fixed"/>
              <w:tblCellMar>
                <w:left w:w="0" w:type="dxa"/>
                <w:right w:w="0" w:type="dxa"/>
              </w:tblCellMar>
              <w:tblLook w:val="01E0" w:firstRow="1" w:lastRow="1" w:firstColumn="1" w:lastColumn="1" w:noHBand="0" w:noVBand="0"/>
            </w:tblPr>
            <w:tblGrid>
              <w:gridCol w:w="9431"/>
            </w:tblGrid>
            <w:tr w:rsidR="00D804E2" w:rsidRPr="0056772A" w14:paraId="14232E9E" w14:textId="77777777" w:rsidTr="00452911">
              <w:trPr>
                <w:trHeight w:val="80"/>
              </w:trPr>
              <w:tc>
                <w:tcPr>
                  <w:tcW w:w="9431" w:type="dxa"/>
                  <w:tcMar>
                    <w:top w:w="0" w:type="dxa"/>
                    <w:left w:w="737" w:type="dxa"/>
                    <w:bottom w:w="907" w:type="dxa"/>
                    <w:right w:w="0" w:type="dxa"/>
                  </w:tcMar>
                </w:tcPr>
                <w:p w14:paraId="01BB93D6" w14:textId="77777777" w:rsidR="00D804E2" w:rsidRPr="00D804E2" w:rsidRDefault="00D804E2" w:rsidP="00661E71">
                  <w:pPr>
                    <w:spacing w:after="0" w:line="1" w:lineRule="auto"/>
                    <w:rPr>
                      <w:rFonts w:ascii="Times New Roman" w:eastAsia="Times New Roman" w:hAnsi="Times New Roman" w:cs="Times New Roman"/>
                      <w:kern w:val="0"/>
                      <w:sz w:val="20"/>
                      <w:szCs w:val="22"/>
                      <w:lang w:val="en-GB" w:eastAsia="pl-PL"/>
                      <w14:ligatures w14:val="none"/>
                    </w:rPr>
                  </w:pPr>
                </w:p>
              </w:tc>
            </w:tr>
          </w:tbl>
          <w:p w14:paraId="24C02DE2" w14:textId="77777777" w:rsidR="00D804E2" w:rsidRPr="00D804E2" w:rsidRDefault="00D804E2" w:rsidP="00661E71">
            <w:pPr>
              <w:spacing w:after="0" w:line="1" w:lineRule="auto"/>
              <w:rPr>
                <w:rFonts w:ascii="Times New Roman" w:eastAsia="Times New Roman" w:hAnsi="Times New Roman" w:cs="Times New Roman"/>
                <w:kern w:val="0"/>
                <w:sz w:val="20"/>
                <w:szCs w:val="22"/>
                <w:lang w:val="en-GB" w:eastAsia="pl-PL"/>
                <w14:ligatures w14:val="none"/>
              </w:rPr>
            </w:pPr>
          </w:p>
        </w:tc>
      </w:tr>
      <w:tr w:rsidR="00D804E2" w:rsidRPr="00D804E2" w14:paraId="478BA793" w14:textId="77777777" w:rsidTr="00F5375B">
        <w:trPr>
          <w:hidden/>
        </w:trPr>
        <w:tc>
          <w:tcPr>
            <w:tcW w:w="9451" w:type="dxa"/>
            <w:tcMar>
              <w:top w:w="0" w:type="dxa"/>
              <w:left w:w="0" w:type="dxa"/>
              <w:bottom w:w="0" w:type="dxa"/>
              <w:right w:w="0" w:type="dxa"/>
            </w:tcMar>
          </w:tcPr>
          <w:p w14:paraId="348D577B" w14:textId="77777777" w:rsidR="00D804E2" w:rsidRPr="00D804E2" w:rsidRDefault="00D804E2" w:rsidP="00661E71">
            <w:pPr>
              <w:spacing w:after="0" w:line="240" w:lineRule="auto"/>
              <w:rPr>
                <w:rFonts w:ascii="Times New Roman" w:eastAsia="Times New Roman" w:hAnsi="Times New Roman" w:cs="Times New Roman"/>
                <w:vanish/>
                <w:kern w:val="0"/>
                <w:sz w:val="20"/>
                <w:szCs w:val="22"/>
                <w:lang w:val="en-GB" w:eastAsia="pl-PL"/>
                <w14:ligatures w14:val="none"/>
              </w:rPr>
            </w:pPr>
          </w:p>
          <w:tbl>
            <w:tblPr>
              <w:tblOverlap w:val="never"/>
              <w:tblW w:w="9165" w:type="dxa"/>
              <w:tblLayout w:type="fixed"/>
              <w:tblLook w:val="01E0" w:firstRow="1" w:lastRow="1" w:firstColumn="1" w:lastColumn="1" w:noHBand="0" w:noVBand="0"/>
            </w:tblPr>
            <w:tblGrid>
              <w:gridCol w:w="725"/>
              <w:gridCol w:w="8440"/>
            </w:tblGrid>
            <w:tr w:rsidR="00D804E2" w:rsidRPr="00D804E2" w14:paraId="35A05D88" w14:textId="77777777" w:rsidTr="00452911">
              <w:tc>
                <w:tcPr>
                  <w:tcW w:w="725" w:type="dxa"/>
                  <w:tcMar>
                    <w:top w:w="20" w:type="dxa"/>
                    <w:left w:w="20" w:type="dxa"/>
                    <w:bottom w:w="20" w:type="dxa"/>
                    <w:right w:w="20" w:type="dxa"/>
                  </w:tcMar>
                </w:tcPr>
                <w:p w14:paraId="2D61D8BC" w14:textId="77777777" w:rsidR="00D804E2" w:rsidRPr="00D804E2" w:rsidRDefault="00D804E2" w:rsidP="00661E71">
                  <w:pPr>
                    <w:spacing w:after="0" w:line="1" w:lineRule="auto"/>
                    <w:rPr>
                      <w:rFonts w:ascii="Times New Roman" w:eastAsia="Times New Roman" w:hAnsi="Times New Roman" w:cs="Times New Roman"/>
                      <w:kern w:val="0"/>
                      <w:sz w:val="20"/>
                      <w:szCs w:val="22"/>
                      <w:lang w:val="en-GB" w:eastAsia="pl-PL"/>
                      <w14:ligatures w14:val="none"/>
                    </w:rPr>
                  </w:pPr>
                </w:p>
              </w:tc>
              <w:tc>
                <w:tcPr>
                  <w:tcW w:w="8440" w:type="dxa"/>
                  <w:tcMar>
                    <w:top w:w="20" w:type="dxa"/>
                    <w:left w:w="20" w:type="dxa"/>
                    <w:bottom w:w="20" w:type="dxa"/>
                    <w:right w:w="20" w:type="dxa"/>
                  </w:tcMar>
                </w:tcPr>
                <w:tbl>
                  <w:tblPr>
                    <w:tblOverlap w:val="never"/>
                    <w:tblW w:w="8400" w:type="dxa"/>
                    <w:tblLayout w:type="fixed"/>
                    <w:tblCellMar>
                      <w:left w:w="0" w:type="dxa"/>
                      <w:right w:w="0" w:type="dxa"/>
                    </w:tblCellMar>
                    <w:tblLook w:val="01E0" w:firstRow="1" w:lastRow="1" w:firstColumn="1" w:lastColumn="1" w:noHBand="0" w:noVBand="0"/>
                  </w:tblPr>
                  <w:tblGrid>
                    <w:gridCol w:w="8400"/>
                  </w:tblGrid>
                  <w:tr w:rsidR="00D804E2" w:rsidRPr="00D804E2" w14:paraId="275C4005" w14:textId="77777777" w:rsidTr="00452911">
                    <w:tc>
                      <w:tcPr>
                        <w:tcW w:w="8400" w:type="dxa"/>
                        <w:tcMar>
                          <w:top w:w="57" w:type="dxa"/>
                          <w:left w:w="57" w:type="dxa"/>
                          <w:bottom w:w="0" w:type="dxa"/>
                          <w:right w:w="0" w:type="dxa"/>
                        </w:tcMar>
                      </w:tcPr>
                      <w:p w14:paraId="1DC46FFA" w14:textId="77777777" w:rsidR="00D804E2" w:rsidRPr="00D804E2" w:rsidRDefault="00D804E2" w:rsidP="00661E71">
                        <w:pPr>
                          <w:spacing w:after="0" w:line="240" w:lineRule="auto"/>
                          <w:rPr>
                            <w:rFonts w:ascii="Arial" w:eastAsia="Arial" w:hAnsi="Arial" w:cs="Arial"/>
                            <w:color w:val="000000"/>
                            <w:kern w:val="0"/>
                            <w:sz w:val="20"/>
                            <w:szCs w:val="20"/>
                            <w:lang w:eastAsia="pl-PL"/>
                            <w14:ligatures w14:val="none"/>
                          </w:rPr>
                        </w:pPr>
                        <w:r w:rsidRPr="00D804E2">
                          <w:rPr>
                            <w:rFonts w:ascii="Arial" w:eastAsia="Arial" w:hAnsi="Arial" w:cs="Arial"/>
                            <w:color w:val="000000"/>
                            <w:kern w:val="0"/>
                            <w:sz w:val="20"/>
                            <w:szCs w:val="20"/>
                            <w:lang w:eastAsia="pl-PL"/>
                            <w14:ligatures w14:val="none"/>
                          </w:rPr>
                          <w:t>Opiekun pracy: dr Anna Baj-Rogowska</w:t>
                        </w:r>
                      </w:p>
                      <w:p w14:paraId="14088ED5" w14:textId="77777777" w:rsidR="00D804E2" w:rsidRPr="00D804E2" w:rsidRDefault="00D804E2" w:rsidP="00661E71">
                        <w:pPr>
                          <w:spacing w:after="0" w:line="240" w:lineRule="auto"/>
                          <w:rPr>
                            <w:rFonts w:ascii="Times New Roman" w:eastAsia="Times New Roman" w:hAnsi="Times New Roman" w:cs="Times New Roman"/>
                            <w:kern w:val="0"/>
                            <w:sz w:val="20"/>
                            <w:szCs w:val="20"/>
                            <w:lang w:eastAsia="pl-PL"/>
                            <w14:ligatures w14:val="none"/>
                          </w:rPr>
                        </w:pPr>
                      </w:p>
                    </w:tc>
                  </w:tr>
                </w:tbl>
                <w:p w14:paraId="1910D3F7" w14:textId="77777777" w:rsidR="00D804E2" w:rsidRPr="00D804E2" w:rsidRDefault="00D804E2" w:rsidP="00661E71">
                  <w:pPr>
                    <w:spacing w:after="0" w:line="1" w:lineRule="auto"/>
                    <w:rPr>
                      <w:rFonts w:ascii="Times New Roman" w:eastAsia="Times New Roman" w:hAnsi="Times New Roman" w:cs="Times New Roman"/>
                      <w:kern w:val="0"/>
                      <w:sz w:val="20"/>
                      <w:szCs w:val="20"/>
                      <w:lang w:eastAsia="pl-PL"/>
                      <w14:ligatures w14:val="none"/>
                    </w:rPr>
                  </w:pPr>
                </w:p>
              </w:tc>
            </w:tr>
            <w:tr w:rsidR="00D804E2" w:rsidRPr="00D804E2" w14:paraId="0ED58A09" w14:textId="77777777" w:rsidTr="00452911">
              <w:tc>
                <w:tcPr>
                  <w:tcW w:w="725" w:type="dxa"/>
                  <w:tcMar>
                    <w:top w:w="20" w:type="dxa"/>
                    <w:left w:w="20" w:type="dxa"/>
                    <w:bottom w:w="20" w:type="dxa"/>
                    <w:right w:w="20" w:type="dxa"/>
                  </w:tcMar>
                </w:tcPr>
                <w:p w14:paraId="64310A16" w14:textId="77777777" w:rsidR="00D804E2" w:rsidRPr="00D804E2" w:rsidRDefault="00D804E2" w:rsidP="00661E71">
                  <w:pPr>
                    <w:spacing w:after="0" w:line="1" w:lineRule="auto"/>
                    <w:rPr>
                      <w:rFonts w:ascii="Times New Roman" w:eastAsia="Times New Roman" w:hAnsi="Times New Roman" w:cs="Times New Roman"/>
                      <w:kern w:val="0"/>
                      <w:sz w:val="20"/>
                      <w:szCs w:val="20"/>
                      <w:lang w:eastAsia="pl-PL"/>
                      <w14:ligatures w14:val="none"/>
                    </w:rPr>
                  </w:pPr>
                </w:p>
              </w:tc>
              <w:tc>
                <w:tcPr>
                  <w:tcW w:w="8440" w:type="dxa"/>
                  <w:tcMar>
                    <w:top w:w="20" w:type="dxa"/>
                    <w:left w:w="20" w:type="dxa"/>
                    <w:bottom w:w="20" w:type="dxa"/>
                    <w:right w:w="20" w:type="dxa"/>
                  </w:tcMar>
                </w:tcPr>
                <w:p w14:paraId="485CEC79" w14:textId="77777777" w:rsidR="00D804E2" w:rsidRPr="00D804E2" w:rsidRDefault="00D804E2" w:rsidP="00661E71">
                  <w:pPr>
                    <w:spacing w:after="0" w:line="240" w:lineRule="auto"/>
                    <w:rPr>
                      <w:rFonts w:ascii="Times New Roman" w:eastAsia="Times New Roman" w:hAnsi="Times New Roman" w:cs="Times New Roman"/>
                      <w:vanish/>
                      <w:kern w:val="0"/>
                      <w:sz w:val="20"/>
                      <w:szCs w:val="20"/>
                      <w:lang w:eastAsia="pl-PL"/>
                      <w14:ligatures w14:val="none"/>
                    </w:rPr>
                  </w:pPr>
                </w:p>
                <w:tbl>
                  <w:tblPr>
                    <w:tblOverlap w:val="never"/>
                    <w:tblW w:w="8400" w:type="dxa"/>
                    <w:tblLayout w:type="fixed"/>
                    <w:tblCellMar>
                      <w:left w:w="0" w:type="dxa"/>
                      <w:right w:w="0" w:type="dxa"/>
                    </w:tblCellMar>
                    <w:tblLook w:val="01E0" w:firstRow="1" w:lastRow="1" w:firstColumn="1" w:lastColumn="1" w:noHBand="0" w:noVBand="0"/>
                  </w:tblPr>
                  <w:tblGrid>
                    <w:gridCol w:w="8400"/>
                  </w:tblGrid>
                  <w:tr w:rsidR="00D804E2" w:rsidRPr="00D804E2" w14:paraId="0BA0F8A6" w14:textId="77777777" w:rsidTr="00452911">
                    <w:tc>
                      <w:tcPr>
                        <w:tcW w:w="8400" w:type="dxa"/>
                        <w:tcMar>
                          <w:top w:w="57" w:type="dxa"/>
                          <w:left w:w="57" w:type="dxa"/>
                          <w:bottom w:w="0" w:type="dxa"/>
                          <w:right w:w="0" w:type="dxa"/>
                        </w:tcMar>
                      </w:tcPr>
                      <w:p w14:paraId="2FE8A8D0" w14:textId="77777777" w:rsidR="00D804E2" w:rsidRPr="00D804E2" w:rsidRDefault="00D804E2" w:rsidP="00661E71">
                        <w:pPr>
                          <w:spacing w:after="0" w:line="240" w:lineRule="auto"/>
                          <w:rPr>
                            <w:rFonts w:ascii="Times New Roman" w:eastAsia="Times New Roman" w:hAnsi="Times New Roman" w:cs="Times New Roman"/>
                            <w:kern w:val="0"/>
                            <w:sz w:val="20"/>
                            <w:szCs w:val="20"/>
                            <w:lang w:eastAsia="pl-PL"/>
                            <w14:ligatures w14:val="none"/>
                          </w:rPr>
                        </w:pPr>
                      </w:p>
                    </w:tc>
                  </w:tr>
                </w:tbl>
                <w:p w14:paraId="396FBDEA" w14:textId="77777777" w:rsidR="00D804E2" w:rsidRPr="00D804E2" w:rsidRDefault="00D804E2" w:rsidP="00661E71">
                  <w:pPr>
                    <w:spacing w:after="0" w:line="1" w:lineRule="auto"/>
                    <w:rPr>
                      <w:rFonts w:ascii="Times New Roman" w:eastAsia="Times New Roman" w:hAnsi="Times New Roman" w:cs="Times New Roman"/>
                      <w:kern w:val="0"/>
                      <w:sz w:val="20"/>
                      <w:szCs w:val="20"/>
                      <w:lang w:eastAsia="pl-PL"/>
                      <w14:ligatures w14:val="none"/>
                    </w:rPr>
                  </w:pPr>
                </w:p>
              </w:tc>
            </w:tr>
          </w:tbl>
          <w:p w14:paraId="311D2E72" w14:textId="77777777" w:rsidR="00D804E2" w:rsidRPr="00D804E2" w:rsidRDefault="00D804E2" w:rsidP="00661E71">
            <w:pPr>
              <w:spacing w:after="0" w:line="1" w:lineRule="auto"/>
              <w:rPr>
                <w:rFonts w:ascii="Times New Roman" w:eastAsia="Times New Roman" w:hAnsi="Times New Roman" w:cs="Times New Roman"/>
                <w:kern w:val="0"/>
                <w:sz w:val="20"/>
                <w:szCs w:val="20"/>
                <w:lang w:eastAsia="pl-PL"/>
                <w14:ligatures w14:val="none"/>
              </w:rPr>
            </w:pPr>
          </w:p>
        </w:tc>
      </w:tr>
    </w:tbl>
    <w:p w14:paraId="0491299B" w14:textId="342DDC61" w:rsidR="009E7636" w:rsidRDefault="009E7636" w:rsidP="003B2D37">
      <w:pPr>
        <w:rPr>
          <w:rFonts w:ascii="Arial" w:eastAsia="Times New Roman" w:hAnsi="Arial" w:cs="Times New Roman"/>
          <w:kern w:val="0"/>
          <w:sz w:val="20"/>
          <w:szCs w:val="20"/>
          <w:lang w:eastAsia="pl-PL"/>
          <w14:ligatures w14:val="none"/>
        </w:rPr>
      </w:pPr>
    </w:p>
    <w:p w14:paraId="36D14E91" w14:textId="77777777" w:rsidR="00BA11D3" w:rsidRPr="0085166C" w:rsidRDefault="00BA11D3" w:rsidP="00F5375B">
      <w:pPr>
        <w:pStyle w:val="Nagwekdodatkowy"/>
        <w:ind w:left="360"/>
        <w:rPr>
          <w:color w:val="auto"/>
          <w:sz w:val="24"/>
        </w:rPr>
      </w:pPr>
      <w:r w:rsidRPr="0085166C">
        <w:rPr>
          <w:color w:val="auto"/>
          <w:sz w:val="24"/>
        </w:rPr>
        <w:lastRenderedPageBreak/>
        <w:t>Streszczenie</w:t>
      </w:r>
    </w:p>
    <w:p w14:paraId="16BFD4DD" w14:textId="77777777" w:rsidR="00BA11D3" w:rsidRPr="00D804E2" w:rsidRDefault="00BA11D3" w:rsidP="00F5375B">
      <w:pPr>
        <w:spacing w:after="0" w:line="360" w:lineRule="auto"/>
        <w:ind w:left="360" w:firstLine="709"/>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w:t>
      </w:r>
      <w:r w:rsidRPr="00D804E2">
        <w:rPr>
          <w:rFonts w:ascii="Arial" w:eastAsia="Times New Roman" w:hAnsi="Arial" w:cs="Times New Roman"/>
          <w:i/>
          <w:iCs/>
          <w:kern w:val="0"/>
          <w:sz w:val="20"/>
          <w:szCs w:val="20"/>
          <w:lang w:eastAsia="pl-PL"/>
          <w14:ligatures w14:val="none"/>
        </w:rPr>
        <w:t>strona nr 3, numer widoczny</w:t>
      </w:r>
      <w:r w:rsidRPr="00D804E2">
        <w:rPr>
          <w:rFonts w:ascii="Arial" w:eastAsia="Times New Roman" w:hAnsi="Arial" w:cs="Times New Roman"/>
          <w:kern w:val="0"/>
          <w:sz w:val="20"/>
          <w:szCs w:val="20"/>
          <w:lang w:eastAsia="pl-PL"/>
          <w14:ligatures w14:val="none"/>
        </w:rPr>
        <w:t xml:space="preserve">) </w:t>
      </w:r>
    </w:p>
    <w:p w14:paraId="5855E100" w14:textId="77777777" w:rsidR="00BA11D3" w:rsidRPr="00D804E2" w:rsidRDefault="00BA11D3" w:rsidP="00F5375B">
      <w:pPr>
        <w:spacing w:after="0" w:line="360" w:lineRule="auto"/>
        <w:ind w:left="360" w:firstLine="709"/>
        <w:jc w:val="both"/>
        <w:rPr>
          <w:rFonts w:ascii="Arial" w:eastAsia="Times New Roman" w:hAnsi="Arial" w:cs="Times New Roman"/>
          <w:b/>
          <w:bCs/>
          <w:kern w:val="0"/>
          <w:sz w:val="20"/>
          <w:szCs w:val="20"/>
          <w:lang w:eastAsia="pl-PL"/>
          <w14:ligatures w14:val="none"/>
        </w:rPr>
      </w:pPr>
    </w:p>
    <w:p w14:paraId="71A5981C" w14:textId="77777777" w:rsidR="00BA11D3" w:rsidRPr="00D804E2" w:rsidRDefault="00BA11D3" w:rsidP="00F5375B">
      <w:pPr>
        <w:spacing w:after="0" w:line="360" w:lineRule="auto"/>
        <w:ind w:left="360" w:firstLine="709"/>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b/>
          <w:bCs/>
          <w:kern w:val="0"/>
          <w:sz w:val="20"/>
          <w:szCs w:val="20"/>
          <w:lang w:eastAsia="pl-PL"/>
          <w14:ligatures w14:val="none"/>
        </w:rPr>
        <w:t>Streszczenie</w:t>
      </w:r>
      <w:r w:rsidRPr="00D804E2">
        <w:rPr>
          <w:rFonts w:ascii="Arial" w:eastAsia="Times New Roman" w:hAnsi="Arial" w:cs="Times New Roman"/>
          <w:kern w:val="0"/>
          <w:sz w:val="20"/>
          <w:szCs w:val="20"/>
          <w:lang w:eastAsia="pl-PL"/>
          <w14:ligatures w14:val="none"/>
        </w:rPr>
        <w:t xml:space="preserve"> (maksymalnie 1 strona) powinno zawierać określenie problemu naukowego lub praktycznego do rozwiązania, cel i zakres pracy, zastosowane metody badań, wyniki i najważniejsze wnioski. </w:t>
      </w:r>
    </w:p>
    <w:p w14:paraId="78C96593" w14:textId="77777777" w:rsidR="00BA11D3" w:rsidRPr="00D804E2" w:rsidRDefault="00BA11D3" w:rsidP="00F5375B">
      <w:pPr>
        <w:spacing w:after="0" w:line="360" w:lineRule="auto"/>
        <w:ind w:left="360" w:firstLine="709"/>
        <w:jc w:val="both"/>
        <w:rPr>
          <w:rFonts w:ascii="Arial" w:eastAsia="Times New Roman" w:hAnsi="Arial" w:cs="Times New Roman"/>
          <w:kern w:val="0"/>
          <w:sz w:val="20"/>
          <w:szCs w:val="22"/>
          <w:lang w:eastAsia="pl-PL"/>
          <w14:ligatures w14:val="none"/>
        </w:rPr>
      </w:pPr>
    </w:p>
    <w:p w14:paraId="614ABEE6" w14:textId="77777777" w:rsidR="00BA11D3" w:rsidRPr="00D804E2" w:rsidRDefault="00BA11D3" w:rsidP="00F5375B">
      <w:pPr>
        <w:spacing w:after="0" w:line="360" w:lineRule="auto"/>
        <w:ind w:left="360" w:firstLine="709"/>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b/>
          <w:bCs/>
          <w:kern w:val="0"/>
          <w:sz w:val="20"/>
          <w:szCs w:val="20"/>
          <w:lang w:eastAsia="pl-PL"/>
          <w14:ligatures w14:val="none"/>
        </w:rPr>
        <w:t>Słowa kluczowe</w:t>
      </w:r>
      <w:r w:rsidRPr="00D804E2">
        <w:rPr>
          <w:rFonts w:ascii="Arial" w:eastAsia="Times New Roman" w:hAnsi="Arial" w:cs="Times New Roman"/>
          <w:kern w:val="0"/>
          <w:sz w:val="20"/>
          <w:szCs w:val="20"/>
          <w:lang w:eastAsia="pl-PL"/>
          <w14:ligatures w14:val="none"/>
        </w:rPr>
        <w:t>: ...</w:t>
      </w:r>
    </w:p>
    <w:p w14:paraId="0B8A5932" w14:textId="77777777" w:rsidR="00BA11D3" w:rsidRPr="00D804E2" w:rsidRDefault="00BA11D3" w:rsidP="00F5375B">
      <w:pPr>
        <w:spacing w:after="0" w:line="360" w:lineRule="auto"/>
        <w:ind w:left="360"/>
        <w:jc w:val="both"/>
        <w:rPr>
          <w:rFonts w:ascii="Arial" w:eastAsia="Times New Roman" w:hAnsi="Arial" w:cs="Times New Roman"/>
          <w:kern w:val="0"/>
          <w:sz w:val="20"/>
          <w:szCs w:val="22"/>
          <w:lang w:eastAsia="pl-PL"/>
          <w14:ligatures w14:val="none"/>
        </w:rPr>
      </w:pPr>
    </w:p>
    <w:p w14:paraId="558C8C42" w14:textId="77777777" w:rsidR="00BA11D3" w:rsidRPr="00D804E2" w:rsidRDefault="00BA11D3" w:rsidP="00F5375B">
      <w:pPr>
        <w:spacing w:after="0" w:line="360" w:lineRule="auto"/>
        <w:ind w:left="360" w:firstLine="709"/>
        <w:jc w:val="both"/>
        <w:rPr>
          <w:rFonts w:ascii="Arial" w:eastAsia="Times New Roman" w:hAnsi="Arial" w:cs="Times New Roman"/>
          <w:kern w:val="0"/>
          <w:sz w:val="20"/>
          <w:szCs w:val="20"/>
          <w:lang w:eastAsia="pl-PL"/>
          <w14:ligatures w14:val="none"/>
        </w:rPr>
      </w:pPr>
    </w:p>
    <w:p w14:paraId="0BEDA98E" w14:textId="77777777" w:rsidR="00BA11D3" w:rsidRPr="00D804E2" w:rsidRDefault="00BA11D3" w:rsidP="00F5375B">
      <w:pPr>
        <w:spacing w:after="0" w:line="360" w:lineRule="auto"/>
        <w:ind w:left="360" w:firstLine="709"/>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 podział strony -------- </w:t>
      </w:r>
    </w:p>
    <w:p w14:paraId="378E5D71" w14:textId="77777777" w:rsidR="00BA11D3" w:rsidRPr="0085166C" w:rsidRDefault="00BA11D3" w:rsidP="00F5375B">
      <w:pPr>
        <w:pStyle w:val="Nagwekdodatkowy"/>
        <w:ind w:left="360"/>
        <w:rPr>
          <w:color w:val="auto"/>
          <w:sz w:val="24"/>
        </w:rPr>
      </w:pPr>
      <w:r w:rsidRPr="0085166C">
        <w:rPr>
          <w:color w:val="auto"/>
          <w:sz w:val="24"/>
        </w:rPr>
        <w:lastRenderedPageBreak/>
        <w:t>Abstract</w:t>
      </w:r>
    </w:p>
    <w:p w14:paraId="6BA37C02" w14:textId="77777777" w:rsidR="00BA11D3" w:rsidRPr="00D804E2" w:rsidRDefault="00BA11D3" w:rsidP="00F5375B">
      <w:pPr>
        <w:spacing w:after="0" w:line="360" w:lineRule="auto"/>
        <w:ind w:left="360" w:firstLine="709"/>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w:t>
      </w:r>
      <w:r w:rsidRPr="00D804E2">
        <w:rPr>
          <w:rFonts w:ascii="Arial" w:eastAsia="Times New Roman" w:hAnsi="Arial" w:cs="Times New Roman"/>
          <w:i/>
          <w:iCs/>
          <w:kern w:val="0"/>
          <w:sz w:val="20"/>
          <w:szCs w:val="20"/>
          <w:lang w:eastAsia="pl-PL"/>
          <w14:ligatures w14:val="none"/>
        </w:rPr>
        <w:t>strona nr 4, numer widoczny</w:t>
      </w:r>
      <w:r w:rsidRPr="00D804E2">
        <w:rPr>
          <w:rFonts w:ascii="Arial" w:eastAsia="Times New Roman" w:hAnsi="Arial" w:cs="Times New Roman"/>
          <w:kern w:val="0"/>
          <w:sz w:val="20"/>
          <w:szCs w:val="20"/>
          <w:lang w:eastAsia="pl-PL"/>
          <w14:ligatures w14:val="none"/>
        </w:rPr>
        <w:t xml:space="preserve">) </w:t>
      </w:r>
    </w:p>
    <w:p w14:paraId="79D94F43" w14:textId="77777777" w:rsidR="00BA11D3" w:rsidRPr="00D804E2" w:rsidRDefault="00BA11D3" w:rsidP="00F5375B">
      <w:pPr>
        <w:spacing w:after="0" w:line="360" w:lineRule="auto"/>
        <w:ind w:left="360" w:firstLine="709"/>
        <w:jc w:val="both"/>
        <w:rPr>
          <w:rFonts w:ascii="Arial" w:eastAsia="Times New Roman" w:hAnsi="Arial" w:cs="Times New Roman"/>
          <w:kern w:val="0"/>
          <w:sz w:val="20"/>
          <w:szCs w:val="20"/>
          <w:lang w:eastAsia="pl-PL"/>
          <w14:ligatures w14:val="none"/>
        </w:rPr>
      </w:pPr>
    </w:p>
    <w:p w14:paraId="20C2A4F8" w14:textId="77777777" w:rsidR="00BA11D3" w:rsidRPr="00D804E2" w:rsidRDefault="00BA11D3" w:rsidP="00F5375B">
      <w:pPr>
        <w:spacing w:after="0" w:line="360" w:lineRule="auto"/>
        <w:ind w:left="360" w:firstLine="709"/>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b/>
          <w:bCs/>
          <w:kern w:val="0"/>
          <w:sz w:val="20"/>
          <w:szCs w:val="20"/>
          <w:lang w:eastAsia="pl-PL"/>
          <w14:ligatures w14:val="none"/>
        </w:rPr>
        <w:t>Abstract</w:t>
      </w:r>
      <w:r w:rsidRPr="00D804E2">
        <w:rPr>
          <w:rFonts w:ascii="Arial" w:eastAsia="Times New Roman" w:hAnsi="Arial" w:cs="Times New Roman"/>
          <w:kern w:val="0"/>
          <w:sz w:val="20"/>
          <w:szCs w:val="20"/>
          <w:lang w:eastAsia="pl-PL"/>
          <w14:ligatures w14:val="none"/>
        </w:rPr>
        <w:t xml:space="preserve"> (maksymalnie 1 strona) jest streszczeniem pracy w języku angielskim, zawierającym te same elementy co streszczenie w języku polskim. </w:t>
      </w:r>
    </w:p>
    <w:p w14:paraId="663F79A9" w14:textId="77777777" w:rsidR="00BA11D3" w:rsidRPr="00D804E2" w:rsidRDefault="00BA11D3" w:rsidP="00F5375B">
      <w:pPr>
        <w:spacing w:after="0" w:line="360" w:lineRule="auto"/>
        <w:ind w:left="360" w:firstLine="709"/>
        <w:jc w:val="both"/>
        <w:rPr>
          <w:rFonts w:ascii="Arial" w:eastAsia="Times New Roman" w:hAnsi="Arial" w:cs="Times New Roman"/>
          <w:b/>
          <w:bCs/>
          <w:kern w:val="0"/>
          <w:sz w:val="20"/>
          <w:szCs w:val="20"/>
          <w:lang w:eastAsia="pl-PL"/>
          <w14:ligatures w14:val="none"/>
        </w:rPr>
      </w:pPr>
    </w:p>
    <w:p w14:paraId="2C2B31BF" w14:textId="77777777" w:rsidR="00BA11D3" w:rsidRPr="00D804E2" w:rsidRDefault="00BA11D3" w:rsidP="00F5375B">
      <w:pPr>
        <w:spacing w:after="0" w:line="360" w:lineRule="auto"/>
        <w:ind w:left="360" w:firstLine="709"/>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b/>
          <w:bCs/>
          <w:kern w:val="0"/>
          <w:sz w:val="20"/>
          <w:szCs w:val="20"/>
          <w:lang w:eastAsia="pl-PL"/>
          <w14:ligatures w14:val="none"/>
        </w:rPr>
        <w:t>Keywords</w:t>
      </w:r>
      <w:r w:rsidRPr="00D804E2">
        <w:rPr>
          <w:rFonts w:ascii="Arial" w:eastAsia="Times New Roman" w:hAnsi="Arial" w:cs="Times New Roman"/>
          <w:kern w:val="0"/>
          <w:sz w:val="20"/>
          <w:szCs w:val="20"/>
          <w:lang w:eastAsia="pl-PL"/>
          <w14:ligatures w14:val="none"/>
        </w:rPr>
        <w:t xml:space="preserve">: </w:t>
      </w:r>
    </w:p>
    <w:p w14:paraId="10202EB4" w14:textId="77777777" w:rsidR="00BA11D3" w:rsidRPr="00D804E2" w:rsidRDefault="00BA11D3" w:rsidP="00F5375B">
      <w:pPr>
        <w:spacing w:after="0" w:line="360" w:lineRule="auto"/>
        <w:ind w:left="360" w:firstLine="709"/>
        <w:jc w:val="both"/>
        <w:rPr>
          <w:rFonts w:ascii="Arial" w:eastAsia="Times New Roman" w:hAnsi="Arial" w:cs="Times New Roman"/>
          <w:kern w:val="0"/>
          <w:sz w:val="20"/>
          <w:szCs w:val="20"/>
          <w:lang w:eastAsia="pl-PL"/>
          <w14:ligatures w14:val="none"/>
        </w:rPr>
      </w:pPr>
    </w:p>
    <w:p w14:paraId="3DAC595A" w14:textId="77777777" w:rsidR="00BA11D3" w:rsidRPr="00D804E2" w:rsidRDefault="00BA11D3" w:rsidP="00F5375B">
      <w:pPr>
        <w:spacing w:after="0" w:line="360" w:lineRule="auto"/>
        <w:ind w:left="360" w:firstLine="709"/>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 podział strony -------- </w:t>
      </w:r>
    </w:p>
    <w:p w14:paraId="4CB49017" w14:textId="77777777" w:rsidR="00D804E2" w:rsidRDefault="00D804E2" w:rsidP="00F5375B">
      <w:pPr>
        <w:spacing w:after="0" w:line="360" w:lineRule="auto"/>
        <w:ind w:left="2344"/>
        <w:rPr>
          <w:rFonts w:ascii="Arial" w:eastAsia="Times New Roman" w:hAnsi="Arial" w:cs="Times New Roman"/>
          <w:kern w:val="0"/>
          <w:sz w:val="20"/>
          <w:szCs w:val="20"/>
          <w:lang w:eastAsia="pl-PL"/>
          <w14:ligatures w14:val="none"/>
        </w:rPr>
      </w:pPr>
    </w:p>
    <w:p w14:paraId="4608AAE1" w14:textId="77777777" w:rsidR="0085166C" w:rsidRPr="00B95BD6" w:rsidRDefault="0085166C" w:rsidP="00F5375B">
      <w:pPr>
        <w:pStyle w:val="Nagwekdodatkowy"/>
        <w:ind w:left="360"/>
        <w:rPr>
          <w:color w:val="auto"/>
          <w:sz w:val="24"/>
        </w:rPr>
      </w:pPr>
      <w:r w:rsidRPr="00B95BD6">
        <w:rPr>
          <w:color w:val="auto"/>
          <w:sz w:val="24"/>
        </w:rPr>
        <w:lastRenderedPageBreak/>
        <w:t>Spis treści</w:t>
      </w:r>
    </w:p>
    <w:p w14:paraId="5590627D" w14:textId="77777777" w:rsidR="0085166C" w:rsidRPr="00D804E2" w:rsidRDefault="0085166C" w:rsidP="00F5375B">
      <w:pPr>
        <w:spacing w:after="0" w:line="360" w:lineRule="auto"/>
        <w:ind w:left="360"/>
        <w:jc w:val="both"/>
        <w:rPr>
          <w:rFonts w:ascii="Arial" w:eastAsia="Times New Roman" w:hAnsi="Arial" w:cs="Times New Roman"/>
          <w:i/>
          <w:kern w:val="0"/>
          <w:sz w:val="20"/>
          <w:szCs w:val="22"/>
          <w:lang w:eastAsia="pl-PL"/>
          <w14:ligatures w14:val="none"/>
        </w:rPr>
      </w:pPr>
      <w:r w:rsidRPr="00D804E2">
        <w:rPr>
          <w:rFonts w:ascii="Arial" w:eastAsia="Times New Roman" w:hAnsi="Arial" w:cs="Times New Roman"/>
          <w:kern w:val="0"/>
          <w:sz w:val="20"/>
          <w:szCs w:val="22"/>
          <w:lang w:eastAsia="pl-PL"/>
          <w14:ligatures w14:val="none"/>
        </w:rPr>
        <w:t>(</w:t>
      </w:r>
      <w:r w:rsidRPr="00D804E2">
        <w:rPr>
          <w:rFonts w:ascii="Arial" w:eastAsia="Times New Roman" w:hAnsi="Arial" w:cs="Times New Roman"/>
          <w:i/>
          <w:kern w:val="0"/>
          <w:sz w:val="20"/>
          <w:szCs w:val="22"/>
          <w:lang w:eastAsia="pl-PL"/>
          <w14:ligatures w14:val="none"/>
        </w:rPr>
        <w:t>strona nr 5, numer widoczny</w:t>
      </w:r>
      <w:r w:rsidRPr="00D804E2">
        <w:rPr>
          <w:rFonts w:ascii="Arial" w:eastAsia="Times New Roman" w:hAnsi="Arial" w:cs="Times New Roman"/>
          <w:kern w:val="0"/>
          <w:sz w:val="20"/>
          <w:szCs w:val="22"/>
          <w:lang w:eastAsia="pl-PL"/>
          <w14:ligatures w14:val="none"/>
        </w:rPr>
        <w:t>)</w:t>
      </w:r>
      <w:r w:rsidRPr="00D804E2">
        <w:rPr>
          <w:rFonts w:ascii="Arial" w:eastAsia="Times New Roman" w:hAnsi="Arial" w:cs="Times New Roman"/>
          <w:i/>
          <w:kern w:val="0"/>
          <w:sz w:val="20"/>
          <w:szCs w:val="22"/>
          <w:lang w:eastAsia="pl-PL"/>
          <w14:ligatures w14:val="none"/>
        </w:rPr>
        <w:t xml:space="preserve"> </w:t>
      </w:r>
    </w:p>
    <w:p w14:paraId="1F1F2CB4" w14:textId="77777777" w:rsidR="0085166C" w:rsidRPr="00D804E2" w:rsidRDefault="0085166C" w:rsidP="00F5375B">
      <w:pPr>
        <w:spacing w:after="0" w:line="360" w:lineRule="auto"/>
        <w:ind w:left="360" w:firstLine="709"/>
        <w:jc w:val="both"/>
        <w:rPr>
          <w:rFonts w:ascii="Arial" w:eastAsia="Times New Roman" w:hAnsi="Arial" w:cs="Times New Roman"/>
          <w:kern w:val="0"/>
          <w:sz w:val="20"/>
          <w:szCs w:val="22"/>
          <w:lang w:eastAsia="pl-PL"/>
          <w14:ligatures w14:val="none"/>
        </w:rPr>
      </w:pPr>
      <w:r w:rsidRPr="00D804E2">
        <w:rPr>
          <w:rFonts w:ascii="Arial" w:eastAsia="Times New Roman" w:hAnsi="Arial" w:cs="Times New Roman"/>
          <w:kern w:val="0"/>
          <w:sz w:val="20"/>
          <w:szCs w:val="22"/>
          <w:lang w:eastAsia="pl-PL"/>
          <w14:ligatures w14:val="none"/>
        </w:rPr>
        <w:t xml:space="preserve">W </w:t>
      </w:r>
      <w:r w:rsidRPr="00D804E2">
        <w:rPr>
          <w:rFonts w:ascii="Arial" w:eastAsia="Times New Roman" w:hAnsi="Arial" w:cs="Times New Roman"/>
          <w:b/>
          <w:kern w:val="0"/>
          <w:sz w:val="20"/>
          <w:szCs w:val="22"/>
          <w:lang w:eastAsia="pl-PL"/>
          <w14:ligatures w14:val="none"/>
        </w:rPr>
        <w:t>Spisie treści</w:t>
      </w:r>
      <w:r w:rsidRPr="00D804E2">
        <w:rPr>
          <w:rFonts w:ascii="Arial" w:eastAsia="Times New Roman" w:hAnsi="Arial" w:cs="Times New Roman"/>
          <w:kern w:val="0"/>
          <w:sz w:val="20"/>
          <w:szCs w:val="22"/>
          <w:lang w:eastAsia="pl-PL"/>
          <w14:ligatures w14:val="none"/>
        </w:rPr>
        <w:t xml:space="preserve"> odstęp między wierszami (interlinia) powinien wynosić 1 wiersz, </w:t>
      </w:r>
      <w:r w:rsidRPr="00D804E2">
        <w:rPr>
          <w:rFonts w:ascii="Arial" w:eastAsia="Times New Roman" w:hAnsi="Arial" w:cs="Times New Roman"/>
          <w:kern w:val="0"/>
          <w:sz w:val="20"/>
          <w:szCs w:val="22"/>
          <w:lang w:eastAsia="pl-PL"/>
          <w14:ligatures w14:val="none"/>
        </w:rPr>
        <w:br/>
        <w:t xml:space="preserve">a odstępy dla akapitu: górny 0 pkt, dolny 6 pkt. </w:t>
      </w:r>
    </w:p>
    <w:p w14:paraId="0A02C053" w14:textId="77777777" w:rsidR="0085166C" w:rsidRPr="00D804E2" w:rsidRDefault="0085166C" w:rsidP="00F5375B">
      <w:pPr>
        <w:spacing w:after="0" w:line="360" w:lineRule="auto"/>
        <w:ind w:left="360" w:firstLine="709"/>
        <w:jc w:val="both"/>
        <w:rPr>
          <w:rFonts w:ascii="Arial" w:eastAsia="Times New Roman" w:hAnsi="Arial" w:cs="Times New Roman"/>
          <w:kern w:val="0"/>
          <w:sz w:val="20"/>
          <w:szCs w:val="22"/>
          <w:lang w:eastAsia="pl-PL"/>
          <w14:ligatures w14:val="none"/>
        </w:rPr>
      </w:pPr>
      <w:r w:rsidRPr="00D804E2">
        <w:rPr>
          <w:rFonts w:ascii="Arial" w:eastAsia="Times New Roman" w:hAnsi="Arial" w:cs="Times New Roman"/>
          <w:b/>
          <w:kern w:val="0"/>
          <w:sz w:val="20"/>
          <w:szCs w:val="22"/>
          <w:lang w:eastAsia="pl-PL"/>
          <w14:ligatures w14:val="none"/>
        </w:rPr>
        <w:t>Spis treści</w:t>
      </w:r>
      <w:r w:rsidRPr="00D804E2">
        <w:rPr>
          <w:rFonts w:ascii="Arial" w:eastAsia="Times New Roman" w:hAnsi="Arial" w:cs="Times New Roman"/>
          <w:kern w:val="0"/>
          <w:sz w:val="20"/>
          <w:szCs w:val="22"/>
          <w:lang w:eastAsia="pl-PL"/>
          <w14:ligatures w14:val="none"/>
        </w:rPr>
        <w:t xml:space="preserve"> należy opracować zgodnie z niżej przytoczonym wzorem. Należy podać odpowiednie numery stron. </w:t>
      </w:r>
      <w:r w:rsidRPr="00D804E2">
        <w:rPr>
          <w:rFonts w:ascii="Arial" w:eastAsia="Times New Roman" w:hAnsi="Arial" w:cs="Times New Roman"/>
          <w:b/>
          <w:kern w:val="0"/>
          <w:sz w:val="20"/>
          <w:szCs w:val="22"/>
          <w:lang w:eastAsia="pl-PL"/>
          <w14:ligatures w14:val="none"/>
        </w:rPr>
        <w:t>Spis treści</w:t>
      </w:r>
      <w:r w:rsidRPr="00D804E2">
        <w:rPr>
          <w:rFonts w:ascii="Arial" w:eastAsia="Times New Roman" w:hAnsi="Arial" w:cs="Times New Roman"/>
          <w:kern w:val="0"/>
          <w:sz w:val="20"/>
          <w:szCs w:val="22"/>
          <w:lang w:eastAsia="pl-PL"/>
          <w14:ligatures w14:val="none"/>
        </w:rPr>
        <w:t xml:space="preserve"> można wygenerować automatycznie w programie MS Word na podstawie stylów tekstu, później trzeba jednak sprawdzić jego zgodność </w:t>
      </w:r>
      <w:r w:rsidRPr="00D804E2">
        <w:rPr>
          <w:rFonts w:ascii="Arial" w:eastAsia="Times New Roman" w:hAnsi="Arial" w:cs="Times New Roman"/>
          <w:kern w:val="0"/>
          <w:sz w:val="20"/>
          <w:szCs w:val="22"/>
          <w:lang w:eastAsia="pl-PL"/>
          <w14:ligatures w14:val="none"/>
        </w:rPr>
        <w:br/>
        <w:t>z poniższym wzorcem.</w:t>
      </w:r>
    </w:p>
    <w:p w14:paraId="2698D5D8" w14:textId="77777777" w:rsidR="0085166C" w:rsidRPr="00D804E2" w:rsidRDefault="0085166C" w:rsidP="00F5375B">
      <w:pPr>
        <w:spacing w:after="0" w:line="360" w:lineRule="auto"/>
        <w:ind w:left="360"/>
        <w:jc w:val="both"/>
        <w:rPr>
          <w:rFonts w:ascii="Arial" w:eastAsia="Times New Roman" w:hAnsi="Arial" w:cs="Times New Roman"/>
          <w:kern w:val="0"/>
          <w:sz w:val="20"/>
          <w:szCs w:val="22"/>
          <w:lang w:eastAsia="pl-PL"/>
          <w14:ligatures w14:val="none"/>
        </w:rPr>
      </w:pPr>
    </w:p>
    <w:tbl>
      <w:tblPr>
        <w:tblW w:w="8755" w:type="dxa"/>
        <w:tblLayout w:type="fixed"/>
        <w:tblLook w:val="0000" w:firstRow="0" w:lastRow="0" w:firstColumn="0" w:lastColumn="0" w:noHBand="0" w:noVBand="0"/>
      </w:tblPr>
      <w:tblGrid>
        <w:gridCol w:w="7338"/>
        <w:gridCol w:w="1417"/>
      </w:tblGrid>
      <w:tr w:rsidR="0085166C" w:rsidRPr="00D804E2" w14:paraId="53D8D06F" w14:textId="77777777" w:rsidTr="00F5375B">
        <w:trPr>
          <w:trHeight w:val="255"/>
        </w:trPr>
        <w:tc>
          <w:tcPr>
            <w:tcW w:w="7338" w:type="dxa"/>
          </w:tcPr>
          <w:p w14:paraId="505080F5" w14:textId="77777777" w:rsidR="0085166C" w:rsidRPr="00D804E2" w:rsidRDefault="0085166C" w:rsidP="00452911">
            <w:pPr>
              <w:spacing w:after="0" w:line="360" w:lineRule="auto"/>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Wykaz ważniejszych oznaczeń i skrótów .............................................................. </w:t>
            </w:r>
          </w:p>
        </w:tc>
        <w:tc>
          <w:tcPr>
            <w:tcW w:w="1417" w:type="dxa"/>
          </w:tcPr>
          <w:p w14:paraId="3B700767" w14:textId="77777777" w:rsidR="0085166C" w:rsidRPr="00D804E2" w:rsidRDefault="0085166C" w:rsidP="00452911">
            <w:pPr>
              <w:spacing w:after="0" w:line="360" w:lineRule="auto"/>
              <w:jc w:val="right"/>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numer strony </w:t>
            </w:r>
          </w:p>
        </w:tc>
      </w:tr>
      <w:tr w:rsidR="0085166C" w:rsidRPr="00D804E2" w14:paraId="416EF68C" w14:textId="77777777" w:rsidTr="00F5375B">
        <w:trPr>
          <w:trHeight w:val="255"/>
        </w:trPr>
        <w:tc>
          <w:tcPr>
            <w:tcW w:w="7338" w:type="dxa"/>
          </w:tcPr>
          <w:p w14:paraId="3FC1203F" w14:textId="77777777" w:rsidR="0085166C" w:rsidRPr="00D804E2" w:rsidRDefault="0085166C" w:rsidP="00452911">
            <w:pPr>
              <w:spacing w:after="0" w:line="360" w:lineRule="auto"/>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1. Wstęp ……………............................................................................................... </w:t>
            </w:r>
          </w:p>
        </w:tc>
        <w:tc>
          <w:tcPr>
            <w:tcW w:w="1417" w:type="dxa"/>
          </w:tcPr>
          <w:p w14:paraId="6EFED645" w14:textId="77777777" w:rsidR="0085166C" w:rsidRPr="00D804E2" w:rsidRDefault="0085166C" w:rsidP="00452911">
            <w:pPr>
              <w:spacing w:after="0" w:line="360" w:lineRule="auto"/>
              <w:jc w:val="right"/>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numer strony </w:t>
            </w:r>
          </w:p>
        </w:tc>
      </w:tr>
      <w:tr w:rsidR="0085166C" w:rsidRPr="00D804E2" w14:paraId="4FE384B4" w14:textId="77777777" w:rsidTr="00F5375B">
        <w:trPr>
          <w:trHeight w:val="255"/>
        </w:trPr>
        <w:tc>
          <w:tcPr>
            <w:tcW w:w="7338" w:type="dxa"/>
          </w:tcPr>
          <w:p w14:paraId="58F53ED6" w14:textId="77777777" w:rsidR="0085166C" w:rsidRPr="00D804E2" w:rsidRDefault="0085166C" w:rsidP="00452911">
            <w:pPr>
              <w:spacing w:after="0" w:line="360" w:lineRule="auto"/>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2. Tytuł drugiego rozdziału (ew. imię i nazwisko autora rozdziału w przypadku pracy zbiorowej) ....................................................................................................</w:t>
            </w:r>
          </w:p>
        </w:tc>
        <w:tc>
          <w:tcPr>
            <w:tcW w:w="1417" w:type="dxa"/>
          </w:tcPr>
          <w:p w14:paraId="537879BF" w14:textId="77777777" w:rsidR="0085166C" w:rsidRPr="00D804E2" w:rsidRDefault="0085166C" w:rsidP="00452911">
            <w:pPr>
              <w:spacing w:after="0" w:line="360" w:lineRule="auto"/>
              <w:jc w:val="right"/>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br/>
              <w:t xml:space="preserve">numer strony </w:t>
            </w:r>
          </w:p>
        </w:tc>
      </w:tr>
      <w:tr w:rsidR="0085166C" w:rsidRPr="00D804E2" w14:paraId="02F7AF91" w14:textId="77777777" w:rsidTr="00F5375B">
        <w:trPr>
          <w:trHeight w:val="255"/>
        </w:trPr>
        <w:tc>
          <w:tcPr>
            <w:tcW w:w="7338" w:type="dxa"/>
          </w:tcPr>
          <w:p w14:paraId="6666D1F1" w14:textId="77777777" w:rsidR="0085166C" w:rsidRPr="00D804E2" w:rsidRDefault="0085166C" w:rsidP="00452911">
            <w:pPr>
              <w:spacing w:after="0" w:line="360" w:lineRule="auto"/>
              <w:ind w:left="601"/>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2.1. Tytuł podrozdziału (ew. imię i nazwisko autora podrozdziału</w:t>
            </w:r>
            <w:r w:rsidRPr="00D804E2">
              <w:rPr>
                <w:rFonts w:ascii="Arial" w:eastAsia="Times New Roman" w:hAnsi="Arial" w:cs="Times New Roman"/>
                <w:kern w:val="0"/>
                <w:sz w:val="20"/>
                <w:szCs w:val="20"/>
                <w:lang w:eastAsia="pl-PL"/>
                <w14:ligatures w14:val="none"/>
              </w:rPr>
              <w:br/>
              <w:t>w przypadku pracy zbiorowej) …….............................................................</w:t>
            </w:r>
          </w:p>
        </w:tc>
        <w:tc>
          <w:tcPr>
            <w:tcW w:w="1417" w:type="dxa"/>
          </w:tcPr>
          <w:p w14:paraId="1191019D" w14:textId="77777777" w:rsidR="0085166C" w:rsidRPr="00D804E2" w:rsidRDefault="0085166C" w:rsidP="00452911">
            <w:pPr>
              <w:spacing w:after="0" w:line="360" w:lineRule="auto"/>
              <w:jc w:val="right"/>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br/>
              <w:t xml:space="preserve">numer strony </w:t>
            </w:r>
          </w:p>
        </w:tc>
      </w:tr>
      <w:tr w:rsidR="0085166C" w:rsidRPr="00D804E2" w14:paraId="7B0B3152" w14:textId="77777777" w:rsidTr="00F5375B">
        <w:trPr>
          <w:trHeight w:val="255"/>
        </w:trPr>
        <w:tc>
          <w:tcPr>
            <w:tcW w:w="7338" w:type="dxa"/>
          </w:tcPr>
          <w:p w14:paraId="731704BF" w14:textId="77777777" w:rsidR="0085166C" w:rsidRPr="00D804E2" w:rsidRDefault="0085166C" w:rsidP="00452911">
            <w:pPr>
              <w:spacing w:after="0" w:line="360" w:lineRule="auto"/>
              <w:ind w:left="1168"/>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2.1.1. Tytuł punktu podrozdziału ...................................................... </w:t>
            </w:r>
          </w:p>
        </w:tc>
        <w:tc>
          <w:tcPr>
            <w:tcW w:w="1417" w:type="dxa"/>
          </w:tcPr>
          <w:p w14:paraId="551E00A2" w14:textId="77777777" w:rsidR="0085166C" w:rsidRPr="00D804E2" w:rsidRDefault="0085166C" w:rsidP="00452911">
            <w:pPr>
              <w:spacing w:after="0" w:line="360" w:lineRule="auto"/>
              <w:jc w:val="right"/>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numer strony </w:t>
            </w:r>
          </w:p>
        </w:tc>
      </w:tr>
      <w:tr w:rsidR="0085166C" w:rsidRPr="00D804E2" w14:paraId="08FFB426" w14:textId="77777777" w:rsidTr="00F5375B">
        <w:trPr>
          <w:trHeight w:val="255"/>
        </w:trPr>
        <w:tc>
          <w:tcPr>
            <w:tcW w:w="7338" w:type="dxa"/>
          </w:tcPr>
          <w:p w14:paraId="77701B42" w14:textId="77777777" w:rsidR="0085166C" w:rsidRPr="00D804E2" w:rsidRDefault="0085166C" w:rsidP="00452911">
            <w:pPr>
              <w:spacing w:after="0" w:line="360" w:lineRule="auto"/>
              <w:ind w:left="601"/>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2.2. Tytuł podrozdziału (ew. imię i nazwisko autora podrozdziału</w:t>
            </w:r>
            <w:r w:rsidRPr="00D804E2">
              <w:rPr>
                <w:rFonts w:ascii="Arial" w:eastAsia="Times New Roman" w:hAnsi="Arial" w:cs="Times New Roman"/>
                <w:kern w:val="0"/>
                <w:sz w:val="20"/>
                <w:szCs w:val="20"/>
                <w:lang w:eastAsia="pl-PL"/>
                <w14:ligatures w14:val="none"/>
              </w:rPr>
              <w:br/>
              <w:t>w przypadku pracy zbiorowej) …..................................................................</w:t>
            </w:r>
          </w:p>
        </w:tc>
        <w:tc>
          <w:tcPr>
            <w:tcW w:w="1417" w:type="dxa"/>
          </w:tcPr>
          <w:p w14:paraId="22D2B893" w14:textId="77777777" w:rsidR="0085166C" w:rsidRPr="00D804E2" w:rsidRDefault="0085166C" w:rsidP="00452911">
            <w:pPr>
              <w:spacing w:after="0" w:line="360" w:lineRule="auto"/>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br/>
              <w:t xml:space="preserve">numer strony </w:t>
            </w:r>
          </w:p>
        </w:tc>
      </w:tr>
      <w:tr w:rsidR="0085166C" w:rsidRPr="00D804E2" w14:paraId="01B8FC07" w14:textId="77777777" w:rsidTr="00F5375B">
        <w:trPr>
          <w:trHeight w:val="255"/>
        </w:trPr>
        <w:tc>
          <w:tcPr>
            <w:tcW w:w="7338" w:type="dxa"/>
          </w:tcPr>
          <w:p w14:paraId="54AED9FD" w14:textId="77777777" w:rsidR="0085166C" w:rsidRPr="00D804E2" w:rsidRDefault="0085166C" w:rsidP="00452911">
            <w:pPr>
              <w:spacing w:after="0" w:line="360" w:lineRule="auto"/>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 kolejne rozdziały, podrozdziały i punkty ......................................................... </w:t>
            </w:r>
          </w:p>
        </w:tc>
        <w:tc>
          <w:tcPr>
            <w:tcW w:w="1417" w:type="dxa"/>
          </w:tcPr>
          <w:p w14:paraId="52EDA3FD" w14:textId="77777777" w:rsidR="0085166C" w:rsidRPr="00D804E2" w:rsidRDefault="0085166C" w:rsidP="00452911">
            <w:pPr>
              <w:spacing w:after="0" w:line="360" w:lineRule="auto"/>
              <w:jc w:val="right"/>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numer strony </w:t>
            </w:r>
          </w:p>
        </w:tc>
      </w:tr>
      <w:tr w:rsidR="0085166C" w:rsidRPr="00D804E2" w14:paraId="47018BCD" w14:textId="77777777" w:rsidTr="00F5375B">
        <w:trPr>
          <w:trHeight w:val="255"/>
        </w:trPr>
        <w:tc>
          <w:tcPr>
            <w:tcW w:w="7338" w:type="dxa"/>
          </w:tcPr>
          <w:p w14:paraId="30A94739" w14:textId="77777777" w:rsidR="0085166C" w:rsidRPr="00D804E2" w:rsidRDefault="0085166C" w:rsidP="00452911">
            <w:pPr>
              <w:spacing w:after="0" w:line="360" w:lineRule="auto"/>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6. Podsumowanie .................................................................................................. </w:t>
            </w:r>
          </w:p>
        </w:tc>
        <w:tc>
          <w:tcPr>
            <w:tcW w:w="1417" w:type="dxa"/>
          </w:tcPr>
          <w:p w14:paraId="691E35C4" w14:textId="77777777" w:rsidR="0085166C" w:rsidRPr="00D804E2" w:rsidRDefault="0085166C" w:rsidP="00452911">
            <w:pPr>
              <w:spacing w:after="0" w:line="360" w:lineRule="auto"/>
              <w:jc w:val="right"/>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numer strony </w:t>
            </w:r>
          </w:p>
        </w:tc>
      </w:tr>
      <w:tr w:rsidR="0085166C" w:rsidRPr="00D804E2" w14:paraId="094475E0" w14:textId="77777777" w:rsidTr="00F5375B">
        <w:trPr>
          <w:trHeight w:val="255"/>
        </w:trPr>
        <w:tc>
          <w:tcPr>
            <w:tcW w:w="7338" w:type="dxa"/>
          </w:tcPr>
          <w:p w14:paraId="215D0B05" w14:textId="77777777" w:rsidR="0085166C" w:rsidRPr="00D804E2" w:rsidRDefault="0085166C" w:rsidP="00452911">
            <w:pPr>
              <w:spacing w:after="0" w:line="360" w:lineRule="auto"/>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Spis literatury ......................................................................................................... </w:t>
            </w:r>
          </w:p>
        </w:tc>
        <w:tc>
          <w:tcPr>
            <w:tcW w:w="1417" w:type="dxa"/>
          </w:tcPr>
          <w:p w14:paraId="097C869A" w14:textId="77777777" w:rsidR="0085166C" w:rsidRPr="00D804E2" w:rsidRDefault="0085166C" w:rsidP="00452911">
            <w:pPr>
              <w:spacing w:after="0" w:line="360" w:lineRule="auto"/>
              <w:jc w:val="right"/>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numer strony </w:t>
            </w:r>
          </w:p>
        </w:tc>
      </w:tr>
      <w:tr w:rsidR="0085166C" w:rsidRPr="00D804E2" w14:paraId="6C0DC7EC" w14:textId="77777777" w:rsidTr="00F5375B">
        <w:trPr>
          <w:trHeight w:val="255"/>
        </w:trPr>
        <w:tc>
          <w:tcPr>
            <w:tcW w:w="7338" w:type="dxa"/>
          </w:tcPr>
          <w:p w14:paraId="226AC122" w14:textId="77777777" w:rsidR="0085166C" w:rsidRPr="00D804E2" w:rsidRDefault="0085166C" w:rsidP="00452911">
            <w:pPr>
              <w:spacing w:after="0" w:line="360" w:lineRule="auto"/>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Wykaz rysunków .................................................................................................... </w:t>
            </w:r>
          </w:p>
        </w:tc>
        <w:tc>
          <w:tcPr>
            <w:tcW w:w="1417" w:type="dxa"/>
          </w:tcPr>
          <w:p w14:paraId="747FF603" w14:textId="77777777" w:rsidR="0085166C" w:rsidRPr="00D804E2" w:rsidRDefault="0085166C" w:rsidP="00452911">
            <w:pPr>
              <w:spacing w:after="0" w:line="360" w:lineRule="auto"/>
              <w:jc w:val="right"/>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numer strony </w:t>
            </w:r>
          </w:p>
        </w:tc>
      </w:tr>
      <w:tr w:rsidR="0085166C" w:rsidRPr="00D804E2" w14:paraId="03127460" w14:textId="77777777" w:rsidTr="00F5375B">
        <w:trPr>
          <w:trHeight w:val="255"/>
        </w:trPr>
        <w:tc>
          <w:tcPr>
            <w:tcW w:w="7338" w:type="dxa"/>
          </w:tcPr>
          <w:p w14:paraId="67BBAC3B" w14:textId="77777777" w:rsidR="0085166C" w:rsidRPr="00D804E2" w:rsidRDefault="0085166C" w:rsidP="00452911">
            <w:pPr>
              <w:spacing w:after="0" w:line="360" w:lineRule="auto"/>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Wykaz tabel ........................................................................................................... </w:t>
            </w:r>
          </w:p>
        </w:tc>
        <w:tc>
          <w:tcPr>
            <w:tcW w:w="1417" w:type="dxa"/>
          </w:tcPr>
          <w:p w14:paraId="25CB4B3F" w14:textId="77777777" w:rsidR="0085166C" w:rsidRPr="00D804E2" w:rsidRDefault="0085166C" w:rsidP="00452911">
            <w:pPr>
              <w:spacing w:after="0" w:line="360" w:lineRule="auto"/>
              <w:jc w:val="right"/>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numer strony </w:t>
            </w:r>
          </w:p>
        </w:tc>
      </w:tr>
      <w:tr w:rsidR="0085166C" w:rsidRPr="00D804E2" w14:paraId="717C0985" w14:textId="77777777" w:rsidTr="00F5375B">
        <w:trPr>
          <w:trHeight w:val="255"/>
        </w:trPr>
        <w:tc>
          <w:tcPr>
            <w:tcW w:w="7338" w:type="dxa"/>
          </w:tcPr>
          <w:p w14:paraId="76073B19" w14:textId="77777777" w:rsidR="0085166C" w:rsidRPr="00D804E2" w:rsidRDefault="0085166C" w:rsidP="00452911">
            <w:pPr>
              <w:spacing w:after="0" w:line="360" w:lineRule="auto"/>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Załączniki …………................................................................................................. </w:t>
            </w:r>
          </w:p>
        </w:tc>
        <w:tc>
          <w:tcPr>
            <w:tcW w:w="1417" w:type="dxa"/>
          </w:tcPr>
          <w:p w14:paraId="0E731F14" w14:textId="77777777" w:rsidR="0085166C" w:rsidRPr="00D804E2" w:rsidRDefault="0085166C" w:rsidP="00452911">
            <w:pPr>
              <w:spacing w:after="0" w:line="360" w:lineRule="auto"/>
              <w:jc w:val="right"/>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numer strony </w:t>
            </w:r>
          </w:p>
        </w:tc>
      </w:tr>
    </w:tbl>
    <w:p w14:paraId="3E86298E" w14:textId="77777777" w:rsidR="0085166C" w:rsidRPr="00D804E2" w:rsidRDefault="0085166C" w:rsidP="00F5375B">
      <w:pPr>
        <w:spacing w:after="0" w:line="360" w:lineRule="auto"/>
        <w:ind w:left="360" w:firstLine="709"/>
        <w:jc w:val="both"/>
        <w:rPr>
          <w:rFonts w:ascii="Arial" w:eastAsia="Times New Roman" w:hAnsi="Arial" w:cs="Times New Roman"/>
          <w:kern w:val="0"/>
          <w:sz w:val="20"/>
          <w:szCs w:val="22"/>
          <w:lang w:eastAsia="pl-PL"/>
          <w14:ligatures w14:val="none"/>
        </w:rPr>
      </w:pPr>
    </w:p>
    <w:p w14:paraId="3BF4F857" w14:textId="77777777" w:rsidR="0085166C" w:rsidRPr="00D804E2" w:rsidRDefault="0085166C" w:rsidP="00F5375B">
      <w:pPr>
        <w:spacing w:after="0" w:line="360" w:lineRule="auto"/>
        <w:ind w:left="360" w:firstLine="709"/>
        <w:jc w:val="both"/>
        <w:rPr>
          <w:rFonts w:ascii="Arial" w:eastAsia="Times New Roman" w:hAnsi="Arial" w:cs="Times New Roman"/>
          <w:kern w:val="0"/>
          <w:sz w:val="20"/>
          <w:szCs w:val="20"/>
          <w:lang w:eastAsia="pl-PL"/>
          <w14:ligatures w14:val="none"/>
        </w:rPr>
      </w:pPr>
    </w:p>
    <w:p w14:paraId="3FE7ED95" w14:textId="77777777" w:rsidR="0085166C" w:rsidRPr="00D804E2" w:rsidRDefault="0085166C" w:rsidP="00F5375B">
      <w:pPr>
        <w:spacing w:after="0" w:line="360" w:lineRule="auto"/>
        <w:ind w:left="360" w:firstLine="709"/>
        <w:jc w:val="both"/>
        <w:rPr>
          <w:rFonts w:ascii="Arial" w:eastAsia="Times New Roman" w:hAnsi="Arial" w:cs="Times New Roman"/>
          <w:kern w:val="0"/>
          <w:sz w:val="20"/>
          <w:szCs w:val="20"/>
          <w:lang w:eastAsia="pl-PL"/>
          <w14:ligatures w14:val="none"/>
        </w:rPr>
      </w:pPr>
      <w:r w:rsidRPr="00D804E2">
        <w:rPr>
          <w:rFonts w:ascii="Arial" w:eastAsia="Times New Roman" w:hAnsi="Arial" w:cs="Times New Roman"/>
          <w:kern w:val="0"/>
          <w:sz w:val="20"/>
          <w:szCs w:val="20"/>
          <w:lang w:eastAsia="pl-PL"/>
          <w14:ligatures w14:val="none"/>
        </w:rPr>
        <w:t xml:space="preserve">-------- podział strony -------- </w:t>
      </w:r>
    </w:p>
    <w:p w14:paraId="677FD465" w14:textId="77777777" w:rsidR="00FF223F" w:rsidRPr="00FF223F" w:rsidRDefault="00FF223F" w:rsidP="00F5375B">
      <w:pPr>
        <w:pStyle w:val="Nagwek1"/>
        <w:pageBreakBefore/>
        <w:spacing w:before="240" w:after="120" w:line="240" w:lineRule="auto"/>
        <w:ind w:left="360"/>
        <w:rPr>
          <w:b/>
          <w:bCs/>
          <w:caps/>
          <w:color w:val="auto"/>
          <w:kern w:val="0"/>
          <w:sz w:val="24"/>
          <w:szCs w:val="28"/>
          <w:lang w:eastAsia="pl-PL"/>
          <w14:ligatures w14:val="none"/>
        </w:rPr>
      </w:pPr>
      <w:r w:rsidRPr="00FF223F">
        <w:rPr>
          <w:b/>
          <w:bCs/>
          <w:caps/>
          <w:color w:val="auto"/>
          <w:kern w:val="0"/>
          <w:sz w:val="24"/>
          <w:szCs w:val="28"/>
          <w:lang w:eastAsia="pl-PL"/>
          <w14:ligatures w14:val="none"/>
        </w:rPr>
        <w:lastRenderedPageBreak/>
        <w:t xml:space="preserve">Wykaz ważniejszych oznaczeń i </w:t>
      </w:r>
      <w:commentRangeStart w:id="4"/>
      <w:r w:rsidRPr="00FF223F">
        <w:rPr>
          <w:b/>
          <w:bCs/>
          <w:caps/>
          <w:color w:val="auto"/>
          <w:kern w:val="0"/>
          <w:sz w:val="24"/>
          <w:szCs w:val="28"/>
          <w:lang w:eastAsia="pl-PL"/>
          <w14:ligatures w14:val="none"/>
        </w:rPr>
        <w:t>skrótów</w:t>
      </w:r>
      <w:commentRangeEnd w:id="4"/>
      <w:r w:rsidR="00D556C8" w:rsidRPr="00FF223F">
        <w:rPr>
          <w:rStyle w:val="Odwoaniedokomentarza"/>
          <w:b/>
          <w:bCs/>
          <w:caps/>
          <w:color w:val="auto"/>
          <w:kern w:val="0"/>
          <w:sz w:val="24"/>
          <w:szCs w:val="28"/>
          <w:lang w:eastAsia="pl-PL"/>
          <w14:ligatures w14:val="none"/>
        </w:rPr>
        <w:commentReference w:id="4"/>
      </w:r>
    </w:p>
    <w:p w14:paraId="215086A6" w14:textId="4065BE77" w:rsidR="0056772A" w:rsidRPr="0056772A" w:rsidRDefault="003979C8" w:rsidP="00DF7C5E">
      <w:pPr>
        <w:pStyle w:val="Styl5"/>
      </w:pPr>
      <w:r w:rsidRPr="00EE5022">
        <w:t>ETF</w:t>
      </w:r>
      <w:r w:rsidR="00FF223F" w:rsidRPr="00EE5022">
        <w:tab/>
      </w:r>
      <w:r w:rsidR="00FF223F" w:rsidRPr="00EE5022">
        <w:tab/>
        <w:t>–</w:t>
      </w:r>
      <w:r w:rsidR="00DF7C5E">
        <w:tab/>
      </w:r>
      <w:r w:rsidR="00EE5022" w:rsidRPr="00DF7C5E">
        <w:t>fundusze inwestycyjne notowane na giełdzie (</w:t>
      </w:r>
      <w:r w:rsidR="00937C8F" w:rsidRPr="00DF7C5E">
        <w:t>ang. Exchange Traded Funds</w:t>
      </w:r>
      <w:r w:rsidR="00EE5022" w:rsidRPr="00DF7C5E">
        <w:t>)</w:t>
      </w:r>
    </w:p>
    <w:p w14:paraId="294A5244" w14:textId="60E22BF0" w:rsidR="0056772A" w:rsidRPr="0056772A" w:rsidRDefault="0056772A" w:rsidP="00DF7C5E">
      <w:pPr>
        <w:pStyle w:val="Styl5"/>
      </w:pPr>
      <w:r w:rsidRPr="0056772A">
        <w:t xml:space="preserve">GPW </w:t>
      </w:r>
      <w:r>
        <w:tab/>
      </w:r>
      <w:r>
        <w:tab/>
      </w:r>
      <w:r w:rsidRPr="0056772A">
        <w:t>–</w:t>
      </w:r>
      <w:r>
        <w:tab/>
      </w:r>
      <w:r w:rsidRPr="0056772A">
        <w:t>Giełda Papierów Wartościowych w Warszawie</w:t>
      </w:r>
    </w:p>
    <w:p w14:paraId="2342CAE1" w14:textId="26994469" w:rsidR="0056772A" w:rsidRPr="0056772A" w:rsidRDefault="0056772A" w:rsidP="00DF7C5E">
      <w:pPr>
        <w:pStyle w:val="Styl5"/>
      </w:pPr>
      <w:r w:rsidRPr="0056772A">
        <w:t>WIG20</w:t>
      </w:r>
      <w:r>
        <w:tab/>
      </w:r>
      <w:r>
        <w:tab/>
      </w:r>
      <w:r w:rsidRPr="0056772A">
        <w:t>–</w:t>
      </w:r>
      <w:r>
        <w:tab/>
      </w:r>
      <w:r w:rsidRPr="0056772A">
        <w:t>indeks 20 największych spółek notowanych na GPW</w:t>
      </w:r>
    </w:p>
    <w:p w14:paraId="546DDADA" w14:textId="5FBC6E14" w:rsidR="0056772A" w:rsidRPr="0056772A" w:rsidRDefault="0056772A" w:rsidP="00DF7C5E">
      <w:pPr>
        <w:pStyle w:val="Styl5"/>
      </w:pPr>
      <w:r w:rsidRPr="0056772A">
        <w:t>NBP</w:t>
      </w:r>
      <w:r>
        <w:tab/>
      </w:r>
      <w:r w:rsidR="00DF7C5E">
        <w:tab/>
      </w:r>
      <w:r w:rsidRPr="0056772A">
        <w:t>–</w:t>
      </w:r>
      <w:r>
        <w:tab/>
      </w:r>
      <w:r w:rsidRPr="0056772A">
        <w:t>Narodowy Bank Polski</w:t>
      </w:r>
    </w:p>
    <w:p w14:paraId="45A49028" w14:textId="77777777" w:rsidR="0056772A" w:rsidRPr="0056772A" w:rsidRDefault="0056772A" w:rsidP="00DF7C5E">
      <w:pPr>
        <w:pStyle w:val="Styl5"/>
        <w:ind w:left="0"/>
      </w:pPr>
    </w:p>
    <w:p w14:paraId="553B3A94" w14:textId="0A27CF2E" w:rsidR="0056772A" w:rsidRPr="0056772A" w:rsidRDefault="0056772A" w:rsidP="00DF7C5E">
      <w:pPr>
        <w:pStyle w:val="Styl5"/>
      </w:pPr>
      <w:r w:rsidRPr="0056772A">
        <w:t>Pi,t</w:t>
      </w:r>
      <w:r w:rsidR="00DF7C5E">
        <w:tab/>
      </w:r>
      <w:r>
        <w:tab/>
      </w:r>
      <w:r w:rsidR="00DF7C5E">
        <w:tab/>
      </w:r>
      <w:r w:rsidRPr="0056772A">
        <w:t>–</w:t>
      </w:r>
      <w:r w:rsidR="00DF7C5E">
        <w:tab/>
      </w:r>
      <w:r w:rsidRPr="0056772A">
        <w:t>cena instrumentu i w dniu t</w:t>
      </w:r>
    </w:p>
    <w:p w14:paraId="5C4316C2" w14:textId="7BFEBF91" w:rsidR="0056772A" w:rsidRPr="0056772A" w:rsidRDefault="0056772A" w:rsidP="00DF7C5E">
      <w:pPr>
        <w:pStyle w:val="Styl5"/>
      </w:pPr>
      <w:r w:rsidRPr="0056772A">
        <w:t>Ri,t</w:t>
      </w:r>
      <w:r>
        <w:tab/>
      </w:r>
      <w:r>
        <w:tab/>
      </w:r>
      <w:r w:rsidR="00DF7C5E">
        <w:tab/>
      </w:r>
      <w:r w:rsidRPr="0056772A">
        <w:t>–</w:t>
      </w:r>
      <w:r w:rsidR="00DF7C5E">
        <w:tab/>
      </w:r>
      <w:r w:rsidRPr="0056772A">
        <w:t>logarytmiczna stopa zwrotu instrumentu i w dniu t</w:t>
      </w:r>
    </w:p>
    <w:p w14:paraId="14CCE5E6" w14:textId="2B61A9C4" w:rsidR="0056772A" w:rsidRPr="0056772A" w:rsidRDefault="0056772A" w:rsidP="00DF7C5E">
      <w:pPr>
        <w:pStyle w:val="Styl5"/>
      </w:pPr>
      <w:r w:rsidRPr="0056772A">
        <w:t>W</w:t>
      </w:r>
      <w:r w:rsidRPr="0056772A">
        <w:t>i</w:t>
      </w:r>
      <w:r>
        <w:tab/>
      </w:r>
      <w:r>
        <w:tab/>
      </w:r>
      <w:r w:rsidR="00DF7C5E">
        <w:tab/>
      </w:r>
      <w:r w:rsidRPr="0056772A">
        <w:t>–</w:t>
      </w:r>
      <w:r>
        <w:tab/>
      </w:r>
      <w:r w:rsidRPr="0056772A">
        <w:t>waga instrumentu i w portfelu</w:t>
      </w:r>
    </w:p>
    <w:p w14:paraId="139C5EBB" w14:textId="5CBA84A4" w:rsidR="0056772A" w:rsidRPr="0056772A" w:rsidRDefault="0056772A" w:rsidP="00DF7C5E">
      <w:pPr>
        <w:pStyle w:val="Styl5"/>
      </w:pPr>
      <w:r w:rsidRPr="0056772A">
        <w:rPr>
          <w:lang w:val="en-US"/>
        </w:rPr>
        <w:t>Σ</w:t>
      </w:r>
      <w:r>
        <w:tab/>
      </w:r>
      <w:r>
        <w:tab/>
      </w:r>
      <w:r w:rsidR="00DF7C5E">
        <w:tab/>
      </w:r>
      <w:r w:rsidRPr="0056772A">
        <w:t>–</w:t>
      </w:r>
      <w:r>
        <w:tab/>
      </w:r>
      <w:r w:rsidRPr="0056772A">
        <w:t>macierz kowariancji stóp zwrotu</w:t>
      </w:r>
    </w:p>
    <w:p w14:paraId="70EAEBEB" w14:textId="04FF8994" w:rsidR="0056772A" w:rsidRPr="0056772A" w:rsidRDefault="0056772A" w:rsidP="00DF7C5E">
      <w:pPr>
        <w:pStyle w:val="Styl5"/>
      </w:pPr>
      <w:r w:rsidRPr="0056772A">
        <w:rPr>
          <w:lang w:val="en-US"/>
        </w:rPr>
        <w:t>Μ</w:t>
      </w:r>
      <w:r>
        <w:tab/>
      </w:r>
      <w:r>
        <w:tab/>
      </w:r>
      <w:r w:rsidR="00DF7C5E">
        <w:tab/>
      </w:r>
      <w:r w:rsidRPr="0056772A">
        <w:t>–</w:t>
      </w:r>
      <w:r>
        <w:tab/>
      </w:r>
      <w:r w:rsidRPr="0056772A">
        <w:t>średnia (oczekiwana) stopa zwrotu</w:t>
      </w:r>
    </w:p>
    <w:p w14:paraId="7F699B37" w14:textId="5A4DB53A" w:rsidR="0056772A" w:rsidRPr="0056772A" w:rsidRDefault="0056772A" w:rsidP="00DF7C5E">
      <w:pPr>
        <w:pStyle w:val="Styl5"/>
      </w:pPr>
      <w:r w:rsidRPr="0056772A">
        <w:rPr>
          <w:lang w:val="en-US"/>
        </w:rPr>
        <w:t>σ</w:t>
      </w:r>
      <w:r>
        <w:tab/>
      </w:r>
      <w:r>
        <w:tab/>
      </w:r>
      <w:r w:rsidR="00DF7C5E">
        <w:tab/>
      </w:r>
      <w:r w:rsidRPr="0056772A">
        <w:t>–</w:t>
      </w:r>
      <w:r>
        <w:tab/>
      </w:r>
      <w:r w:rsidRPr="0056772A">
        <w:t>odchylenie standardowe (zmienność)</w:t>
      </w:r>
    </w:p>
    <w:p w14:paraId="11748F22" w14:textId="77777777" w:rsidR="0056772A" w:rsidRPr="0056772A" w:rsidRDefault="0056772A" w:rsidP="00DF7C5E">
      <w:pPr>
        <w:pStyle w:val="Styl5"/>
      </w:pPr>
    </w:p>
    <w:p w14:paraId="3FA3D275" w14:textId="75CC93AF" w:rsidR="0056772A" w:rsidRPr="0056772A" w:rsidRDefault="0056772A" w:rsidP="00DF7C5E">
      <w:pPr>
        <w:pStyle w:val="Styl5"/>
      </w:pPr>
      <w:r w:rsidRPr="0056772A">
        <w:t>rf</w:t>
      </w:r>
      <w:r>
        <w:tab/>
      </w:r>
      <w:r>
        <w:tab/>
      </w:r>
      <w:r w:rsidR="00DF7C5E">
        <w:tab/>
      </w:r>
      <w:r w:rsidRPr="0056772A">
        <w:t>–</w:t>
      </w:r>
      <w:r>
        <w:tab/>
      </w:r>
      <w:r w:rsidRPr="0056772A">
        <w:t>stopa wolna od ryzyka</w:t>
      </w:r>
    </w:p>
    <w:p w14:paraId="0ACDBACF" w14:textId="5CE8B5F5" w:rsidR="0056772A" w:rsidRPr="0056772A" w:rsidRDefault="0056772A" w:rsidP="00DF7C5E">
      <w:pPr>
        <w:pStyle w:val="Styl5"/>
      </w:pPr>
      <w:r w:rsidRPr="0056772A">
        <w:t>SR</w:t>
      </w:r>
      <w:r>
        <w:tab/>
      </w:r>
      <w:r>
        <w:tab/>
      </w:r>
      <w:r w:rsidR="00DF7C5E">
        <w:tab/>
      </w:r>
      <w:r w:rsidRPr="0056772A">
        <w:t>–</w:t>
      </w:r>
      <w:r>
        <w:tab/>
      </w:r>
      <w:r w:rsidRPr="0056772A">
        <w:t>wskaźnik Sharpe’a (ang. Sharpe Ratio)</w:t>
      </w:r>
    </w:p>
    <w:p w14:paraId="118444AF" w14:textId="491FD2E9" w:rsidR="0056772A" w:rsidRPr="0056772A" w:rsidRDefault="0056772A" w:rsidP="00DF7C5E">
      <w:pPr>
        <w:pStyle w:val="Styl5"/>
        <w:rPr>
          <w:lang w:val="en-US"/>
        </w:rPr>
      </w:pPr>
      <w:r w:rsidRPr="0056772A">
        <w:t>VaR</w:t>
      </w:r>
      <w:r>
        <w:tab/>
      </w:r>
      <w:r w:rsidR="00DF7C5E">
        <w:tab/>
      </w:r>
      <w:r w:rsidRPr="0056772A">
        <w:t>–</w:t>
      </w:r>
      <w:r>
        <w:tab/>
      </w:r>
      <w:r w:rsidRPr="0056772A">
        <w:t xml:space="preserve">wartość zagrożona (ang. </w:t>
      </w:r>
      <w:r w:rsidRPr="0056772A">
        <w:rPr>
          <w:lang w:val="en-US"/>
        </w:rPr>
        <w:t>Value at Risk)</w:t>
      </w:r>
    </w:p>
    <w:p w14:paraId="1A4BAADE" w14:textId="624D4368" w:rsidR="0056772A" w:rsidRPr="0056772A" w:rsidRDefault="0056772A" w:rsidP="00DF7C5E">
      <w:pPr>
        <w:pStyle w:val="Styl5"/>
        <w:rPr>
          <w:lang w:val="en-US"/>
        </w:rPr>
      </w:pPr>
      <w:r w:rsidRPr="0056772A">
        <w:rPr>
          <w:lang w:val="en-US"/>
        </w:rPr>
        <w:t>ES</w:t>
      </w:r>
      <w:r>
        <w:rPr>
          <w:lang w:val="en-US"/>
        </w:rPr>
        <w:tab/>
      </w:r>
      <w:r>
        <w:rPr>
          <w:lang w:val="en-US"/>
        </w:rPr>
        <w:tab/>
      </w:r>
      <w:r w:rsidR="00DF7C5E">
        <w:rPr>
          <w:lang w:val="en-US"/>
        </w:rPr>
        <w:tab/>
      </w:r>
      <w:r w:rsidRPr="0056772A">
        <w:rPr>
          <w:lang w:val="en-US"/>
        </w:rPr>
        <w:t>–</w:t>
      </w:r>
      <w:r>
        <w:rPr>
          <w:lang w:val="en-US"/>
        </w:rPr>
        <w:tab/>
      </w:r>
      <w:r w:rsidRPr="0056772A">
        <w:rPr>
          <w:lang w:val="en-US"/>
        </w:rPr>
        <w:t>oczekiwany niedobór (ang. Expected Shortfall)</w:t>
      </w:r>
    </w:p>
    <w:p w14:paraId="6C01F126" w14:textId="73C832AE" w:rsidR="00FF223F" w:rsidRPr="0056772A" w:rsidRDefault="0056772A" w:rsidP="00DF7C5E">
      <w:pPr>
        <w:pStyle w:val="Styl5"/>
      </w:pPr>
      <w:r w:rsidRPr="0056772A">
        <w:t>MDD</w:t>
      </w:r>
      <w:r>
        <w:tab/>
      </w:r>
      <w:r w:rsidR="00DF7C5E">
        <w:tab/>
      </w:r>
      <w:r w:rsidRPr="0056772A">
        <w:t>–</w:t>
      </w:r>
      <w:r>
        <w:tab/>
      </w:r>
      <w:r w:rsidRPr="0056772A">
        <w:t>maksymalne obsunięcie kapitału (ang. Maximum Drawdown)</w:t>
      </w:r>
    </w:p>
    <w:p w14:paraId="36FFEAC4" w14:textId="12DE21DF" w:rsidR="00EE5022" w:rsidRPr="0056772A" w:rsidRDefault="00EE5022" w:rsidP="00F5375B">
      <w:pPr>
        <w:ind w:left="360"/>
        <w:rPr>
          <w:szCs w:val="20"/>
        </w:rPr>
      </w:pPr>
    </w:p>
    <w:p w14:paraId="6EC6121E" w14:textId="3FB20C40" w:rsidR="00EE5022" w:rsidRPr="0056772A" w:rsidRDefault="00EE5022" w:rsidP="00F5375B">
      <w:pPr>
        <w:ind w:left="360"/>
        <w:rPr>
          <w:szCs w:val="20"/>
        </w:rPr>
      </w:pPr>
    </w:p>
    <w:p w14:paraId="2C8CB6C3" w14:textId="2D4C2391" w:rsidR="00EE5022" w:rsidRPr="0056772A" w:rsidRDefault="00EE5022" w:rsidP="00F5375B">
      <w:pPr>
        <w:ind w:left="360"/>
        <w:rPr>
          <w:szCs w:val="20"/>
        </w:rPr>
      </w:pPr>
    </w:p>
    <w:p w14:paraId="5CFD4B83" w14:textId="7C46D89F" w:rsidR="00EE5022" w:rsidRPr="0056772A" w:rsidRDefault="00EE5022" w:rsidP="00F5375B">
      <w:pPr>
        <w:ind w:left="360"/>
        <w:rPr>
          <w:szCs w:val="20"/>
        </w:rPr>
      </w:pPr>
    </w:p>
    <w:p w14:paraId="44F14B84" w14:textId="77EAD540" w:rsidR="00EE5022" w:rsidRPr="0056772A" w:rsidRDefault="00EE5022" w:rsidP="00F5375B">
      <w:pPr>
        <w:ind w:left="360"/>
        <w:rPr>
          <w:szCs w:val="20"/>
        </w:rPr>
      </w:pPr>
    </w:p>
    <w:p w14:paraId="0703F157" w14:textId="3D4E3819" w:rsidR="00EE5022" w:rsidRPr="0056772A" w:rsidRDefault="00EE5022" w:rsidP="00F5375B">
      <w:pPr>
        <w:ind w:left="360"/>
        <w:rPr>
          <w:szCs w:val="20"/>
        </w:rPr>
      </w:pPr>
    </w:p>
    <w:p w14:paraId="7CCAF856" w14:textId="77777777" w:rsidR="00EE5022" w:rsidRPr="0056772A" w:rsidRDefault="00EE5022" w:rsidP="00F5375B">
      <w:pPr>
        <w:ind w:left="360"/>
        <w:rPr>
          <w:szCs w:val="20"/>
        </w:rPr>
      </w:pPr>
    </w:p>
    <w:p w14:paraId="218D3AF7" w14:textId="77777777" w:rsidR="00FF223F" w:rsidRPr="00D556C8" w:rsidRDefault="00FF223F" w:rsidP="00F5375B">
      <w:pPr>
        <w:ind w:left="360"/>
        <w:rPr>
          <w:sz w:val="20"/>
          <w:szCs w:val="20"/>
          <w:lang w:val="en-US"/>
        </w:rPr>
      </w:pPr>
      <w:r w:rsidRPr="00D556C8">
        <w:rPr>
          <w:sz w:val="20"/>
          <w:szCs w:val="20"/>
          <w:lang w:val="en-US"/>
        </w:rPr>
        <w:t xml:space="preserve">-------- podział strony -------- </w:t>
      </w:r>
    </w:p>
    <w:p w14:paraId="3F924E03" w14:textId="77777777" w:rsidR="0085166C" w:rsidRPr="00D556C8" w:rsidRDefault="0085166C" w:rsidP="00F5375B">
      <w:pPr>
        <w:ind w:left="360"/>
        <w:rPr>
          <w:lang w:val="en-US"/>
        </w:rPr>
      </w:pPr>
    </w:p>
    <w:p w14:paraId="6AC79D9B" w14:textId="77777777" w:rsidR="0085166C" w:rsidRPr="00D556C8" w:rsidRDefault="0085166C" w:rsidP="00F5375B">
      <w:pPr>
        <w:spacing w:after="0" w:line="240" w:lineRule="auto"/>
        <w:ind w:left="360"/>
        <w:rPr>
          <w:rFonts w:ascii="Arial" w:eastAsia="Times New Roman" w:hAnsi="Arial" w:cs="Times New Roman"/>
          <w:kern w:val="0"/>
          <w:sz w:val="20"/>
          <w:szCs w:val="22"/>
          <w:lang w:val="en-US" w:eastAsia="pl-PL"/>
          <w14:ligatures w14:val="none"/>
        </w:rPr>
      </w:pPr>
    </w:p>
    <w:p w14:paraId="3629B2DD" w14:textId="210EB7F9" w:rsidR="0085166C" w:rsidRPr="00D556C8" w:rsidRDefault="0085166C" w:rsidP="00F5375B">
      <w:pPr>
        <w:spacing w:after="0" w:line="360" w:lineRule="auto"/>
        <w:ind w:left="2344"/>
        <w:rPr>
          <w:rFonts w:ascii="Arial" w:eastAsia="Times New Roman" w:hAnsi="Arial" w:cs="Times New Roman"/>
          <w:kern w:val="0"/>
          <w:sz w:val="20"/>
          <w:szCs w:val="20"/>
          <w:lang w:val="en-US" w:eastAsia="pl-PL"/>
          <w14:ligatures w14:val="none"/>
        </w:rPr>
        <w:sectPr w:rsidR="0085166C" w:rsidRPr="00D556C8" w:rsidSect="00661E71">
          <w:headerReference w:type="first" r:id="rId13"/>
          <w:pgSz w:w="11906" w:h="16838"/>
          <w:pgMar w:top="1418" w:right="1418" w:bottom="1418" w:left="1985" w:header="709" w:footer="709" w:gutter="567"/>
          <w:cols w:space="708"/>
          <w:titlePg/>
          <w:docGrid w:linePitch="360"/>
        </w:sectPr>
      </w:pPr>
    </w:p>
    <w:p w14:paraId="7BD2F427" w14:textId="77777777" w:rsidR="00D804E2" w:rsidRPr="003B2D37" w:rsidRDefault="00D804E2" w:rsidP="003B2D37">
      <w:pPr>
        <w:pStyle w:val="Styl3"/>
        <w:rPr>
          <w:rFonts w:eastAsiaTheme="majorEastAsia"/>
        </w:rPr>
      </w:pPr>
      <w:r w:rsidRPr="003B2D37">
        <w:rPr>
          <w:rFonts w:eastAsiaTheme="majorEastAsia"/>
        </w:rPr>
        <w:lastRenderedPageBreak/>
        <w:t>WSTĘP</w:t>
      </w:r>
    </w:p>
    <w:p w14:paraId="66ED7433" w14:textId="79C36669" w:rsidR="00D804E2" w:rsidRPr="003B2D37" w:rsidRDefault="00D804E2" w:rsidP="003B2D37">
      <w:pPr>
        <w:pStyle w:val="tekst"/>
      </w:pPr>
      <w:r w:rsidRPr="003B2D37">
        <w:t>Współczesny rynek kapitałowy, charakteryzujący się dużą dynamiką oraz niepewnością, wymusza na inwestorach stosowanie wyrafinowanych narzędzi i strategii zarządzania portfelem. Kluczowym elementem efektywnego zarządzania aktywami staje się umiejętność właściwego szacowania ryzyka oraz potencjalnej stopy zwrotu. Tradycyjna konstrukcja portfeli oparta wyłącznie na pozycjach długich (</w:t>
      </w:r>
      <w:r w:rsidR="005274CF" w:rsidRPr="003B2D37">
        <w:t xml:space="preserve">ang. </w:t>
      </w:r>
      <w:r w:rsidRPr="003B2D37">
        <w:t>long-only) coraz częściej ustępuje miejsca podejściom dopuszczającym stosowanie krótkiej sprzedaży, pozwalającym na osiąganie lepszych wyników w odmiennych fazach cyklu koniunkturalnego.</w:t>
      </w:r>
      <w:sdt>
        <w:sdtPr>
          <w:id w:val="409819239"/>
          <w:citation/>
        </w:sdtPr>
        <w:sdtContent>
          <w:r w:rsidR="002653B2" w:rsidRPr="003B2D37">
            <w:fldChar w:fldCharType="begin"/>
          </w:r>
          <w:r w:rsidR="00D7036D" w:rsidRPr="003B2D37">
            <w:instrText xml:space="preserve">CITATION Sal24 \l 1045 </w:instrText>
          </w:r>
          <w:r w:rsidR="002653B2" w:rsidRPr="003B2D37">
            <w:fldChar w:fldCharType="separate"/>
          </w:r>
          <w:r w:rsidR="00D7036D" w:rsidRPr="003B2D37">
            <w:t xml:space="preserve"> (Salo, Doumpos, Liesiö i Zopounidis, 2024)</w:t>
          </w:r>
          <w:r w:rsidR="002653B2" w:rsidRPr="003B2D37">
            <w:fldChar w:fldCharType="end"/>
          </w:r>
        </w:sdtContent>
      </w:sdt>
      <w:r w:rsidRPr="003B2D37">
        <w:t xml:space="preserve"> Niniejsz</w:t>
      </w:r>
      <w:r w:rsidR="009B7ED2" w:rsidRPr="003B2D37">
        <w:t>a</w:t>
      </w:r>
      <w:r w:rsidRPr="003B2D37">
        <w:t xml:space="preserve"> </w:t>
      </w:r>
      <w:r w:rsidR="009B7ED2" w:rsidRPr="003B2D37">
        <w:t>praca</w:t>
      </w:r>
      <w:r w:rsidRPr="003B2D37">
        <w:t xml:space="preserve"> ma na celu kompleksową analizę portfela inwestycyjnego opartego o akcje KGHM, PKO BP, PKN Orlen, CD Projekt, LPP oraz Allegro, z wykorzystaniem mechanizmów zarówno pozycji długich, jak i krótkich. Podstawą metodologiczną analizy jest model Markowitza – klasyczny model średniej-wariancji, który umożliwia optymalizację struktury portfela pod kątem minimalizacji ryzyka i maksymalizacji stopy zwrotu.</w:t>
      </w:r>
      <w:sdt>
        <w:sdtPr>
          <w:id w:val="973863308"/>
          <w:citation/>
        </w:sdtPr>
        <w:sdtContent>
          <w:r w:rsidR="002653B2" w:rsidRPr="003B2D37">
            <w:fldChar w:fldCharType="begin"/>
          </w:r>
          <w:r w:rsidR="00D7036D" w:rsidRPr="003B2D37">
            <w:instrText xml:space="preserve">CITATION Sal24 \l 1045 </w:instrText>
          </w:r>
          <w:r w:rsidR="002653B2" w:rsidRPr="003B2D37">
            <w:fldChar w:fldCharType="separate"/>
          </w:r>
          <w:r w:rsidR="00D7036D" w:rsidRPr="003B2D37">
            <w:t xml:space="preserve"> (Salo, Doumpos, Liesiö i Zopounidis, 2024)</w:t>
          </w:r>
          <w:r w:rsidR="002653B2" w:rsidRPr="003B2D37">
            <w:fldChar w:fldCharType="end"/>
          </w:r>
        </w:sdtContent>
      </w:sdt>
    </w:p>
    <w:p w14:paraId="6F36EDE1" w14:textId="21FF22E2" w:rsidR="00F64A0A" w:rsidRPr="003B2D37" w:rsidRDefault="00F64A0A" w:rsidP="003B2D37">
      <w:pPr>
        <w:pStyle w:val="tekst"/>
      </w:pPr>
      <w:r w:rsidRPr="003B2D37">
        <w:t>W dalszej części pracy pomocniczo wyznaczono macierz kowariancji metodą shrinkage (Ledoit–Wolf) w celu oceny stabilności estymacji; opis podejścia przedstawiono w punkcie 2.5 oraz w rozdziale 3 w części dotyczącej estymacji macierzy.</w:t>
      </w:r>
      <w:sdt>
        <w:sdtPr>
          <w:id w:val="898637855"/>
          <w:citation/>
        </w:sdtPr>
        <w:sdtContent>
          <w:r w:rsidR="002653B2" w:rsidRPr="003B2D37">
            <w:fldChar w:fldCharType="begin"/>
          </w:r>
          <w:r w:rsidR="002653B2" w:rsidRPr="003B2D37">
            <w:instrText xml:space="preserve"> CITATION Led20 \l 1045 </w:instrText>
          </w:r>
          <w:r w:rsidR="002653B2" w:rsidRPr="003B2D37">
            <w:fldChar w:fldCharType="separate"/>
          </w:r>
          <w:r w:rsidR="002653B2" w:rsidRPr="003B2D37">
            <w:t xml:space="preserve"> (Ledoit i Wolf, 2020)</w:t>
          </w:r>
          <w:r w:rsidR="002653B2" w:rsidRPr="003B2D37">
            <w:fldChar w:fldCharType="end"/>
          </w:r>
        </w:sdtContent>
      </w:sdt>
    </w:p>
    <w:p w14:paraId="516C7C1C" w14:textId="24D735C8" w:rsidR="00263A05" w:rsidRPr="003B2D37" w:rsidRDefault="00263A05" w:rsidP="003B2D37">
      <w:pPr>
        <w:pStyle w:val="tekst"/>
      </w:pPr>
      <w:r w:rsidRPr="003B2D37">
        <w:t>Rezultaty osiągnięte dzięki zastosowanym metodom badawczym są ujęte w pięciu rozdziałach pracy.</w:t>
      </w:r>
    </w:p>
    <w:p w14:paraId="49E21936" w14:textId="43E2EC0E" w:rsidR="00263A05" w:rsidRPr="003B2D37" w:rsidRDefault="00263A05" w:rsidP="003B2D37">
      <w:pPr>
        <w:pStyle w:val="tekst"/>
      </w:pPr>
      <w:r w:rsidRPr="003B2D37">
        <w:t>W rozdziale pierwszym</w:t>
      </w:r>
      <w:r w:rsidR="000D6061" w:rsidRPr="003B2D37">
        <w:t xml:space="preserve"> (Wstęp)</w:t>
      </w:r>
      <w:r w:rsidRPr="003B2D37">
        <w:t xml:space="preserve"> przedstawiono cel, zakres oraz strukturę pracy, a także zarysowano kontekst funkcjonowania portfeli long-only i long-short na współczesnym rynku kapitałowym.</w:t>
      </w:r>
    </w:p>
    <w:p w14:paraId="01EDFAB2" w14:textId="4FBB27F6" w:rsidR="00263A05" w:rsidRPr="003B2D37" w:rsidRDefault="00263A05" w:rsidP="003B2D37">
      <w:pPr>
        <w:pStyle w:val="tekst"/>
      </w:pPr>
      <w:r w:rsidRPr="003B2D37">
        <w:t>Rozdział drugi ma charakter teoretyczny – omówiono w nim podstawowe pojęcia związane z inwestowaniem, przedstawiono koncepcję portfela Markowitza, strategie long-only i long-short oraz miary oceny efektywności portfela i kontroli ryzyka.</w:t>
      </w:r>
    </w:p>
    <w:p w14:paraId="21B73C7B" w14:textId="528D2CE9" w:rsidR="00263A05" w:rsidRPr="003B2D37" w:rsidRDefault="00263A05" w:rsidP="003B2D37">
      <w:pPr>
        <w:pStyle w:val="tekst"/>
      </w:pPr>
      <w:r w:rsidRPr="003B2D37">
        <w:t>W rozdziale trzecim zaprezentowano procedurę empirycznej budowy portfela opartego na akcjach spółek KGHM, PKO BP, PKN Orlen, CD Projekt, LPP oraz Allegro, opisano źródła danych, sposób estymacji parametrów modelu oraz konstrukcję portfeli long-only i long-short, w tym zastosowanie rolling backtestu.</w:t>
      </w:r>
    </w:p>
    <w:p w14:paraId="0D980EE9" w14:textId="741861DC" w:rsidR="00263A05" w:rsidRPr="003B2D37" w:rsidRDefault="00263A05" w:rsidP="003B2D37">
      <w:pPr>
        <w:pStyle w:val="tekst"/>
      </w:pPr>
      <w:r w:rsidRPr="003B2D37">
        <w:t>Rozdział czwarty zawiera analizę wyników – porównanie wyników portfeli ze sobą oraz z indeksem WIG20, a także jakościową ocenę wpływu sposobu estymacji macierzy kowariancji na własności portfela.</w:t>
      </w:r>
    </w:p>
    <w:p w14:paraId="2365FA4E" w14:textId="1D80AB0E" w:rsidR="00D804E2" w:rsidRPr="003B2D37" w:rsidRDefault="00263A05" w:rsidP="003B2D37">
      <w:pPr>
        <w:pStyle w:val="tekst"/>
      </w:pPr>
      <w:r w:rsidRPr="003B2D37">
        <w:t>W rozdziale piątym przedstawiono podsumowanie pracy, wnioski z przeprowadzonej analizy oraz możliwe kierunki dalszych badań.</w:t>
      </w:r>
    </w:p>
    <w:p w14:paraId="39014D72" w14:textId="1F7C36A6" w:rsidR="004C5B18" w:rsidRPr="003B2D37" w:rsidRDefault="00D804E2" w:rsidP="003B2D37">
      <w:pPr>
        <w:pStyle w:val="Styl3"/>
      </w:pPr>
      <w:r w:rsidRPr="003B2D37">
        <w:lastRenderedPageBreak/>
        <w:t>ZARZĄDZANIE PORTFELEM INWESTYCYJNYM</w:t>
      </w:r>
    </w:p>
    <w:p w14:paraId="287EAD4B" w14:textId="368946A1" w:rsidR="005E491A" w:rsidRPr="00105E01" w:rsidRDefault="005E491A" w:rsidP="00034937">
      <w:pPr>
        <w:pStyle w:val="tekst"/>
      </w:pPr>
      <w:r w:rsidRPr="00105E01">
        <w:t>Rozdział drugi stanowi teoretyczne wprowadzenie do procesu zarządzania portfelem inwestycyjnym. Zdefiniowano w nim podstawowe pojęcia, takie jak inwestycja, portfel inwestycyjny, ryzyko i stopa zwrotu, przedstawiono wybrane strategie inwestycyjne (m.in. strategie typu long-only i long-short) oraz omówiono podstawy teorii portfela Markowitza. W</w:t>
      </w:r>
      <w:r w:rsidR="007C4B53" w:rsidRPr="00105E01">
        <w:t> </w:t>
      </w:r>
      <w:r w:rsidRPr="00105E01">
        <w:t>dalszej części rozdziału opisano stosowane w pracy miary efektywności portfela oraz zagadnienia związane z kontrolą ryzyka</w:t>
      </w:r>
      <w:r w:rsidR="00105E01">
        <w:t>.</w:t>
      </w:r>
    </w:p>
    <w:p w14:paraId="06E86BDF" w14:textId="1FBE38A2" w:rsidR="00C914E7" w:rsidRPr="003B40CF" w:rsidRDefault="00C914E7" w:rsidP="003B40CF">
      <w:pPr>
        <w:pStyle w:val="Styl1"/>
      </w:pPr>
      <w:r w:rsidRPr="003B40CF">
        <w:t xml:space="preserve">Strategie </w:t>
      </w:r>
      <w:commentRangeStart w:id="5"/>
      <w:r w:rsidRPr="003B40CF">
        <w:t>inwestycyjne</w:t>
      </w:r>
      <w:commentRangeEnd w:id="5"/>
      <w:r w:rsidR="003B40CF" w:rsidRPr="003B40CF">
        <w:rPr>
          <w:rStyle w:val="Odwoaniedokomentarza"/>
          <w:sz w:val="20"/>
          <w:szCs w:val="26"/>
        </w:rPr>
        <w:commentReference w:id="5"/>
      </w:r>
    </w:p>
    <w:p w14:paraId="1D7F09A1" w14:textId="2646AC33" w:rsidR="0099603A" w:rsidRPr="003B40CF" w:rsidRDefault="0099603A" w:rsidP="003B40CF">
      <w:pPr>
        <w:pStyle w:val="tekst"/>
      </w:pPr>
      <w:bookmarkStart w:id="6" w:name="_Hlk216184123"/>
      <w:r w:rsidRPr="003B40CF">
        <w:t>Strategia inwestycyjna to uporządkowany zbiór zasad, według których inwestor podejmuje decyzje dotyczące doboru aktywów, momentu zawierania transakcji oraz poziomu akceptowanego ryzyka.</w:t>
      </w:r>
      <w:sdt>
        <w:sdtPr>
          <w:id w:val="1632448833"/>
          <w:citation/>
        </w:sdtPr>
        <w:sdtContent>
          <w:r w:rsidR="00536EDF" w:rsidRPr="003B40CF">
            <w:fldChar w:fldCharType="begin"/>
          </w:r>
          <w:r w:rsidR="00D7036D" w:rsidRPr="003B40CF">
            <w:instrText xml:space="preserve">CITATION Sal24 \l 1045 </w:instrText>
          </w:r>
          <w:r w:rsidR="00536EDF" w:rsidRPr="003B40CF">
            <w:fldChar w:fldCharType="separate"/>
          </w:r>
          <w:r w:rsidR="00D7036D" w:rsidRPr="003B40CF">
            <w:t xml:space="preserve"> (Salo, Doumpos, Liesiö i Zopounidis, 2024)</w:t>
          </w:r>
          <w:r w:rsidR="00536EDF" w:rsidRPr="003B40CF">
            <w:fldChar w:fldCharType="end"/>
          </w:r>
        </w:sdtContent>
      </w:sdt>
      <w:r w:rsidRPr="003B40CF">
        <w:t xml:space="preserve"> Na rynku akcji strategia określa m.in. które spółki włączyć do portfela</w:t>
      </w:r>
      <w:r w:rsidR="003247AA" w:rsidRPr="003B40CF">
        <w:t>, </w:t>
      </w:r>
      <w:commentRangeStart w:id="7"/>
      <w:commentRangeStart w:id="8"/>
      <w:r w:rsidRPr="003B40CF">
        <w:t>w</w:t>
      </w:r>
      <w:commentRangeEnd w:id="7"/>
      <w:r w:rsidR="003B40CF" w:rsidRPr="003B40CF">
        <w:rPr>
          <w:rStyle w:val="Odwoaniedokomentarza"/>
          <w:sz w:val="20"/>
          <w:szCs w:val="22"/>
        </w:rPr>
        <w:commentReference w:id="7"/>
      </w:r>
      <w:commentRangeEnd w:id="8"/>
      <w:r w:rsidR="00C2192F" w:rsidRPr="003B40CF">
        <w:rPr>
          <w:rStyle w:val="Odwoaniedokomentarza"/>
          <w:sz w:val="20"/>
          <w:szCs w:val="22"/>
        </w:rPr>
        <w:commentReference w:id="8"/>
      </w:r>
      <w:r w:rsidR="003247AA" w:rsidRPr="003B40CF">
        <w:t> </w:t>
      </w:r>
      <w:r w:rsidRPr="003B40CF">
        <w:t xml:space="preserve"> jakich proporcjach oraz przy jakim horyzoncie czasowym utrzymywać zajęte pozycje. Dobrze zdefiniowana strategia pozwala ograniczyć przypadkowość decyzji, uporządkować proces inwestycyjny oraz powiązać oczekiwaną stopę zwrotu z poziomem ponoszonego ryzyka.</w:t>
      </w:r>
      <w:sdt>
        <w:sdtPr>
          <w:id w:val="-982931783"/>
          <w:citation/>
        </w:sdtPr>
        <w:sdtContent>
          <w:r w:rsidR="00B70E58" w:rsidRPr="003B40CF">
            <w:fldChar w:fldCharType="begin"/>
          </w:r>
          <w:r w:rsidR="00D7036D" w:rsidRPr="003B40CF">
            <w:instrText xml:space="preserve">CITATION Sal24 \l 1045 </w:instrText>
          </w:r>
          <w:r w:rsidR="00B70E58" w:rsidRPr="003B40CF">
            <w:fldChar w:fldCharType="separate"/>
          </w:r>
          <w:r w:rsidR="00D7036D" w:rsidRPr="003B40CF">
            <w:t xml:space="preserve"> (Salo, Doumpos, Liesiö i Zopounidis, 2024)</w:t>
          </w:r>
          <w:r w:rsidR="00B70E58" w:rsidRPr="003B40CF">
            <w:fldChar w:fldCharType="end"/>
          </w:r>
        </w:sdtContent>
      </w:sdt>
    </w:p>
    <w:bookmarkEnd w:id="6"/>
    <w:p w14:paraId="2DA12122" w14:textId="3ED8A2E6" w:rsidR="0099603A" w:rsidRPr="003B40CF" w:rsidRDefault="0099603A" w:rsidP="003B40CF">
      <w:pPr>
        <w:pStyle w:val="tekst"/>
      </w:pPr>
      <w:commentRangeStart w:id="9"/>
      <w:r w:rsidRPr="003B40CF">
        <w:t xml:space="preserve">W literaturze </w:t>
      </w:r>
      <w:commentRangeEnd w:id="9"/>
      <w:r w:rsidR="003B40CF" w:rsidRPr="003B40CF">
        <w:rPr>
          <w:rStyle w:val="Odwoaniedokomentarza"/>
          <w:sz w:val="20"/>
          <w:szCs w:val="22"/>
        </w:rPr>
        <w:commentReference w:id="9"/>
      </w:r>
      <w:r w:rsidRPr="003B40CF">
        <w:t>i praktyce rynkowej wyróżnia się wiele kryteriów podziału strategii inwestycyjnych.</w:t>
      </w:r>
      <w:sdt>
        <w:sdtPr>
          <w:id w:val="265737683"/>
          <w:citation/>
        </w:sdtPr>
        <w:sdtContent>
          <w:r w:rsidR="00A35C95" w:rsidRPr="003B40CF">
            <w:fldChar w:fldCharType="begin"/>
          </w:r>
          <w:r w:rsidR="00D7036D" w:rsidRPr="003B40CF">
            <w:instrText xml:space="preserve">CITATION Sal24 \l 1045 </w:instrText>
          </w:r>
          <w:r w:rsidR="00A35C95" w:rsidRPr="003B40CF">
            <w:fldChar w:fldCharType="separate"/>
          </w:r>
          <w:r w:rsidR="00D7036D" w:rsidRPr="003B40CF">
            <w:t xml:space="preserve"> (Salo, Doumpos, Liesiö i Zopounidis, 2024)</w:t>
          </w:r>
          <w:r w:rsidR="00A35C95" w:rsidRPr="003B40CF">
            <w:fldChar w:fldCharType="end"/>
          </w:r>
        </w:sdtContent>
      </w:sdt>
      <w:r w:rsidRPr="003B40CF">
        <w:t xml:space="preserve"> Jednym z podstawowych jest rozróżnienie na inwestowanie aktywne i pasywne. Inwestowanie aktywne zakłada dążenie do pobicia rynku poprzez selekcję spółek oraz timing transakcji. Inwestor aktywny stosuje podejście „hands-on”: regularnie analizuje dane finansowe spółek, sytuację rynkową i makroekonomiczną, reaguje na informacje płynące z otoczenia, a</w:t>
      </w:r>
      <w:r w:rsidR="007C4B53" w:rsidRPr="003B40CF">
        <w:t> </w:t>
      </w:r>
      <w:r w:rsidRPr="003B40CF">
        <w:t>strukturę portfela dostosowuje do aktualnych warunków. Z reguły oznacza to większą liczbę transakcji, wyższe koszty obrotu oraz konieczność posiadania specjalistycznej wiedzy</w:t>
      </w:r>
      <w:r w:rsidR="0071016B" w:rsidRPr="003B40CF">
        <w:t>.</w:t>
      </w:r>
      <w:r w:rsidRPr="003B40CF">
        <w:t xml:space="preserve"> Z kolei inwestowanie pasywne opiera się na długoterminowym podejściu „kup i trzymaj”. Inwestor nie stara się systematycznie pokonać rynku, lecz dąży do odtworzenia zachowania wybranego indeksu rynkowego (np. poprzez fundusze indeksowe lub ETF-y). W takim podejściu portfel jest relatywnie rzadko modyfikowany, a liczba transakcji ograniczona.</w:t>
      </w:r>
      <w:r w:rsidR="003E56BC" w:rsidRPr="003B40CF">
        <w:t xml:space="preserve"> </w:t>
      </w:r>
      <w:sdt>
        <w:sdtPr>
          <w:id w:val="-163472489"/>
          <w:citation/>
        </w:sdtPr>
        <w:sdtContent>
          <w:r w:rsidR="003E56BC" w:rsidRPr="003B40CF">
            <w:fldChar w:fldCharType="begin"/>
          </w:r>
          <w:r w:rsidR="003E56BC" w:rsidRPr="003B40CF">
            <w:rPr>
              <w:rStyle w:val="normalnyZnak"/>
              <w:rFonts w:eastAsiaTheme="minorHAnsi" w:cs="Times New Roman"/>
              <w:szCs w:val="22"/>
            </w:rPr>
            <w:instrText xml:space="preserve"> CITATION Nar25 \l 1045 </w:instrText>
          </w:r>
          <w:r w:rsidR="003E56BC" w:rsidRPr="003B40CF">
            <w:fldChar w:fldCharType="separate"/>
          </w:r>
          <w:r w:rsidR="00B70E58" w:rsidRPr="003B40CF">
            <w:t>(Narodowy Bank Polski, 2025)</w:t>
          </w:r>
          <w:r w:rsidR="003E56BC" w:rsidRPr="003B40CF">
            <w:fldChar w:fldCharType="end"/>
          </w:r>
        </w:sdtContent>
      </w:sdt>
    </w:p>
    <w:p w14:paraId="1980DF4F" w14:textId="77777777" w:rsidR="0099603A" w:rsidRPr="003B40CF" w:rsidRDefault="0099603A" w:rsidP="003B40CF">
      <w:pPr>
        <w:pStyle w:val="tekst"/>
      </w:pPr>
      <w:r w:rsidRPr="003B40CF">
        <w:t>Strategia pasywna charakteryzuje się zwykle niższymi kosztami, większą przejrzystością oraz prostszym procesem decyzyjnym, kosztem rezygnacji z potencjalnej „nadwyżkowej” stopy zwrotu ponad rynek.</w:t>
      </w:r>
    </w:p>
    <w:p w14:paraId="000397E5" w14:textId="77777777" w:rsidR="0099603A" w:rsidRPr="003B40CF" w:rsidRDefault="0099603A" w:rsidP="003B40CF">
      <w:pPr>
        <w:pStyle w:val="Styl2"/>
      </w:pPr>
      <w:r w:rsidRPr="003B40CF">
        <w:t>Podział na strategie long-only i long-short</w:t>
      </w:r>
    </w:p>
    <w:p w14:paraId="24E6D687" w14:textId="08211BDC" w:rsidR="0099603A" w:rsidRPr="003B40CF" w:rsidRDefault="0099603A" w:rsidP="003B40CF">
      <w:pPr>
        <w:pStyle w:val="tekst"/>
      </w:pPr>
      <w:r w:rsidRPr="003B40CF">
        <w:t>Innym ważnym kryterium klasyfikacji strategii jest podział na strategię long-only oraz strategię long-short.</w:t>
      </w:r>
      <w:sdt>
        <w:sdtPr>
          <w:id w:val="-836770845"/>
          <w:citation/>
        </w:sdtPr>
        <w:sdtContent>
          <w:r w:rsidR="00A35C95" w:rsidRPr="003B40CF">
            <w:fldChar w:fldCharType="begin"/>
          </w:r>
          <w:r w:rsidR="00D7036D" w:rsidRPr="003B40CF">
            <w:instrText xml:space="preserve">CITATION Sal24 \l 1045 </w:instrText>
          </w:r>
          <w:r w:rsidR="00A35C95" w:rsidRPr="003B40CF">
            <w:fldChar w:fldCharType="separate"/>
          </w:r>
          <w:r w:rsidR="00D7036D" w:rsidRPr="003B40CF">
            <w:t xml:space="preserve"> (Salo, Doumpos, Liesiö i Zopounidis, 2024)</w:t>
          </w:r>
          <w:r w:rsidR="00A35C95" w:rsidRPr="003B40CF">
            <w:fldChar w:fldCharType="end"/>
          </w:r>
        </w:sdtContent>
      </w:sdt>
      <w:r w:rsidRPr="003B40CF">
        <w:t xml:space="preserve"> W klasycznym podejściu long-only inwestor zajmuje wyłącznie pozycje długie w akcjach, czyli kupuje papiery wartościowe z nadzieją na wzrost ich ceny w przyszłości.</w:t>
      </w:r>
      <w:sdt>
        <w:sdtPr>
          <w:id w:val="-1390495395"/>
          <w:citation/>
        </w:sdtPr>
        <w:sdtContent>
          <w:r w:rsidR="00E93411" w:rsidRPr="003B40CF">
            <w:fldChar w:fldCharType="begin"/>
          </w:r>
          <w:r w:rsidR="00E93411" w:rsidRPr="003B40CF">
            <w:instrText xml:space="preserve"> CITATION Bod24 \l 1045 </w:instrText>
          </w:r>
          <w:r w:rsidR="00E93411" w:rsidRPr="003B40CF">
            <w:fldChar w:fldCharType="separate"/>
          </w:r>
          <w:r w:rsidR="00E93411" w:rsidRPr="003B40CF">
            <w:t xml:space="preserve"> (Bodnar, Bodnar i Niklasson, 2024)</w:t>
          </w:r>
          <w:r w:rsidR="00E93411" w:rsidRPr="003B40CF">
            <w:fldChar w:fldCharType="end"/>
          </w:r>
        </w:sdtContent>
      </w:sdt>
      <w:r w:rsidRPr="003B40CF">
        <w:t xml:space="preserve"> Portfel long-only jest w pełni dodatnio skorelowany z koniunkturą rynkową – w okresach hossy przynosi relatywnie dobre wyniki, natomiast w okresach spadków wartości indeksów z reguły doświadcza istotnych strat.</w:t>
      </w:r>
    </w:p>
    <w:p w14:paraId="6C42004C" w14:textId="7F5F5230" w:rsidR="0099603A" w:rsidRPr="003B40CF" w:rsidRDefault="0099603A" w:rsidP="003B40CF">
      <w:pPr>
        <w:pStyle w:val="tekst"/>
      </w:pPr>
      <w:r w:rsidRPr="003B40CF">
        <w:lastRenderedPageBreak/>
        <w:t>Strategie long-short rozszerzają możliwości inwestora, dopuszczając jednoczesne zajmowanie pozycji długich i krótkich w akcjach.</w:t>
      </w:r>
      <w:sdt>
        <w:sdtPr>
          <w:id w:val="337666410"/>
          <w:citation/>
        </w:sdtPr>
        <w:sdtContent>
          <w:r w:rsidR="00A36291" w:rsidRPr="003B40CF">
            <w:fldChar w:fldCharType="begin"/>
          </w:r>
          <w:r w:rsidR="00D7036D" w:rsidRPr="003B40CF">
            <w:instrText xml:space="preserve">CITATION Sal24 \l 1045 </w:instrText>
          </w:r>
          <w:r w:rsidR="00A36291" w:rsidRPr="003B40CF">
            <w:fldChar w:fldCharType="separate"/>
          </w:r>
          <w:r w:rsidR="00D7036D" w:rsidRPr="003B40CF">
            <w:t xml:space="preserve"> (Salo, Doumpos, Liesiö i Zopounidis, 2024)</w:t>
          </w:r>
          <w:r w:rsidR="00A36291" w:rsidRPr="003B40CF">
            <w:fldChar w:fldCharType="end"/>
          </w:r>
        </w:sdtContent>
      </w:sdt>
      <w:r w:rsidRPr="003B40CF">
        <w:t xml:space="preserve"> W takim ujęciu inwestor kupuje (zajmuje pozycję długą) akcje, które uważa za niedowartościowane, oraz sprzedaje krótko (shortuje) akcje uznane za przewartościowane. Pozwala to czerpać potencjalne zyski zarówno z akcji rosnących, jak i</w:t>
      </w:r>
      <w:r w:rsidR="007C4B53" w:rsidRPr="003B40CF">
        <w:t> </w:t>
      </w:r>
      <w:r w:rsidRPr="003B40CF">
        <w:t>spadających. Dodatkowo, odpowiedni dobór proporcji pozycji długich i krótkich umożliwia ograniczenie ogólnej ekspozycji portfela na ryzyko rynkowe, co jest szczególnie istotne w</w:t>
      </w:r>
      <w:r w:rsidR="00112C45" w:rsidRPr="003B40CF">
        <w:t> </w:t>
      </w:r>
      <w:r w:rsidRPr="003B40CF">
        <w:t>warunkach wysokiej zmienności.</w:t>
      </w:r>
    </w:p>
    <w:p w14:paraId="3B12514E" w14:textId="49F17A1D" w:rsidR="0099603A" w:rsidRPr="003B40CF" w:rsidRDefault="0099603A" w:rsidP="003B40CF">
      <w:pPr>
        <w:pStyle w:val="Styl1"/>
      </w:pPr>
      <w:r w:rsidRPr="003B40CF">
        <w:t>Budowa portfela inwestycyjnego</w:t>
      </w:r>
    </w:p>
    <w:p w14:paraId="6391C177" w14:textId="1B3D14B7" w:rsidR="003247AA" w:rsidRPr="00575942" w:rsidRDefault="003247AA" w:rsidP="00034937">
      <w:pPr>
        <w:pStyle w:val="tekst"/>
      </w:pPr>
      <w:r w:rsidRPr="00575942">
        <w:t>Budowa portfela inwestycyjnego polega na takim doborze i ważeniu poszczególnych aktywów, aby uzyskać pożądany kompromis pomiędzy oczekiwaną stopą zwrotu a poziomem ryzyka.</w:t>
      </w:r>
      <w:sdt>
        <w:sdtPr>
          <w:id w:val="1790695193"/>
          <w:citation/>
        </w:sdtPr>
        <w:sdtContent>
          <w:r w:rsidR="00A36291">
            <w:fldChar w:fldCharType="begin"/>
          </w:r>
          <w:r w:rsidR="00D7036D">
            <w:instrText xml:space="preserve">CITATION Sal24 \l 1045 </w:instrText>
          </w:r>
          <w:r w:rsidR="00A36291">
            <w:fldChar w:fldCharType="separate"/>
          </w:r>
          <w:r w:rsidR="00D7036D">
            <w:rPr>
              <w:noProof/>
            </w:rPr>
            <w:t xml:space="preserve"> </w:t>
          </w:r>
          <w:r w:rsidR="00D7036D" w:rsidRPr="00D7036D">
            <w:rPr>
              <w:noProof/>
            </w:rPr>
            <w:t>(Salo, Doumpos, Liesiö i Zopounidis, 2024)</w:t>
          </w:r>
          <w:r w:rsidR="00A36291">
            <w:fldChar w:fldCharType="end"/>
          </w:r>
        </w:sdtContent>
      </w:sdt>
      <w:r w:rsidRPr="00575942">
        <w:t xml:space="preserve"> Kluczową rolę odgrywa tu dywersyfikacja, rozumiana jako rozłożenie kapitału na kilka instrumentów, których zachowanie w czasie nie jest idealnie skorelowane. Dzięki temu możliwe jest obniżenie zmienności całego portfela bez konieczności proporcjonalnego ograniczania oczekiwanej stopy zwrotu.</w:t>
      </w:r>
    </w:p>
    <w:p w14:paraId="6CB87B3C" w14:textId="719314D6" w:rsidR="00686E32" w:rsidRDefault="003247AA" w:rsidP="00034937">
      <w:pPr>
        <w:pStyle w:val="tekst"/>
      </w:pPr>
      <w:r w:rsidRPr="00575942">
        <w:t>W formalnym ujęciu portfel można zapisać jako wektor wag</w:t>
      </w:r>
      <w:r w:rsidR="00456948">
        <w:t xml:space="preserve"> (wzór 2.1):</w:t>
      </w:r>
    </w:p>
    <w:p w14:paraId="0A06CF18" w14:textId="3B90E54F" w:rsidR="00686E32" w:rsidRDefault="00000000" w:rsidP="003B40CF">
      <w:pPr>
        <w:pStyle w:val="tekst"/>
        <w:jc w:val="right"/>
      </w:pPr>
      <m:oMath>
        <m:sSub>
          <m:sSubPr>
            <m:ctrlPr>
              <w:rPr>
                <w:rFonts w:ascii="Cambria Math" w:hAnsi="Cambria Math"/>
              </w:rPr>
            </m:ctrlPr>
          </m:sSubPr>
          <m:e>
            <m:r>
              <w:rPr>
                <w:rFonts w:ascii="Cambria Math" w:hAnsi="Cambria Math"/>
              </w:rPr>
              <m:t>w</m:t>
            </m:r>
            <m:r>
              <m:rPr>
                <m:sty m:val="p"/>
              </m:rPr>
              <w:rPr>
                <w:rFonts w:ascii="Cambria Math" w:hAnsi="Cambria Math"/>
              </w:rPr>
              <m:t>=(</m:t>
            </m:r>
            <m:r>
              <w:rPr>
                <w:rFonts w:ascii="Cambria Math" w:hAnsi="Cambria Math"/>
              </w:rPr>
              <m:t>w</m:t>
            </m:r>
            <m:r>
              <m:rPr>
                <m:sty m:val="p"/>
              </m:rPr>
              <w:rPr>
                <w:rFonts w:ascii="Cambria Math" w:hAnsi="Cambria Math"/>
              </w:rPr>
              <m:t>1​,</m:t>
            </m:r>
            <m:r>
              <w:rPr>
                <w:rFonts w:ascii="Cambria Math" w:hAnsi="Cambria Math"/>
              </w:rPr>
              <m:t>w</m:t>
            </m:r>
            <m:r>
              <m:rPr>
                <m:sty m:val="p"/>
              </m:rPr>
              <w:rPr>
                <w:rFonts w:ascii="Cambria Math" w:hAnsi="Cambria Math"/>
              </w:rPr>
              <m:t>2​,…,</m:t>
            </m:r>
            <m:r>
              <w:rPr>
                <w:rFonts w:ascii="Cambria Math" w:hAnsi="Cambria Math"/>
              </w:rPr>
              <m:t>wn</m:t>
            </m:r>
            <m:r>
              <m:rPr>
                <m:sty m:val="p"/>
              </m:rPr>
              <w:rPr>
                <w:rFonts w:ascii="Cambria Math" w:hAnsi="Cambria Math"/>
              </w:rPr>
              <m:t>​)</m:t>
            </m:r>
            <m:r>
              <w:rPr>
                <w:rFonts w:ascii="Cambria Math" w:hAnsi="Cambria Math"/>
              </w:rPr>
              <m:t>T</m:t>
            </m:r>
          </m:e>
          <m:sub>
            <m:r>
              <w:rPr>
                <w:rFonts w:ascii="Cambria Math" w:hAnsi="Cambria Math"/>
              </w:rPr>
              <m:t>i</m:t>
            </m:r>
          </m:sub>
        </m:sSub>
      </m:oMath>
      <w:r w:rsidR="005008E0" w:rsidRPr="00575942">
        <w:t xml:space="preserve">, </w:t>
      </w:r>
      <w:r w:rsidR="00456948">
        <w:tab/>
      </w:r>
      <w:r w:rsidR="00456948">
        <w:tab/>
      </w:r>
      <w:r w:rsidR="00456948">
        <w:tab/>
      </w:r>
      <w:r w:rsidR="00456948">
        <w:tab/>
      </w:r>
      <w:r w:rsidR="00456948">
        <w:tab/>
      </w:r>
      <w:r w:rsidR="00456948">
        <w:rPr>
          <w:rFonts w:eastAsiaTheme="minorEastAsia" w:cs="Arial"/>
          <w:szCs w:val="20"/>
        </w:rPr>
        <w:t>(2.1)</w:t>
      </w:r>
    </w:p>
    <w:p w14:paraId="31DDF990" w14:textId="77777777" w:rsidR="00686E32" w:rsidRDefault="005008E0" w:rsidP="00034937">
      <w:pPr>
        <w:pStyle w:val="tekst"/>
      </w:pPr>
      <w:r w:rsidRPr="00575942">
        <w:t xml:space="preserve">gdzie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oMath>
      <w:r w:rsidRPr="00575942">
        <w:t xml:space="preserve">oznacza udział i-tego aktywa w wartości portfela, a </w:t>
      </w:r>
      <m:oMath>
        <m:r>
          <w:rPr>
            <w:rFonts w:ascii="Cambria Math" w:hAnsi="Cambria Math"/>
          </w:rPr>
          <m:t>n</m:t>
        </m:r>
        <m:r>
          <m:rPr>
            <m:sty m:val="p"/>
          </m:rPr>
          <w:rPr>
            <w:rFonts w:ascii="Cambria Math" w:hAnsi="Cambria Math"/>
          </w:rPr>
          <m:t xml:space="preserve"> </m:t>
        </m:r>
      </m:oMath>
      <w:r w:rsidRPr="00575942">
        <w:t xml:space="preserve">liczbę instrumentów. Standardowo przyjmuje się warunek </w:t>
      </w:r>
      <m:oMath>
        <m:nary>
          <m:naryPr>
            <m:chr m:val="∑"/>
            <m:limLoc m:val="subSup"/>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=1</m:t>
        </m:r>
      </m:oMath>
      <w:r w:rsidRPr="00575942">
        <w:t>.</w:t>
      </w:r>
      <w:r w:rsidR="003247AA" w:rsidRPr="00575942">
        <w:t xml:space="preserve"> </w:t>
      </w:r>
    </w:p>
    <w:p w14:paraId="69B7DBF4" w14:textId="23937F42" w:rsidR="003247AA" w:rsidRPr="00575942" w:rsidRDefault="003247AA" w:rsidP="00034937">
      <w:pPr>
        <w:pStyle w:val="tekst"/>
      </w:pPr>
      <w:r w:rsidRPr="00575942">
        <w:t xml:space="preserve">W strategiach long-only dodatkowo obowiązuje ograniczenie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≥0</m:t>
        </m:r>
      </m:oMath>
      <w:r w:rsidRPr="00575942">
        <w:t>, co oznacza brak krótkiej sprzedaży.</w:t>
      </w:r>
      <w:sdt>
        <w:sdtPr>
          <w:id w:val="1369030733"/>
          <w:citation/>
        </w:sdtPr>
        <w:sdtContent>
          <w:r w:rsidR="00A36291">
            <w:fldChar w:fldCharType="begin"/>
          </w:r>
          <w:r w:rsidR="00A36291">
            <w:instrText xml:space="preserve"> CITATION Bod24 \l 1045 </w:instrText>
          </w:r>
          <w:r w:rsidR="00A36291">
            <w:fldChar w:fldCharType="separate"/>
          </w:r>
          <w:r w:rsidR="00A36291">
            <w:rPr>
              <w:noProof/>
            </w:rPr>
            <w:t xml:space="preserve"> </w:t>
          </w:r>
          <w:r w:rsidR="00A36291" w:rsidRPr="00A36291">
            <w:rPr>
              <w:noProof/>
            </w:rPr>
            <w:t>(Bodnar, Bodnar i Niklasson, 2024)</w:t>
          </w:r>
          <w:r w:rsidR="00A36291">
            <w:fldChar w:fldCharType="end"/>
          </w:r>
        </w:sdtContent>
      </w:sdt>
      <w:r w:rsidRPr="00575942">
        <w:t xml:space="preserve"> W strategiach long-short dopuszcza się wagi ujemne (pozycje krótkie), przy zachowaniu sumy wag równej jedności, co pozwala na bardziej elastyczne kształtowanie ekspozycji na rynek.</w:t>
      </w:r>
      <w:sdt>
        <w:sdtPr>
          <w:id w:val="1614398422"/>
          <w:citation/>
        </w:sdtPr>
        <w:sdtContent>
          <w:r w:rsidR="00A36291">
            <w:fldChar w:fldCharType="begin"/>
          </w:r>
          <w:r w:rsidR="00A36291">
            <w:instrText xml:space="preserve"> CITATION Bod24 \l 1045 </w:instrText>
          </w:r>
          <w:r w:rsidR="00A36291">
            <w:fldChar w:fldCharType="separate"/>
          </w:r>
          <w:r w:rsidR="00A36291">
            <w:rPr>
              <w:noProof/>
            </w:rPr>
            <w:t xml:space="preserve"> </w:t>
          </w:r>
          <w:r w:rsidR="00A36291" w:rsidRPr="00A36291">
            <w:rPr>
              <w:noProof/>
            </w:rPr>
            <w:t>(Bodnar, Bodnar i Niklasson, 2024)</w:t>
          </w:r>
          <w:r w:rsidR="00A36291">
            <w:fldChar w:fldCharType="end"/>
          </w:r>
        </w:sdtContent>
      </w:sdt>
    </w:p>
    <w:p w14:paraId="4D7E04CB" w14:textId="4E34455D" w:rsidR="003247AA" w:rsidRPr="00575942" w:rsidRDefault="003247AA" w:rsidP="00034937">
      <w:pPr>
        <w:pStyle w:val="tekst"/>
      </w:pPr>
      <w:r w:rsidRPr="00575942">
        <w:t>Oczekiwana stopa zwrotu portfela jest zwykle definiowana jako kombinacja liniowa oczekiwanych stóp zwrotu poszczególnych aktywów</w:t>
      </w:r>
      <w:r w:rsidR="00F1485B">
        <w:t xml:space="preserve"> (wzór 2.2)</w:t>
      </w:r>
      <w:r w:rsidRPr="00575942">
        <w:t>:</w:t>
      </w:r>
    </w:p>
    <w:p w14:paraId="768AC1D3" w14:textId="4CB6A006" w:rsidR="003247AA" w:rsidRPr="003247AA" w:rsidRDefault="003247AA" w:rsidP="003B40CF">
      <w:pPr>
        <w:pStyle w:val="tekst"/>
        <w:jc w:val="right"/>
        <w:rPr>
          <w:rFonts w:cs="Arial"/>
          <w:szCs w:val="20"/>
        </w:rPr>
      </w:pPr>
      <m:oMath>
        <m:r>
          <w:rPr>
            <w:rFonts w:ascii="Cambria Math" w:hAnsi="Cambria Math" w:cs="Arial"/>
            <w:szCs w:val="20"/>
          </w:rPr>
          <m:t>E(</m:t>
        </m:r>
        <m:sSub>
          <m:sSubPr>
            <m:ctrlPr>
              <w:rPr>
                <w:rFonts w:ascii="Cambria Math" w:hAnsi="Cambria Math" w:cs="Arial"/>
                <w:szCs w:val="20"/>
              </w:rPr>
            </m:ctrlPr>
          </m:sSubPr>
          <m:e>
            <m:r>
              <w:rPr>
                <w:rFonts w:ascii="Cambria Math" w:hAnsi="Cambria Math" w:cs="Arial"/>
                <w:szCs w:val="20"/>
              </w:rPr>
              <m:t>R</m:t>
            </m:r>
          </m:e>
          <m:sub>
            <m:r>
              <w:rPr>
                <w:rFonts w:ascii="Cambria Math" w:hAnsi="Cambria Math" w:cs="Arial"/>
                <w:szCs w:val="20"/>
              </w:rPr>
              <m:t>p</m:t>
            </m:r>
          </m:sub>
        </m:sSub>
        <m:r>
          <w:rPr>
            <w:rFonts w:ascii="Cambria Math" w:hAnsi="Cambria Math" w:cs="Arial"/>
            <w:szCs w:val="20"/>
          </w:rPr>
          <m:t>)=</m:t>
        </m:r>
        <m:nary>
          <m:naryPr>
            <m:chr m:val="∑"/>
            <m:limLoc m:val="undOvr"/>
            <m:grow m:val="1"/>
            <m:ctrlPr>
              <w:rPr>
                <w:rFonts w:ascii="Cambria Math" w:hAnsi="Cambria Math" w:cs="Arial"/>
                <w:szCs w:val="20"/>
              </w:rPr>
            </m:ctrlPr>
          </m:naryPr>
          <m:sub>
            <m:r>
              <w:rPr>
                <w:rFonts w:ascii="Cambria Math" w:hAnsi="Cambria Math" w:cs="Arial"/>
                <w:szCs w:val="20"/>
              </w:rPr>
              <m:t>i=1</m:t>
            </m:r>
          </m:sub>
          <m:sup>
            <m:r>
              <w:rPr>
                <w:rFonts w:ascii="Cambria Math" w:hAnsi="Cambria Math" w:cs="Arial"/>
                <w:szCs w:val="20"/>
              </w:rPr>
              <m:t>n</m:t>
            </m:r>
          </m:sup>
          <m:e>
            <m:sSub>
              <m:sSubPr>
                <m:ctrlPr>
                  <w:rPr>
                    <w:rFonts w:ascii="Cambria Math" w:hAnsi="Cambria Math" w:cs="Arial"/>
                    <w:szCs w:val="20"/>
                  </w:rPr>
                </m:ctrlPr>
              </m:sSubPr>
              <m:e>
                <m:r>
                  <w:rPr>
                    <w:rFonts w:ascii="Cambria Math" w:hAnsi="Cambria Math" w:cs="Arial"/>
                    <w:szCs w:val="20"/>
                  </w:rPr>
                  <m:t>w</m:t>
                </m:r>
              </m:e>
              <m:sub>
                <m:r>
                  <w:rPr>
                    <w:rFonts w:ascii="Cambria Math" w:hAnsi="Cambria Math" w:cs="Arial"/>
                    <w:szCs w:val="20"/>
                  </w:rPr>
                  <m:t>i</m:t>
                </m:r>
              </m:sub>
            </m:sSub>
          </m:e>
        </m:nary>
        <m:r>
          <m:rPr>
            <m:nor/>
          </m:rPr>
          <w:rPr>
            <w:rFonts w:cs="Arial"/>
            <w:szCs w:val="20"/>
          </w:rPr>
          <m:t> </m:t>
        </m:r>
        <m:r>
          <w:rPr>
            <w:rFonts w:ascii="Cambria Math" w:hAnsi="Cambria Math" w:cs="Arial"/>
            <w:szCs w:val="20"/>
          </w:rPr>
          <m:t>E(</m:t>
        </m:r>
        <m:sSub>
          <m:sSubPr>
            <m:ctrlPr>
              <w:rPr>
                <w:rFonts w:ascii="Cambria Math" w:hAnsi="Cambria Math" w:cs="Arial"/>
                <w:szCs w:val="20"/>
              </w:rPr>
            </m:ctrlPr>
          </m:sSubPr>
          <m:e>
            <m:r>
              <w:rPr>
                <w:rFonts w:ascii="Cambria Math" w:hAnsi="Cambria Math" w:cs="Arial"/>
                <w:szCs w:val="20"/>
              </w:rPr>
              <m:t>R</m:t>
            </m:r>
          </m:e>
          <m:sub>
            <m:r>
              <w:rPr>
                <w:rFonts w:ascii="Cambria Math" w:hAnsi="Cambria Math" w:cs="Arial"/>
                <w:szCs w:val="20"/>
              </w:rPr>
              <m:t>i</m:t>
            </m:r>
          </m:sub>
        </m:sSub>
        <m:r>
          <w:rPr>
            <w:rFonts w:ascii="Cambria Math" w:hAnsi="Cambria Math" w:cs="Arial"/>
            <w:szCs w:val="20"/>
          </w:rPr>
          <m:t>),</m:t>
        </m:r>
      </m:oMath>
      <w:r w:rsidR="00EB4925">
        <w:rPr>
          <w:rFonts w:eastAsiaTheme="minorEastAsia" w:cs="Arial"/>
          <w:szCs w:val="20"/>
        </w:rPr>
        <w:t xml:space="preserve"> </w:t>
      </w:r>
      <w:r w:rsidR="00EB4925">
        <w:rPr>
          <w:rFonts w:eastAsiaTheme="minorEastAsia" w:cs="Arial"/>
          <w:szCs w:val="20"/>
        </w:rPr>
        <w:tab/>
      </w:r>
      <w:r w:rsidR="00EB4925">
        <w:rPr>
          <w:rFonts w:eastAsiaTheme="minorEastAsia" w:cs="Arial"/>
          <w:szCs w:val="20"/>
        </w:rPr>
        <w:tab/>
      </w:r>
      <w:r w:rsidR="00EB4925">
        <w:rPr>
          <w:rFonts w:eastAsiaTheme="minorEastAsia" w:cs="Arial"/>
          <w:szCs w:val="20"/>
        </w:rPr>
        <w:tab/>
      </w:r>
      <w:r w:rsidR="00EB4925">
        <w:rPr>
          <w:rFonts w:eastAsiaTheme="minorEastAsia" w:cs="Arial"/>
          <w:szCs w:val="20"/>
        </w:rPr>
        <w:tab/>
      </w:r>
      <w:r w:rsidR="00EB4925">
        <w:rPr>
          <w:rFonts w:eastAsiaTheme="minorEastAsia" w:cs="Arial"/>
          <w:szCs w:val="20"/>
        </w:rPr>
        <w:tab/>
        <w:t xml:space="preserve"> (2.</w:t>
      </w:r>
      <w:r w:rsidR="00456948">
        <w:rPr>
          <w:rFonts w:eastAsiaTheme="minorEastAsia" w:cs="Arial"/>
          <w:szCs w:val="20"/>
        </w:rPr>
        <w:t>2</w:t>
      </w:r>
      <w:r w:rsidR="00EB4925">
        <w:rPr>
          <w:rFonts w:eastAsiaTheme="minorEastAsia" w:cs="Arial"/>
          <w:szCs w:val="20"/>
        </w:rPr>
        <w:t>)</w:t>
      </w:r>
    </w:p>
    <w:p w14:paraId="443AB2F0" w14:textId="6A3274CD" w:rsidR="003247AA" w:rsidRPr="00575942" w:rsidRDefault="003247AA" w:rsidP="00034937">
      <w:pPr>
        <w:pStyle w:val="tekst"/>
      </w:pPr>
      <w:r w:rsidRPr="00575942">
        <w:t>natomiast ryzyko mierzone wariancją lub odchyleniem standardowym zależy nie tylko od ryzyka pojedynczych instrumentów, lecz również od korelacji pomiędzy nimi. Dla portfela dwuskładnikowego wariancja przyjmuje postać</w:t>
      </w:r>
      <w:r w:rsidR="00E93829">
        <w:t xml:space="preserve"> (wzór 2.3)</w:t>
      </w:r>
      <w:r w:rsidRPr="00575942">
        <w:t>:</w:t>
      </w:r>
    </w:p>
    <w:p w14:paraId="1AEF819F" w14:textId="7B85DB85" w:rsidR="003247AA" w:rsidRPr="003247AA" w:rsidRDefault="00000000" w:rsidP="003B40CF">
      <w:pPr>
        <w:pStyle w:val="tekst"/>
        <w:jc w:val="right"/>
        <w:rPr>
          <w:rFonts w:cs="Arial"/>
          <w:szCs w:val="20"/>
        </w:rPr>
      </w:pPr>
      <m:oMath>
        <m:sSubSup>
          <m:sSubSupPr>
            <m:ctrlPr>
              <w:rPr>
                <w:rFonts w:ascii="Cambria Math" w:hAnsi="Cambria Math" w:cs="Arial"/>
                <w:szCs w:val="20"/>
              </w:rPr>
            </m:ctrlPr>
          </m:sSubSupPr>
          <m:e>
            <m:r>
              <w:rPr>
                <w:rFonts w:ascii="Cambria Math" w:hAnsi="Cambria Math" w:cs="Arial"/>
                <w:szCs w:val="20"/>
              </w:rPr>
              <m:t>σ</m:t>
            </m:r>
          </m:e>
          <m:sub>
            <m:r>
              <w:rPr>
                <w:rFonts w:ascii="Cambria Math" w:hAnsi="Cambria Math" w:cs="Arial"/>
                <w:szCs w:val="20"/>
              </w:rPr>
              <m:t>p</m:t>
            </m:r>
          </m:sub>
          <m:sup>
            <m:r>
              <w:rPr>
                <w:rFonts w:ascii="Cambria Math" w:hAnsi="Cambria Math" w:cs="Arial"/>
                <w:szCs w:val="20"/>
              </w:rPr>
              <m:t>2</m:t>
            </m:r>
          </m:sup>
        </m:sSubSup>
        <m:r>
          <w:rPr>
            <w:rFonts w:ascii="Cambria Math" w:hAnsi="Cambria Math" w:cs="Arial"/>
            <w:szCs w:val="20"/>
          </w:rPr>
          <m:t>=</m:t>
        </m:r>
        <m:sSubSup>
          <m:sSubSupPr>
            <m:ctrlPr>
              <w:rPr>
                <w:rFonts w:ascii="Cambria Math" w:hAnsi="Cambria Math" w:cs="Arial"/>
                <w:szCs w:val="20"/>
              </w:rPr>
            </m:ctrlPr>
          </m:sSubSupPr>
          <m:e>
            <m:r>
              <w:rPr>
                <w:rFonts w:ascii="Cambria Math" w:hAnsi="Cambria Math" w:cs="Arial"/>
                <w:szCs w:val="20"/>
              </w:rPr>
              <m:t>w</m:t>
            </m:r>
          </m:e>
          <m:sub>
            <m:r>
              <w:rPr>
                <w:rFonts w:ascii="Cambria Math" w:hAnsi="Cambria Math" w:cs="Arial"/>
                <w:szCs w:val="20"/>
              </w:rPr>
              <m:t>1</m:t>
            </m:r>
          </m:sub>
          <m:sup>
            <m:r>
              <w:rPr>
                <w:rFonts w:ascii="Cambria Math" w:hAnsi="Cambria Math" w:cs="Arial"/>
                <w:szCs w:val="20"/>
              </w:rPr>
              <m:t>2</m:t>
            </m:r>
          </m:sup>
        </m:sSubSup>
        <m:sSubSup>
          <m:sSubSupPr>
            <m:ctrlPr>
              <w:rPr>
                <w:rFonts w:ascii="Cambria Math" w:hAnsi="Cambria Math" w:cs="Arial"/>
                <w:szCs w:val="20"/>
              </w:rPr>
            </m:ctrlPr>
          </m:sSubSupPr>
          <m:e>
            <m:r>
              <w:rPr>
                <w:rFonts w:ascii="Cambria Math" w:hAnsi="Cambria Math" w:cs="Arial"/>
                <w:szCs w:val="20"/>
              </w:rPr>
              <m:t>σ</m:t>
            </m:r>
          </m:e>
          <m:sub>
            <m:r>
              <w:rPr>
                <w:rFonts w:ascii="Cambria Math" w:hAnsi="Cambria Math" w:cs="Arial"/>
                <w:szCs w:val="20"/>
              </w:rPr>
              <m:t>1</m:t>
            </m:r>
          </m:sub>
          <m:sup>
            <m:r>
              <w:rPr>
                <w:rFonts w:ascii="Cambria Math" w:hAnsi="Cambria Math" w:cs="Arial"/>
                <w:szCs w:val="20"/>
              </w:rPr>
              <m:t>2</m:t>
            </m:r>
          </m:sup>
        </m:sSubSup>
        <m:r>
          <w:rPr>
            <w:rFonts w:ascii="Cambria Math" w:hAnsi="Cambria Math" w:cs="Arial"/>
            <w:szCs w:val="20"/>
          </w:rPr>
          <m:t>+</m:t>
        </m:r>
        <m:sSubSup>
          <m:sSubSupPr>
            <m:ctrlPr>
              <w:rPr>
                <w:rFonts w:ascii="Cambria Math" w:hAnsi="Cambria Math" w:cs="Arial"/>
                <w:szCs w:val="20"/>
              </w:rPr>
            </m:ctrlPr>
          </m:sSubSupPr>
          <m:e>
            <m:r>
              <w:rPr>
                <w:rFonts w:ascii="Cambria Math" w:hAnsi="Cambria Math" w:cs="Arial"/>
                <w:szCs w:val="20"/>
              </w:rPr>
              <m:t>w</m:t>
            </m:r>
          </m:e>
          <m:sub>
            <m:r>
              <w:rPr>
                <w:rFonts w:ascii="Cambria Math" w:hAnsi="Cambria Math" w:cs="Arial"/>
                <w:szCs w:val="20"/>
              </w:rPr>
              <m:t>2</m:t>
            </m:r>
          </m:sub>
          <m:sup>
            <m:r>
              <w:rPr>
                <w:rFonts w:ascii="Cambria Math" w:hAnsi="Cambria Math" w:cs="Arial"/>
                <w:szCs w:val="20"/>
              </w:rPr>
              <m:t>2</m:t>
            </m:r>
          </m:sup>
        </m:sSubSup>
        <m:sSubSup>
          <m:sSubSupPr>
            <m:ctrlPr>
              <w:rPr>
                <w:rFonts w:ascii="Cambria Math" w:hAnsi="Cambria Math" w:cs="Arial"/>
                <w:szCs w:val="20"/>
              </w:rPr>
            </m:ctrlPr>
          </m:sSubSupPr>
          <m:e>
            <m:r>
              <w:rPr>
                <w:rFonts w:ascii="Cambria Math" w:hAnsi="Cambria Math" w:cs="Arial"/>
                <w:szCs w:val="20"/>
              </w:rPr>
              <m:t>σ</m:t>
            </m:r>
          </m:e>
          <m:sub>
            <m:r>
              <w:rPr>
                <w:rFonts w:ascii="Cambria Math" w:hAnsi="Cambria Math" w:cs="Arial"/>
                <w:szCs w:val="20"/>
              </w:rPr>
              <m:t>2</m:t>
            </m:r>
          </m:sub>
          <m:sup>
            <m:r>
              <w:rPr>
                <w:rFonts w:ascii="Cambria Math" w:hAnsi="Cambria Math" w:cs="Arial"/>
                <w:szCs w:val="20"/>
              </w:rPr>
              <m:t>2</m:t>
            </m:r>
          </m:sup>
        </m:sSubSup>
        <m:r>
          <w:rPr>
            <w:rFonts w:ascii="Cambria Math" w:hAnsi="Cambria Math" w:cs="Arial"/>
            <w:szCs w:val="20"/>
          </w:rPr>
          <m:t>+2</m:t>
        </m:r>
        <m:sSub>
          <m:sSubPr>
            <m:ctrlPr>
              <w:rPr>
                <w:rFonts w:ascii="Cambria Math" w:hAnsi="Cambria Math" w:cs="Arial"/>
                <w:szCs w:val="20"/>
              </w:rPr>
            </m:ctrlPr>
          </m:sSubPr>
          <m:e>
            <m:r>
              <w:rPr>
                <w:rFonts w:ascii="Cambria Math" w:hAnsi="Cambria Math" w:cs="Arial"/>
                <w:szCs w:val="20"/>
              </w:rPr>
              <m:t>w</m:t>
            </m:r>
          </m:e>
          <m:sub>
            <m:r>
              <w:rPr>
                <w:rFonts w:ascii="Cambria Math" w:hAnsi="Cambria Math" w:cs="Arial"/>
                <w:szCs w:val="20"/>
              </w:rPr>
              <m:t>1</m:t>
            </m:r>
          </m:sub>
        </m:sSub>
        <m:sSub>
          <m:sSubPr>
            <m:ctrlPr>
              <w:rPr>
                <w:rFonts w:ascii="Cambria Math" w:hAnsi="Cambria Math" w:cs="Arial"/>
                <w:szCs w:val="20"/>
              </w:rPr>
            </m:ctrlPr>
          </m:sSubPr>
          <m:e>
            <m:r>
              <w:rPr>
                <w:rFonts w:ascii="Cambria Math" w:hAnsi="Cambria Math" w:cs="Arial"/>
                <w:szCs w:val="20"/>
              </w:rPr>
              <m:t>w</m:t>
            </m:r>
          </m:e>
          <m:sub>
            <m:r>
              <w:rPr>
                <w:rFonts w:ascii="Cambria Math" w:hAnsi="Cambria Math" w:cs="Arial"/>
                <w:szCs w:val="20"/>
              </w:rPr>
              <m:t>2</m:t>
            </m:r>
          </m:sub>
        </m:sSub>
        <m:sSub>
          <m:sSubPr>
            <m:ctrlPr>
              <w:rPr>
                <w:rFonts w:ascii="Cambria Math" w:hAnsi="Cambria Math" w:cs="Arial"/>
                <w:szCs w:val="20"/>
              </w:rPr>
            </m:ctrlPr>
          </m:sSubPr>
          <m:e>
            <m:r>
              <w:rPr>
                <w:rFonts w:ascii="Cambria Math" w:hAnsi="Cambria Math" w:cs="Arial"/>
                <w:szCs w:val="20"/>
              </w:rPr>
              <m:t>σ</m:t>
            </m:r>
          </m:e>
          <m:sub>
            <m:r>
              <w:rPr>
                <w:rFonts w:ascii="Cambria Math" w:hAnsi="Cambria Math" w:cs="Arial"/>
                <w:szCs w:val="20"/>
              </w:rPr>
              <m:t>1</m:t>
            </m:r>
          </m:sub>
        </m:sSub>
        <m:sSub>
          <m:sSubPr>
            <m:ctrlPr>
              <w:rPr>
                <w:rFonts w:ascii="Cambria Math" w:hAnsi="Cambria Math" w:cs="Arial"/>
                <w:szCs w:val="20"/>
              </w:rPr>
            </m:ctrlPr>
          </m:sSubPr>
          <m:e>
            <m:r>
              <w:rPr>
                <w:rFonts w:ascii="Cambria Math" w:hAnsi="Cambria Math" w:cs="Arial"/>
                <w:szCs w:val="20"/>
              </w:rPr>
              <m:t>σ</m:t>
            </m:r>
          </m:e>
          <m:sub>
            <m:r>
              <w:rPr>
                <w:rFonts w:ascii="Cambria Math" w:hAnsi="Cambria Math" w:cs="Arial"/>
                <w:szCs w:val="20"/>
              </w:rPr>
              <m:t>2</m:t>
            </m:r>
          </m:sub>
        </m:sSub>
        <m:sSub>
          <m:sSubPr>
            <m:ctrlPr>
              <w:rPr>
                <w:rFonts w:ascii="Cambria Math" w:hAnsi="Cambria Math" w:cs="Arial"/>
                <w:szCs w:val="20"/>
              </w:rPr>
            </m:ctrlPr>
          </m:sSubPr>
          <m:e>
            <m:r>
              <w:rPr>
                <w:rFonts w:ascii="Cambria Math" w:hAnsi="Cambria Math" w:cs="Arial"/>
                <w:szCs w:val="20"/>
              </w:rPr>
              <m:t>ρ</m:t>
            </m:r>
          </m:e>
          <m:sub>
            <m:r>
              <w:rPr>
                <w:rFonts w:ascii="Cambria Math" w:hAnsi="Cambria Math" w:cs="Arial"/>
                <w:szCs w:val="20"/>
              </w:rPr>
              <m:t>12</m:t>
            </m:r>
          </m:sub>
        </m:sSub>
        <m:r>
          <w:rPr>
            <w:rFonts w:ascii="Cambria Math" w:hAnsi="Cambria Math" w:cs="Arial"/>
            <w:szCs w:val="20"/>
          </w:rPr>
          <m:t>,</m:t>
        </m:r>
      </m:oMath>
      <w:r w:rsidR="00E93829">
        <w:rPr>
          <w:szCs w:val="20"/>
        </w:rPr>
        <w:tab/>
      </w:r>
      <w:r w:rsidR="00E93829">
        <w:rPr>
          <w:szCs w:val="20"/>
        </w:rPr>
        <w:tab/>
      </w:r>
      <w:r w:rsidR="00E93829">
        <w:rPr>
          <w:szCs w:val="20"/>
        </w:rPr>
        <w:tab/>
      </w:r>
      <w:r w:rsidR="00E93829">
        <w:rPr>
          <w:szCs w:val="20"/>
        </w:rPr>
        <w:tab/>
        <w:t>(</w:t>
      </w:r>
      <w:r w:rsidR="00E93829">
        <w:t>2.3)</w:t>
      </w:r>
    </w:p>
    <w:p w14:paraId="11C009C5" w14:textId="4F027D1A" w:rsidR="005008E0" w:rsidRPr="00575942" w:rsidRDefault="005008E0" w:rsidP="003B40CF">
      <w:pPr>
        <w:pStyle w:val="tekst"/>
      </w:pPr>
      <w:r w:rsidRPr="00575942">
        <w:t xml:space="preserve">gdzie </w:t>
      </w:r>
      <m:oMath>
        <m:sSub>
          <m:sSubPr>
            <m:ctrlPr>
              <w:rPr>
                <w:rFonts w:ascii="Cambria Math" w:hAnsi="Cambria Math"/>
              </w:rPr>
            </m:ctrlPr>
          </m:sSubPr>
          <m:e>
            <m:r>
              <w:rPr>
                <w:rFonts w:ascii="Cambria Math" w:hAnsi="Cambria Math"/>
              </w:rPr>
              <m:t>σ</m:t>
            </m:r>
          </m:e>
          <m:sub>
            <m:r>
              <m:rPr>
                <m:sty m:val="p"/>
              </m:rPr>
              <w:rPr>
                <w:rFonts w:ascii="Cambria Math" w:hAnsi="Cambria Math"/>
              </w:rPr>
              <m:t>1</m:t>
            </m:r>
          </m:sub>
        </m:sSub>
      </m:oMath>
      <w:r w:rsidRPr="00575942">
        <w:t xml:space="preserve">i </w:t>
      </w:r>
      <m:oMath>
        <m:sSub>
          <m:sSubPr>
            <m:ctrlPr>
              <w:rPr>
                <w:rFonts w:ascii="Cambria Math" w:hAnsi="Cambria Math"/>
              </w:rPr>
            </m:ctrlPr>
          </m:sSubPr>
          <m:e>
            <m:r>
              <w:rPr>
                <w:rFonts w:ascii="Cambria Math" w:hAnsi="Cambria Math"/>
              </w:rPr>
              <m:t>σ</m:t>
            </m:r>
          </m:e>
          <m:sub>
            <m:r>
              <m:rPr>
                <m:sty m:val="p"/>
              </m:rPr>
              <w:rPr>
                <w:rFonts w:ascii="Cambria Math" w:hAnsi="Cambria Math"/>
              </w:rPr>
              <m:t>2</m:t>
            </m:r>
          </m:sub>
        </m:sSub>
      </m:oMath>
      <w:r w:rsidRPr="00575942">
        <w:t xml:space="preserve">to odchylenia standardowe stóp zwrotu obu aktywów, a </w:t>
      </w:r>
      <m:oMath>
        <m:sSub>
          <m:sSubPr>
            <m:ctrlPr>
              <w:rPr>
                <w:rFonts w:ascii="Cambria Math" w:hAnsi="Cambria Math"/>
              </w:rPr>
            </m:ctrlPr>
          </m:sSubPr>
          <m:e>
            <m:r>
              <w:rPr>
                <w:rFonts w:ascii="Cambria Math" w:hAnsi="Cambria Math"/>
              </w:rPr>
              <m:t>ρ</m:t>
            </m:r>
          </m:e>
          <m:sub>
            <m:r>
              <m:rPr>
                <m:sty m:val="p"/>
              </m:rPr>
              <w:rPr>
                <w:rFonts w:ascii="Cambria Math" w:hAnsi="Cambria Math"/>
              </w:rPr>
              <m:t>12</m:t>
            </m:r>
          </m:sub>
        </m:sSub>
      </m:oMath>
      <w:r w:rsidRPr="00575942">
        <w:t xml:space="preserve">– współczynnik korelacji pomiędzy ich stopami zwrotu. Uogólnienie na większą liczbę instrumentów prowadzi do zapisu macierzowego </w:t>
      </w:r>
      <m:oMath>
        <m:sSubSup>
          <m:sSubSupPr>
            <m:ctrlPr>
              <w:rPr>
                <w:rFonts w:ascii="Cambria Math" w:hAnsi="Cambria Math"/>
              </w:rPr>
            </m:ctrlPr>
          </m:sSubSupPr>
          <m:e>
            <m:r>
              <w:rPr>
                <w:rFonts w:ascii="Cambria Math" w:hAnsi="Cambria Math"/>
              </w:rPr>
              <m:t>σ</m:t>
            </m:r>
          </m:e>
          <m:sub>
            <m:r>
              <w:rPr>
                <w:rFonts w:ascii="Cambria Math" w:hAnsi="Cambria Math"/>
              </w:rPr>
              <m:t>p</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m:rPr>
            <m:sty m:val="p"/>
          </m:rPr>
          <w:rPr>
            <w:rFonts w:ascii="Cambria Math" w:hAnsi="Cambria Math"/>
          </w:rPr>
          <m:t>Σ</m:t>
        </m:r>
        <m:r>
          <w:rPr>
            <w:rFonts w:ascii="Cambria Math" w:hAnsi="Cambria Math"/>
          </w:rPr>
          <m:t>w</m:t>
        </m:r>
      </m:oMath>
      <w:r w:rsidRPr="00575942">
        <w:t xml:space="preserve">, gdzie </w:t>
      </w:r>
      <m:oMath>
        <m:r>
          <m:rPr>
            <m:sty m:val="p"/>
          </m:rPr>
          <w:rPr>
            <w:rFonts w:ascii="Cambria Math" w:hAnsi="Cambria Math"/>
          </w:rPr>
          <m:t>Σ</m:t>
        </m:r>
      </m:oMath>
      <w:r w:rsidR="008102E2">
        <w:t xml:space="preserve"> </w:t>
      </w:r>
      <w:r w:rsidRPr="00575942">
        <w:t>jest macierzą kowariancji stóp zwrotu.</w:t>
      </w:r>
    </w:p>
    <w:p w14:paraId="1F1DB6C0" w14:textId="38BDCF34" w:rsidR="003247AA" w:rsidRPr="00575942" w:rsidRDefault="003247AA" w:rsidP="003B40CF">
      <w:pPr>
        <w:pStyle w:val="tekst"/>
      </w:pPr>
      <w:r w:rsidRPr="00575942">
        <w:t xml:space="preserve">Model średniej-wariancji Markowitza zakłada, że inwestor podejmuje decyzje na podstawie dwóch wielkości: oczekiwanej stopy zwrotu portfela oraz jego wariancji. Różne kombinacje wag generują zbiór możliwości inwestycyjnych (ang. </w:t>
      </w:r>
      <w:r w:rsidRPr="005A2769">
        <w:rPr>
          <w:i/>
        </w:rPr>
        <w:t>opportunity set</w:t>
      </w:r>
      <w:r w:rsidRPr="00575942">
        <w:t xml:space="preserve">), który można przedstawić w układzie współrzędnych „ryzyko – stopa zwrotu”. Część tego zbioru tworzy tzw. portfele efektywne – takie, dla których nie istnieje inny portfel o tej samej stopie zwrotu i niższym ryzyku ani o tym samym ryzyku i wyższej stopie zwrotu. Obwiednia zbioru portfeli efektywnych nazywana jest efektywną granicą portfela (ang. </w:t>
      </w:r>
      <w:r w:rsidRPr="005A2769">
        <w:rPr>
          <w:i/>
        </w:rPr>
        <w:t>efficient frontier</w:t>
      </w:r>
      <w:r w:rsidRPr="00575942">
        <w:t>).</w:t>
      </w:r>
      <w:sdt>
        <w:sdtPr>
          <w:id w:val="-208350491"/>
          <w:citation/>
        </w:sdtPr>
        <w:sdtContent>
          <w:r w:rsidR="00A36291">
            <w:fldChar w:fldCharType="begin"/>
          </w:r>
          <w:r w:rsidR="00D7036D">
            <w:instrText xml:space="preserve">CITATION Sal24 \l 1045 </w:instrText>
          </w:r>
          <w:r w:rsidR="00A36291">
            <w:fldChar w:fldCharType="separate"/>
          </w:r>
          <w:r w:rsidR="00D7036D">
            <w:rPr>
              <w:noProof/>
            </w:rPr>
            <w:t xml:space="preserve"> </w:t>
          </w:r>
          <w:r w:rsidR="00D7036D" w:rsidRPr="00D7036D">
            <w:rPr>
              <w:noProof/>
            </w:rPr>
            <w:t>(Salo, Doumpos, Liesiö i Zopounidis, 2024)</w:t>
          </w:r>
          <w:r w:rsidR="00A36291">
            <w:fldChar w:fldCharType="end"/>
          </w:r>
        </w:sdtContent>
      </w:sdt>
    </w:p>
    <w:p w14:paraId="51F8ACA8" w14:textId="318CC5D6" w:rsidR="003247AA" w:rsidRPr="00575942" w:rsidRDefault="003247AA" w:rsidP="003B40CF">
      <w:pPr>
        <w:pStyle w:val="tekst"/>
      </w:pPr>
      <w:r w:rsidRPr="00575942">
        <w:lastRenderedPageBreak/>
        <w:t>W praktyce budowa portfela wymaga estymacji parametrów wejściowych na podstawie danych historycznych: średnich stóp zwrotu oraz macierzy kowariancji. W przypadku portfela wieloelementowego, opartego na akcjach spółek KGHM, PKO BP, PKN Orlen, CD Projekt, LPP oraz Allegro, parametry te wyznacza się na podstawie szeregu czasowego dziennych stóp zwrotu, pozyskanych z serwisów giełdowych. Następnie stosuje się procedury optymalizacyjne –</w:t>
      </w:r>
      <w:r w:rsidR="000E2C40" w:rsidRPr="00575942">
        <w:t> </w:t>
      </w:r>
      <w:r w:rsidRPr="00575942">
        <w:t>dla portfela long-only są to najczęściej algorytmy programowania kwadratowego z</w:t>
      </w:r>
      <w:r w:rsidR="000E2C40" w:rsidRPr="00575942">
        <w:t> </w:t>
      </w:r>
      <w:r w:rsidRPr="00575942">
        <w:t xml:space="preserve">ograniczeniami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≥0</m:t>
        </m:r>
      </m:oMath>
      <w:r w:rsidRPr="00575942">
        <w:t>, natomiast dla portfela long-short dopuszcza się wagi ujemne, co prowadzi do rozwiązania analitycznego portfela maksymalnego współczynnika Sharpe’a.</w:t>
      </w:r>
      <w:sdt>
        <w:sdtPr>
          <w:id w:val="1293878199"/>
          <w:citation/>
        </w:sdtPr>
        <w:sdtContent>
          <w:r w:rsidR="00A36291">
            <w:fldChar w:fldCharType="begin"/>
          </w:r>
          <w:r w:rsidR="00D7036D">
            <w:instrText xml:space="preserve">CITATION Sal24 \l 1045 </w:instrText>
          </w:r>
          <w:r w:rsidR="00A36291">
            <w:fldChar w:fldCharType="separate"/>
          </w:r>
          <w:r w:rsidR="00D7036D">
            <w:rPr>
              <w:noProof/>
            </w:rPr>
            <w:t xml:space="preserve"> </w:t>
          </w:r>
          <w:r w:rsidR="00D7036D" w:rsidRPr="00D7036D">
            <w:rPr>
              <w:noProof/>
            </w:rPr>
            <w:t>(Salo, Doumpos, Liesiö i Zopounidis, 2024)</w:t>
          </w:r>
          <w:r w:rsidR="00A36291">
            <w:fldChar w:fldCharType="end"/>
          </w:r>
        </w:sdtContent>
      </w:sdt>
    </w:p>
    <w:p w14:paraId="4804FB34" w14:textId="64AAF087" w:rsidR="003247AA" w:rsidRPr="00575942" w:rsidRDefault="003247AA" w:rsidP="003B40CF">
      <w:pPr>
        <w:pStyle w:val="tekst"/>
      </w:pPr>
      <w:r w:rsidRPr="00575942">
        <w:t>Dodatkowym elementem budowy portfela jest określenie horyzontu inwestycyjnego i</w:t>
      </w:r>
      <w:r w:rsidR="000E2C40" w:rsidRPr="00575942">
        <w:t> </w:t>
      </w:r>
      <w:r w:rsidRPr="00575942">
        <w:t>częstotliwości rebalancingu, czyli okresowego dostosowywania wag do nowych informacji rynkowych. W pracy zastosowano zarówno podejście statyczne (wagi optymalne wyznaczone na całym okresie badania), jak i podejście dynamiczne, w którym parametry portfela szacowane są na ruchomym oknie czasowym, co umożliwia analizę stabilności wyznaczonych strategii w</w:t>
      </w:r>
      <w:r w:rsidR="000E2C40" w:rsidRPr="00575942">
        <w:t> </w:t>
      </w:r>
      <w:r w:rsidRPr="00575942">
        <w:t>czasie.</w:t>
      </w:r>
    </w:p>
    <w:p w14:paraId="48C5F42D" w14:textId="5895BF12" w:rsidR="0099603A" w:rsidRPr="003B40CF" w:rsidRDefault="0099603A" w:rsidP="003B40CF">
      <w:pPr>
        <w:pStyle w:val="Styl1"/>
      </w:pPr>
      <w:r w:rsidRPr="003B40CF">
        <w:t>Ocena efektywności portfela oraz kontrola ryzyka</w:t>
      </w:r>
    </w:p>
    <w:p w14:paraId="7ABA8110" w14:textId="5AE70C81" w:rsidR="00721ECB" w:rsidRPr="00575942" w:rsidRDefault="00721ECB" w:rsidP="003B40CF">
      <w:pPr>
        <w:pStyle w:val="tekst"/>
      </w:pPr>
      <w:r>
        <w:tab/>
      </w:r>
      <w:r w:rsidRPr="00575942">
        <w:t>Ocena efektywności portfela inwestycyjnego wymaga uwzględnienia zarówno poziomu osiąganej stopy zwrotu, jak i ryzyka ponoszonego przez inwestora. Podstawowym krokiem jest analiza historycznych zwrotów portfela na tle przyjętego benchmarku rynkowego (w pracy jest nim indeks WIG20), a także porównanie wyników z portfelem referencyjnym typu long-only. Do analizy wykorzystywane są szeregi czasowe dziennych stóp zwrotu, które następnie agreguje się do poziomu rocznego przy użyciu standardowych przeliczeń na bazie 252 sesji giełdowych w roku.</w:t>
      </w:r>
    </w:p>
    <w:p w14:paraId="5FF64EA1" w14:textId="334D1A78" w:rsidR="00721ECB" w:rsidRPr="00575942" w:rsidRDefault="00721ECB" w:rsidP="003B40CF">
      <w:pPr>
        <w:pStyle w:val="tekst"/>
      </w:pPr>
      <w:r w:rsidRPr="00575942">
        <w:t>Najczęściej stosowaną miarą ryzyka w modelu Markowitza jest wariancja lub odchylenie standardowe stopy zwrotu, interpretowane jako miara zmienności wartości portfela. W praktyce inwestycyjnej często wykorzystuje się również mierniki skoncentrowane na ryzyku spadków, takie jak maksymalne obsunięcie kapitału (</w:t>
      </w:r>
      <w:r w:rsidR="001537D7">
        <w:t xml:space="preserve">ang. </w:t>
      </w:r>
      <w:r w:rsidRPr="001537D7">
        <w:rPr>
          <w:i/>
        </w:rPr>
        <w:t>max drawdown</w:t>
      </w:r>
      <w:r w:rsidRPr="00575942">
        <w:t>) czy miary oparte na wariancji częściowej.</w:t>
      </w:r>
      <w:sdt>
        <w:sdtPr>
          <w:id w:val="-633030225"/>
          <w:citation/>
        </w:sdtPr>
        <w:sdtContent>
          <w:r w:rsidR="008650AA">
            <w:fldChar w:fldCharType="begin"/>
          </w:r>
          <w:r w:rsidR="008650AA">
            <w:instrText xml:space="preserve"> CITATION Pet25 \l 1045 </w:instrText>
          </w:r>
          <w:r w:rsidR="008650AA">
            <w:fldChar w:fldCharType="separate"/>
          </w:r>
          <w:r w:rsidR="008650AA">
            <w:rPr>
              <w:noProof/>
            </w:rPr>
            <w:t xml:space="preserve"> </w:t>
          </w:r>
          <w:r w:rsidR="008650AA" w:rsidRPr="008650AA">
            <w:rPr>
              <w:noProof/>
            </w:rPr>
            <w:t>(Peterson, Carl i Boudt, 2025)</w:t>
          </w:r>
          <w:r w:rsidR="008650AA">
            <w:fldChar w:fldCharType="end"/>
          </w:r>
        </w:sdtContent>
      </w:sdt>
      <w:r w:rsidRPr="00575942">
        <w:t xml:space="preserve"> Maksymalne obsunięcie określa największy procentowy spadek wartości portfela od lokalnego maksimum do kolejnego minimum w analizowanym okresie i jest intuicyjną miarą „najgorszego scenariusza” z punktu widzenia inwestora.</w:t>
      </w:r>
    </w:p>
    <w:p w14:paraId="07334E3C" w14:textId="2BC4B91E" w:rsidR="00721ECB" w:rsidRPr="00575942" w:rsidRDefault="00721ECB" w:rsidP="003B40CF">
      <w:pPr>
        <w:pStyle w:val="tekst"/>
      </w:pPr>
      <w:r w:rsidRPr="00575942">
        <w:t xml:space="preserve">Do porównywania efektywności strategii o różnym poziomie ryzyka szczególnie użyteczny jest współczynnik Sharpe’a, </w:t>
      </w:r>
      <w:commentRangeStart w:id="10"/>
      <w:r w:rsidRPr="00575942">
        <w:t xml:space="preserve">definiowany </w:t>
      </w:r>
      <w:commentRangeEnd w:id="10"/>
      <w:r w:rsidR="003B40CF" w:rsidRPr="00575942">
        <w:rPr>
          <w:rStyle w:val="Odwoaniedokomentarza"/>
          <w:sz w:val="20"/>
          <w:szCs w:val="22"/>
        </w:rPr>
        <w:commentReference w:id="10"/>
      </w:r>
      <w:r w:rsidRPr="00575942">
        <w:t xml:space="preserve">jako relacja nadwyżkowej stopy zwrotu portfela ponad stopę wolną od ryzyka do odchylenia standardowego tej nadwyżkowej stopy zwrotu. Współczynnik Sharpe’a informuje, ile jednostek nadwyżkowego zwrotu generuje portfel na jednostkę podejmowanego ryzyka. Uzupełnieniem jest współczynnik </w:t>
      </w:r>
      <w:commentRangeStart w:id="11"/>
      <w:r w:rsidRPr="00575942">
        <w:t>Sortino</w:t>
      </w:r>
      <w:commentRangeEnd w:id="11"/>
      <w:r w:rsidR="003B40CF" w:rsidRPr="00575942">
        <w:rPr>
          <w:rStyle w:val="Odwoaniedokomentarza"/>
          <w:sz w:val="20"/>
          <w:szCs w:val="22"/>
        </w:rPr>
        <w:commentReference w:id="11"/>
      </w:r>
      <w:r w:rsidRPr="00575942">
        <w:t>, który zamiast całkowitej zmienności uwzględnia jedynie odchylenia w dół (</w:t>
      </w:r>
      <w:r w:rsidR="00F0008D">
        <w:t>ang</w:t>
      </w:r>
      <w:r w:rsidRPr="00575942">
        <w:t xml:space="preserve">. </w:t>
      </w:r>
      <w:r w:rsidRPr="00F0008D">
        <w:rPr>
          <w:i/>
        </w:rPr>
        <w:t>downside risk</w:t>
      </w:r>
      <w:r w:rsidRPr="00575942">
        <w:t>), dzięki czemu lepiej odzwierciedla sytuację inwestorów, dla których istotne są przede wszystkim straty, a nie „dobre zaskoczenia” w postaci wyższych niż oczekiwano zysków.</w:t>
      </w:r>
      <w:sdt>
        <w:sdtPr>
          <w:id w:val="155426711"/>
          <w:citation/>
        </w:sdtPr>
        <w:sdtContent>
          <w:r w:rsidR="008650AA">
            <w:fldChar w:fldCharType="begin"/>
          </w:r>
          <w:r w:rsidR="008650AA">
            <w:instrText xml:space="preserve"> CITATION Pet25 \l 1045 </w:instrText>
          </w:r>
          <w:r w:rsidR="008650AA">
            <w:fldChar w:fldCharType="separate"/>
          </w:r>
          <w:r w:rsidR="008650AA">
            <w:rPr>
              <w:noProof/>
            </w:rPr>
            <w:t xml:space="preserve"> </w:t>
          </w:r>
          <w:r w:rsidR="008650AA" w:rsidRPr="008650AA">
            <w:rPr>
              <w:noProof/>
            </w:rPr>
            <w:t>(Peterson, Carl i Boudt, 2025)</w:t>
          </w:r>
          <w:r w:rsidR="008650AA">
            <w:fldChar w:fldCharType="end"/>
          </w:r>
        </w:sdtContent>
      </w:sdt>
    </w:p>
    <w:p w14:paraId="564CFBCF" w14:textId="230AF769" w:rsidR="00721ECB" w:rsidRPr="00575942" w:rsidRDefault="00721ECB" w:rsidP="003B40CF">
      <w:pPr>
        <w:pStyle w:val="tekst"/>
      </w:pPr>
      <w:r w:rsidRPr="00575942">
        <w:lastRenderedPageBreak/>
        <w:t xml:space="preserve">W </w:t>
      </w:r>
      <w:commentRangeStart w:id="12"/>
      <w:r w:rsidRPr="00575942">
        <w:t xml:space="preserve">literaturze </w:t>
      </w:r>
      <w:commentRangeEnd w:id="12"/>
      <w:r w:rsidR="003B40CF" w:rsidRPr="00575942">
        <w:rPr>
          <w:rStyle w:val="Odwoaniedokomentarza"/>
          <w:sz w:val="20"/>
          <w:szCs w:val="22"/>
        </w:rPr>
        <w:commentReference w:id="12"/>
      </w:r>
      <w:r w:rsidRPr="00575942">
        <w:t>spotyka się także inne miary efektywności, takie jak współczynnik Treynora, alfa Jensena czy wskaźniki oparte na koncepcji wartości narażonej na ryzyko (Value at Risk, Conditional Value at Risk). W niniejszej pracy nacisk położono na zestaw miar wykorzystywanych również w materiałach dydaktycznych z zakresu inwestycji portfelowych i analizy ryzyka (Sharpe, Sortino, max drawdown), co ułatwia porównanie uzyskanych wyników z przykładami znanymi z zajęć laboratoryjnych.</w:t>
      </w:r>
    </w:p>
    <w:p w14:paraId="14E22AA2" w14:textId="5EB9DB29" w:rsidR="002031DE" w:rsidRPr="00575942" w:rsidRDefault="00721ECB" w:rsidP="003B40CF">
      <w:pPr>
        <w:pStyle w:val="tekst"/>
      </w:pPr>
      <w:r w:rsidRPr="00575942">
        <w:t>Kontrola ryzyka w procesie inwestycyjnym obejmuje nie tylko ocenę ex post, ale również projektowanie i monitorowanie ograniczeń ex ante. W kontekście portfela long-only oznacza to m.in. wprowadzenie limitów maksymalnego udziału pojedynczej spółki w portfelu, a także ograniczeń sektorowych. W przypadku strategii long-short pojawia się dodatkowo kwestia regulowania poziomu dźwigni finansowej oraz netto ekspozycji na rynek (różnica pomiędzy sumą pozycji długich i krótkich). Zastosowanie rolling backtestu pozwala ocenić, jak portfel zachowuje się w zmieniających się warunkach rynkowych oraz czy przyjęta polityka ograniczeń ryzyka jest wystarczająco stabilna.</w:t>
      </w:r>
      <w:sdt>
        <w:sdtPr>
          <w:id w:val="-894584340"/>
          <w:citation/>
        </w:sdtPr>
        <w:sdtContent>
          <w:r w:rsidR="008650AA">
            <w:fldChar w:fldCharType="begin"/>
          </w:r>
          <w:r w:rsidR="008650AA">
            <w:instrText xml:space="preserve"> CITATION Pet25 \l 1045 </w:instrText>
          </w:r>
          <w:r w:rsidR="008650AA">
            <w:fldChar w:fldCharType="separate"/>
          </w:r>
          <w:r w:rsidR="008650AA">
            <w:rPr>
              <w:noProof/>
            </w:rPr>
            <w:t xml:space="preserve"> </w:t>
          </w:r>
          <w:r w:rsidR="008650AA" w:rsidRPr="008650AA">
            <w:rPr>
              <w:noProof/>
            </w:rPr>
            <w:t>(Peterson, Carl i Boudt, 2025)</w:t>
          </w:r>
          <w:r w:rsidR="008650AA">
            <w:fldChar w:fldCharType="end"/>
          </w:r>
        </w:sdtContent>
      </w:sdt>
    </w:p>
    <w:p w14:paraId="3AD30768" w14:textId="038B9A49" w:rsidR="002031DE" w:rsidRPr="003B40CF" w:rsidRDefault="009E742E" w:rsidP="003B40CF">
      <w:pPr>
        <w:pStyle w:val="Styl1"/>
      </w:pPr>
      <w:r w:rsidRPr="003B40CF">
        <w:t>Krótka sprzedaż – mechanizm, regulacje i znaczenie w budowie portfela</w:t>
      </w:r>
    </w:p>
    <w:p w14:paraId="3D87A267" w14:textId="58AFA7BB" w:rsidR="009E742E" w:rsidRPr="00CE1ECE" w:rsidRDefault="009E742E" w:rsidP="003B40CF">
      <w:pPr>
        <w:pStyle w:val="tekst"/>
      </w:pPr>
      <w:r w:rsidRPr="00CE1ECE">
        <w:t xml:space="preserve">Krótka sprzedaż (ang. </w:t>
      </w:r>
      <w:r w:rsidRPr="00310BED">
        <w:rPr>
          <w:i/>
        </w:rPr>
        <w:t>short selling</w:t>
      </w:r>
      <w:r w:rsidRPr="00CE1ECE">
        <w:t>) to strategia inwestycyjna polegająca na zajęciu pozycji, która zyskuje na spadku ceny instrumentu finansowego. Inwestor nie posiada fizycznie sprzedawanych akcji w momencie zawarcia transakcji – pożycza je od innego uczestnika rynku (np. domu maklerskiego lub innego inwestora), sprzedaje na rynku kasowym, a następnie odkupuje w przyszłości, aby zwrócić je właścicielowi.</w:t>
      </w:r>
      <w:sdt>
        <w:sdtPr>
          <w:id w:val="-1354487874"/>
          <w:citation/>
        </w:sdtPr>
        <w:sdtContent>
          <w:r w:rsidR="008650AA">
            <w:fldChar w:fldCharType="begin"/>
          </w:r>
          <w:r w:rsidR="008650AA">
            <w:instrText xml:space="preserve"> CITATION Kra24 \l 1045 </w:instrText>
          </w:r>
          <w:r w:rsidR="008650AA">
            <w:fldChar w:fldCharType="separate"/>
          </w:r>
          <w:r w:rsidR="008650AA">
            <w:rPr>
              <w:noProof/>
            </w:rPr>
            <w:t xml:space="preserve"> </w:t>
          </w:r>
          <w:r w:rsidR="008650AA" w:rsidRPr="008650AA">
            <w:rPr>
              <w:noProof/>
            </w:rPr>
            <w:t>(Krajowy Depozyt Papierów Wartościowych, 2024)</w:t>
          </w:r>
          <w:r w:rsidR="008650AA">
            <w:fldChar w:fldCharType="end"/>
          </w:r>
        </w:sdtContent>
      </w:sdt>
      <w:r w:rsidRPr="00CE1ECE">
        <w:t xml:space="preserve"> Zysk inwestora jest tym większy, im niższa jest cena odkupu akcji względem ceny ich pierwotnej sprzedaży. Jeśli jednak cena wzrośnie, inwestor ponosi stratę, która teoretycznie może być nieograniczona, ponieważ kurs akcji nie ma górnej granicy.</w:t>
      </w:r>
    </w:p>
    <w:p w14:paraId="176E1ACB" w14:textId="5D39E33A" w:rsidR="009E742E" w:rsidRPr="00CE1ECE" w:rsidRDefault="009E742E" w:rsidP="003B40CF">
      <w:pPr>
        <w:pStyle w:val="tekst"/>
      </w:pPr>
      <w:r w:rsidRPr="00CE1ECE">
        <w:t>Standardowa transakcja krótkiej sprzedaży składa się z kilku etapów. W pierwszym kroku inwestor zawiera umowę pożyczki papierów wartościowych, w wyniku której uzyskuje prawo do czasowego dysponowania akcjami. Następnie sprzedaje je na rynku po aktualnej cenie. W przyszłości, w momencie zamknięcia pozycji, odkupuje takie same papiery wartościowe na rynku i zwraca je pożyczkodawcy, płacąc jednocześnie wynagrodzenie za korzystanie z</w:t>
      </w:r>
      <w:r w:rsidR="007C4B53" w:rsidRPr="00CE1ECE">
        <w:t> </w:t>
      </w:r>
      <w:r w:rsidRPr="00CE1ECE">
        <w:t>pożyczonych papierów (opłatę za pożyczkę) oraz ponosząc koszty transakcyjne. Różnica pomiędzy ceną sprzedaży a ceną odkupu, skorygowana o koszty, stanowi wynik finansowy z</w:t>
      </w:r>
      <w:r w:rsidR="007C4B53" w:rsidRPr="00CE1ECE">
        <w:t> </w:t>
      </w:r>
      <w:r w:rsidRPr="00CE1ECE">
        <w:t>transakcji.</w:t>
      </w:r>
      <w:sdt>
        <w:sdtPr>
          <w:id w:val="1817528604"/>
          <w:citation/>
        </w:sdtPr>
        <w:sdtContent>
          <w:r w:rsidR="002653B2">
            <w:fldChar w:fldCharType="begin"/>
          </w:r>
          <w:r w:rsidR="002653B2">
            <w:instrText xml:space="preserve"> CITATION Kra24 \l 1045 </w:instrText>
          </w:r>
          <w:r w:rsidR="002653B2">
            <w:fldChar w:fldCharType="separate"/>
          </w:r>
          <w:r w:rsidR="002653B2">
            <w:rPr>
              <w:noProof/>
            </w:rPr>
            <w:t xml:space="preserve"> </w:t>
          </w:r>
          <w:r w:rsidR="002653B2" w:rsidRPr="002653B2">
            <w:rPr>
              <w:noProof/>
            </w:rPr>
            <w:t>(Krajowy Depozyt Papierów Wartościowych, 2024)</w:t>
          </w:r>
          <w:r w:rsidR="002653B2">
            <w:fldChar w:fldCharType="end"/>
          </w:r>
        </w:sdtContent>
      </w:sdt>
    </w:p>
    <w:p w14:paraId="76069B42" w14:textId="77777777" w:rsidR="009E742E" w:rsidRPr="00CE1ECE" w:rsidRDefault="009E742E" w:rsidP="003B40CF">
      <w:pPr>
        <w:pStyle w:val="tekst"/>
      </w:pPr>
      <w:r w:rsidRPr="00CE1ECE">
        <w:t>Krótka sprzedaż pełni kilka ważnych funkcji w systemie finansowym. Po pierwsze, zwiększa efektywność rynku, umożliwiając wycenę również negatywnych oczekiwań inwestorów wobec danego waloru. Po drugie, sprzyja wzrostowi płynności – większa liczba potencjalnych sprzedających ułatwia zawieranie transakcji. Po trzecie, umożliwia stosowanie strategii hedgingowych, w których pozycja krótka w jednym instrumencie ogranicza ryzyko portfela złożonego z innych aktywów (np. zabezpieczenie portfela akcji poprzez krótką sprzedaż kontraktów futures na indeks). Z drugiej strony, mechanizm ten budzi kontrowersje w okresach silnych spadków cen, kiedy krótkie pozycje mogą potęgować presję podażową i pogłębiać przeceny.</w:t>
      </w:r>
    </w:p>
    <w:p w14:paraId="767F380C" w14:textId="1EDEDFD5" w:rsidR="009E742E" w:rsidRPr="00CE1ECE" w:rsidRDefault="009E742E" w:rsidP="003B40CF">
      <w:pPr>
        <w:pStyle w:val="tekst"/>
      </w:pPr>
      <w:r w:rsidRPr="00CE1ECE">
        <w:lastRenderedPageBreak/>
        <w:t>Istotnym elementem krótkiej sprzedaży są wymogi regulacyjne i operacyjne.</w:t>
      </w:r>
      <w:sdt>
        <w:sdtPr>
          <w:id w:val="-461341947"/>
          <w:citation/>
        </w:sdtPr>
        <w:sdtContent>
          <w:r w:rsidR="008650AA">
            <w:fldChar w:fldCharType="begin"/>
          </w:r>
          <w:r w:rsidR="008650AA">
            <w:instrText xml:space="preserve"> CITATION Gie25 \l 1045 </w:instrText>
          </w:r>
          <w:r w:rsidR="008650AA">
            <w:fldChar w:fldCharType="separate"/>
          </w:r>
          <w:r w:rsidR="008650AA">
            <w:rPr>
              <w:noProof/>
            </w:rPr>
            <w:t xml:space="preserve"> </w:t>
          </w:r>
          <w:r w:rsidR="008650AA" w:rsidRPr="008650AA">
            <w:rPr>
              <w:noProof/>
            </w:rPr>
            <w:t>(Giełda Papierów Wartościowych w Warszawie S.A., 2025)</w:t>
          </w:r>
          <w:r w:rsidR="008650AA">
            <w:fldChar w:fldCharType="end"/>
          </w:r>
        </w:sdtContent>
      </w:sdt>
      <w:r w:rsidRPr="00CE1ECE">
        <w:t xml:space="preserve"> Na wielu rynkach stosowane są zasady uptick rule lub ich modyfikacje, ograniczające możliwość otwierania nowych krótkich pozycji w warunkach gwałtownych spadków cen. Dodatkowo, inwestor zobowiązany jest do utrzymywania odpowiedniego poziomu depozytu zabezpieczającego (margin), którego wysokość zależy m.in. od zmienności instrumentu oraz polityki domu maklerskiego. W przypadku niekorzystnych zmian cen i spadku wartości zabezpieczenia poniżej wymaganego poziomu, inwestor może otrzymać wezwanie do uzupełnienia depozytu (margin call), a w skrajnym przypadku jego pozycje mogą zostać przymusowo zamknięte.</w:t>
      </w:r>
    </w:p>
    <w:p w14:paraId="099614FB" w14:textId="3433FAC8" w:rsidR="009E742E" w:rsidRPr="00CE1ECE" w:rsidRDefault="009E742E" w:rsidP="003B40CF">
      <w:pPr>
        <w:pStyle w:val="tekst"/>
      </w:pPr>
      <w:r w:rsidRPr="00CE1ECE">
        <w:t>Na rynku polskim krótką sprzedaż umożliwia określona lista instrumentów dopuszczonych do tego typu transakcji, obejmująca m.in. najbardziej płynne akcje oraz wybrane ETF-y. Operacyjnie transakcje krótkiej sprzedaży są realizowane za pośrednictwem domów maklerskich współpracujących z Krajowym Depozytem Papierów Wartościowych, który prowadzi system pożyczek papierów wartościowych.</w:t>
      </w:r>
      <w:sdt>
        <w:sdtPr>
          <w:id w:val="-2019686013"/>
          <w:citation/>
        </w:sdtPr>
        <w:sdtContent>
          <w:r w:rsidR="008650AA">
            <w:fldChar w:fldCharType="begin"/>
          </w:r>
          <w:r w:rsidR="008650AA">
            <w:instrText xml:space="preserve"> CITATION Kra24 \l 1045 </w:instrText>
          </w:r>
          <w:r w:rsidR="008650AA">
            <w:fldChar w:fldCharType="separate"/>
          </w:r>
          <w:r w:rsidR="008650AA">
            <w:rPr>
              <w:noProof/>
            </w:rPr>
            <w:t xml:space="preserve"> </w:t>
          </w:r>
          <w:r w:rsidR="008650AA" w:rsidRPr="008650AA">
            <w:rPr>
              <w:noProof/>
            </w:rPr>
            <w:t>(Krajowy Depozyt Papierów Wartościowych, 2024)</w:t>
          </w:r>
          <w:r w:rsidR="008650AA">
            <w:fldChar w:fldCharType="end"/>
          </w:r>
        </w:sdtContent>
      </w:sdt>
      <w:sdt>
        <w:sdtPr>
          <w:id w:val="-1433049393"/>
          <w:citation/>
        </w:sdtPr>
        <w:sdtContent>
          <w:r w:rsidR="008650AA">
            <w:fldChar w:fldCharType="begin"/>
          </w:r>
          <w:r w:rsidR="008650AA">
            <w:instrText xml:space="preserve"> CITATION Gie25 \l 1045 </w:instrText>
          </w:r>
          <w:r w:rsidR="008650AA">
            <w:fldChar w:fldCharType="separate"/>
          </w:r>
          <w:r w:rsidR="008650AA">
            <w:rPr>
              <w:noProof/>
            </w:rPr>
            <w:t xml:space="preserve"> </w:t>
          </w:r>
          <w:r w:rsidR="008650AA" w:rsidRPr="008650AA">
            <w:rPr>
              <w:noProof/>
            </w:rPr>
            <w:t>(Giełda Papierów Wartościowych w Warszawie S.A., 2025)</w:t>
          </w:r>
          <w:r w:rsidR="008650AA">
            <w:fldChar w:fldCharType="end"/>
          </w:r>
        </w:sdtContent>
      </w:sdt>
      <w:r w:rsidRPr="00CE1ECE">
        <w:t xml:space="preserve"> W praktyce dostępność krótkiej sprzedaży dla inwestora indywidualnego zależy od oferty konkretnego biura maklerskiego, przy czym wymagane są wyższe wymogi formalne oraz bardziej rygorystyczna ocena profilu ryzyka klienta niż w przypadku standardowego rachunku kasowego.</w:t>
      </w:r>
    </w:p>
    <w:p w14:paraId="5DAF94F5" w14:textId="77777777" w:rsidR="009E742E" w:rsidRPr="00CE1ECE" w:rsidRDefault="009E742E" w:rsidP="003B40CF">
      <w:pPr>
        <w:pStyle w:val="tekst"/>
      </w:pPr>
      <w:r w:rsidRPr="00CE1ECE">
        <w:t>Z punktu widzenia budowy portfela inwestycyjnego, dopuszczenie krótkiej sprzedaży znacząco poszerza przestrzeń możliwych kombinacji wag. W modelu long-only wagi portfela są nieujemne i sumują się do jedności, co oznacza, że inwestor może jedynie zwiększać lub zmniejszać udział poszczególnych walorów, ale nie może „grać na spadki” konkretnych spółek. W modelu long-short wagi mogą przyjmować wartości ujemne, co pozwala na tworzenie strategii typu market-neutral (ograniczenie wrażliwości portfela na ogólny ruch rynku) lub tzw. long-short equity, w których długie pozycje w spółkach o oczekiwanej ponadprzeciętnej stopie zwrotu finansowane są krótkimi pozycjami w spółkach ocenianych negatywnie.</w:t>
      </w:r>
    </w:p>
    <w:p w14:paraId="1AC12FFD" w14:textId="77777777" w:rsidR="009E742E" w:rsidRPr="00CE1ECE" w:rsidRDefault="009E742E" w:rsidP="003B40CF">
      <w:pPr>
        <w:pStyle w:val="tekst"/>
      </w:pPr>
      <w:r w:rsidRPr="00CE1ECE">
        <w:t>Dzięki temu inwestor może skonstruować portfel o wyższej oczekiwanej stopie zwrotu przy podobnym poziomie ryzyka lub portfel o niższej zmienności przy porównywalnym poziomie zwrotu, w porównaniu z klasycznym podejściem long-only. W praktyce oznacza to możliwość aktywnego wykorzystywania zarówno dodatnich, jak i ujemnych przekonań co do perspektyw poszczególnych spółek – w niniejszej pracy dotyczy to m.in. akcji KGHM, PKO BP, PKN Orlen, CD Projekt, LPP oraz Allegro. Jednocześnie większa złożoność strategii long-short wymaga bardziej zaawansowanych narzędzi pomiaru i kontroli ryzyka, co uzasadnia zastosowanie modelu Markowitza oraz miar takich jak współczynnik Sharpe’a, Sortino czy maksymalne obsunięcie kapitału w późniejszych częściach pracy.</w:t>
      </w:r>
    </w:p>
    <w:p w14:paraId="31524C95" w14:textId="27A23089" w:rsidR="0099603A" w:rsidRPr="003B40CF" w:rsidRDefault="0099603A" w:rsidP="003B40CF">
      <w:pPr>
        <w:pStyle w:val="Styl1"/>
      </w:pPr>
      <w:commentRangeStart w:id="13"/>
      <w:r w:rsidRPr="003B40CF">
        <w:t xml:space="preserve">Metody </w:t>
      </w:r>
      <w:r w:rsidR="001E38A9" w:rsidRPr="003B40CF">
        <w:t xml:space="preserve">i narzędzia </w:t>
      </w:r>
      <w:commentRangeEnd w:id="13"/>
      <w:r w:rsidR="003B40CF" w:rsidRPr="003B40CF">
        <w:rPr>
          <w:rStyle w:val="Odwoaniedokomentarza"/>
          <w:sz w:val="20"/>
          <w:szCs w:val="26"/>
        </w:rPr>
        <w:commentReference w:id="13"/>
      </w:r>
      <w:r w:rsidRPr="003B40CF">
        <w:t>zastosowane w pracy</w:t>
      </w:r>
    </w:p>
    <w:p w14:paraId="012D6D97" w14:textId="25E95489" w:rsidR="00E76C1B" w:rsidRPr="00CE1ECE" w:rsidRDefault="00E76C1B" w:rsidP="003B40CF">
      <w:pPr>
        <w:pStyle w:val="tekst"/>
      </w:pPr>
      <w:r w:rsidRPr="00CE1ECE">
        <w:t xml:space="preserve">W pracy zastosowano podejście ilościowe oparte na modelu średniej-wariancji Markowitza, z wykorzystaniem dziennych danych rynkowych dla wybranych spółek notowanych na Giełdzie Papierów Wartościowych w Warszawie (KGHM, PKO BP, PKN Orlen, CD Projekt, LPP oraz Allegro). Dane dotyczące cen akcji pozyskano w formacie szeregów czasowych </w:t>
      </w:r>
      <w:r w:rsidRPr="00CE1ECE">
        <w:lastRenderedPageBreak/>
        <w:t>z</w:t>
      </w:r>
      <w:r w:rsidR="00CE0001">
        <w:t> </w:t>
      </w:r>
      <w:r w:rsidRPr="00CE1ECE">
        <w:t>serwisów giełdowych (za pomocą pakietu quantmod w środowisku R)</w:t>
      </w:r>
      <w:sdt>
        <w:sdtPr>
          <w:id w:val="-487021555"/>
          <w:citation/>
        </w:sdtPr>
        <w:sdtContent>
          <w:r w:rsidR="004F359C">
            <w:fldChar w:fldCharType="begin"/>
          </w:r>
          <w:r w:rsidR="004F359C">
            <w:instrText xml:space="preserve"> CITATION Rya25 \l 1045 </w:instrText>
          </w:r>
          <w:r w:rsidR="004F359C">
            <w:fldChar w:fldCharType="separate"/>
          </w:r>
          <w:r w:rsidR="004F359C">
            <w:rPr>
              <w:noProof/>
            </w:rPr>
            <w:t xml:space="preserve"> </w:t>
          </w:r>
          <w:r w:rsidR="004F359C" w:rsidRPr="004F359C">
            <w:rPr>
              <w:noProof/>
            </w:rPr>
            <w:t>(Ryan i Ulrich, quantmod: Quantitative Financial Modelling Framework (R package) – Reference manual, 2025)</w:t>
          </w:r>
          <w:r w:rsidR="004F359C">
            <w:fldChar w:fldCharType="end"/>
          </w:r>
        </w:sdtContent>
      </w:sdt>
      <w:r w:rsidRPr="00CE1ECE">
        <w:t>, natomiast dane dla indeksu WIG20 – z pliku CSV udostępnionego przez serwis Stooq.</w:t>
      </w:r>
      <w:sdt>
        <w:sdtPr>
          <w:id w:val="-1683047916"/>
          <w:citation/>
        </w:sdtPr>
        <w:sdtContent>
          <w:r w:rsidR="004F359C">
            <w:fldChar w:fldCharType="begin"/>
          </w:r>
          <w:r w:rsidR="004F359C">
            <w:instrText xml:space="preserve"> CITATION Sto26 \l 1045 </w:instrText>
          </w:r>
          <w:r w:rsidR="004F359C">
            <w:fldChar w:fldCharType="separate"/>
          </w:r>
          <w:r w:rsidR="004F359C">
            <w:rPr>
              <w:noProof/>
            </w:rPr>
            <w:t xml:space="preserve"> </w:t>
          </w:r>
          <w:r w:rsidR="004F359C" w:rsidRPr="004F359C">
            <w:rPr>
              <w:noProof/>
            </w:rPr>
            <w:t>(Stooq, 2026)</w:t>
          </w:r>
          <w:r w:rsidR="004F359C">
            <w:fldChar w:fldCharType="end"/>
          </w:r>
        </w:sdtContent>
      </w:sdt>
      <w:r w:rsidRPr="00CE1ECE">
        <w:t xml:space="preserve"> Wszystkie szeregi zostały przekształcone do dziennych logarytmicznych stóp zwrotu, co zapewnia addytywność w czasie oraz lepsze własności statystyczne w porównaniu ze stopami prostymi.</w:t>
      </w:r>
    </w:p>
    <w:p w14:paraId="3F058BC7" w14:textId="77777777" w:rsidR="005008E0" w:rsidRDefault="00E76C1B" w:rsidP="003B40CF">
      <w:pPr>
        <w:pStyle w:val="tekst"/>
      </w:pPr>
      <w:r w:rsidRPr="00CE1ECE">
        <w:t xml:space="preserve">Średnie stopy zwrotu poszczególnych spółek oraz macierz kowariancji stóp zwrotu oszacowano na podstawie danych historycznych, przy założeniu stacjonarności procesu generującego zwroty w okresie badania. </w:t>
      </w:r>
      <w:r w:rsidR="005008E0" w:rsidRPr="00CE1ECE">
        <w:t>W dalszej części pracy analizę rozszerzono o podejście typu shrinkage, które pozwala stabilizować macierz kowariancji w przypadku ograniczonej próby i wielu instrumentów.</w:t>
      </w:r>
    </w:p>
    <w:p w14:paraId="7B6270CE" w14:textId="18550084" w:rsidR="00C627DA" w:rsidRPr="00CE1ECE" w:rsidRDefault="00C627DA" w:rsidP="003B40CF">
      <w:pPr>
        <w:pStyle w:val="tekst"/>
      </w:pPr>
      <w:r w:rsidRPr="00C627DA">
        <w:t>W ramach rozszerzenia analizy rozważono estymację macierzy kowariancji metodą shrinkage w wariancie Ledoit–Wolf[AB3.1]. Podejście to polega na częściowym „ściągnięciu” empirycznej macierzy kowariancji w kierunku macierzy o prostszej i bardziej stabilnej strukturze (tzw. target), co ogranicza wpływ szumu estymacji typowego dla danych finansowych. W praktyce shrinkage może stabilizować wagi portfela i zmniejszać ich wrażliwość na niewielkie zmiany próby. W niniejszej pracy macierz shrinkage wyznaczono pomocniczo jako element analizy porównawczej stabilności estymacji, natomiast finalne portfele wyznaczono na bazie klasycznej macierzy kowariancji, aby zachować bezpośrednią zgodność z klasycznym modelem Markowitza oraz porównywalność wyników strategii long-only, long-short i benchmarku WIG20.</w:t>
      </w:r>
      <w:sdt>
        <w:sdtPr>
          <w:id w:val="-343173470"/>
          <w:citation/>
        </w:sdtPr>
        <w:sdtContent>
          <w:r w:rsidR="004F359C">
            <w:fldChar w:fldCharType="begin"/>
          </w:r>
          <w:r w:rsidR="004F359C">
            <w:instrText xml:space="preserve"> CITATION Led20 \l 1045 </w:instrText>
          </w:r>
          <w:r w:rsidR="004F359C">
            <w:fldChar w:fldCharType="separate"/>
          </w:r>
          <w:r w:rsidR="004F359C">
            <w:rPr>
              <w:noProof/>
            </w:rPr>
            <w:t xml:space="preserve"> </w:t>
          </w:r>
          <w:r w:rsidR="004F359C" w:rsidRPr="004F359C">
            <w:rPr>
              <w:noProof/>
            </w:rPr>
            <w:t>(Ledoit i Wolf, 2020)</w:t>
          </w:r>
          <w:r w:rsidR="004F359C">
            <w:fldChar w:fldCharType="end"/>
          </w:r>
        </w:sdtContent>
      </w:sdt>
    </w:p>
    <w:p w14:paraId="7F879C2B" w14:textId="2B133F70" w:rsidR="00E76C1B" w:rsidRPr="00CE1ECE" w:rsidRDefault="00E76C1B" w:rsidP="003B40CF">
      <w:pPr>
        <w:pStyle w:val="tekst"/>
      </w:pPr>
      <w:r w:rsidRPr="00CE1ECE">
        <w:t>Do optymalizacji portfela wykorzystano dwie klasy rozwiązań. Pierwsza to portfel long</w:t>
      </w:r>
      <w:r w:rsidR="000C65EC">
        <w:noBreakHyphen/>
      </w:r>
      <w:r w:rsidRPr="00CE1ECE">
        <w:t xml:space="preserve">short maksymalizujący współczynnik Sharpe’a przy dopuszczeniu wag ujemnych, rozwiązany analitycznie poprzez odwrócenie macierzy kowariancji i normalizację wektora wag. Druga to portfel minimalnej wariancji long-only, dla którego wagi wyznaczono przy użyciu programu kwadratowego (solve.QP z pakietu quadprog) z ograniczeniami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≥0  </m:t>
        </m:r>
      </m:oMath>
      <w:r w:rsidRPr="00CE1ECE">
        <w:t xml:space="preserve">oraz </w:t>
      </w:r>
      <m:oMath>
        <m: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=1</m:t>
        </m:r>
      </m:oMath>
      <w:r w:rsidRPr="00CE1ECE">
        <w:t>. Pozwala to porównać, w jakim stopniu dopuszczenie krótkiej sprzedaży wpływa na efektywność portfela w porównaniu z klasycznym podejściem long-only.</w:t>
      </w:r>
    </w:p>
    <w:p w14:paraId="107F1775" w14:textId="257EEC45" w:rsidR="00E76C1B" w:rsidRPr="00CE1ECE" w:rsidRDefault="00E76C1B" w:rsidP="003B40CF">
      <w:pPr>
        <w:pStyle w:val="tekst"/>
      </w:pPr>
      <w:r w:rsidRPr="00CE1ECE">
        <w:t xml:space="preserve">Ocena portfeli została przeprowadzona z wykorzystaniem miar efektywności dostępnych w pakiecie PerformanceAnalytics, takich jak roczne stopy zwrotu, współczynnik Sharpe’a, współczynnik Sortino oraz maksymalne </w:t>
      </w:r>
      <w:commentRangeStart w:id="14"/>
      <w:r w:rsidRPr="00CE1ECE">
        <w:t>obsunięcie kapitału</w:t>
      </w:r>
      <w:commentRangeEnd w:id="14"/>
      <w:r w:rsidR="003B40CF" w:rsidRPr="00CE1ECE">
        <w:rPr>
          <w:rStyle w:val="Odwoaniedokomentarza"/>
          <w:sz w:val="20"/>
          <w:szCs w:val="22"/>
        </w:rPr>
        <w:commentReference w:id="14"/>
      </w:r>
      <w:r w:rsidRPr="00CE1ECE">
        <w:t>.</w:t>
      </w:r>
      <w:sdt>
        <w:sdtPr>
          <w:id w:val="1930995996"/>
          <w:citation/>
        </w:sdtPr>
        <w:sdtContent>
          <w:r w:rsidR="004F359C">
            <w:fldChar w:fldCharType="begin"/>
          </w:r>
          <w:r w:rsidR="004F359C">
            <w:instrText xml:space="preserve"> CITATION Pet25 \l 1045 </w:instrText>
          </w:r>
          <w:r w:rsidR="004F359C">
            <w:fldChar w:fldCharType="separate"/>
          </w:r>
          <w:r w:rsidR="004F359C">
            <w:rPr>
              <w:noProof/>
            </w:rPr>
            <w:t xml:space="preserve"> </w:t>
          </w:r>
          <w:r w:rsidR="004F359C" w:rsidRPr="004F359C">
            <w:rPr>
              <w:noProof/>
            </w:rPr>
            <w:t>(Peterson, Carl i Boudt, 2025)</w:t>
          </w:r>
          <w:r w:rsidR="004F359C">
            <w:fldChar w:fldCharType="end"/>
          </w:r>
        </w:sdtContent>
      </w:sdt>
      <w:r w:rsidRPr="00CE1ECE">
        <w:t xml:space="preserve"> Wykorzystano zarówno podejście statyczne (wagi wyznaczone raz dla całego okresu badania), jak i rolling backtest z rocznym oknem estymacji i miesięcznym rebalancingiem. W każdej iteracji okna reestymowane są parametry portfela, a następnie obliczane są stopy zwrotu w okresie testowym, co pozwala uchwycić zmienność wyników w czasie i lepiej odzwierciedla rzeczywiste warunki inwestycyjne.</w:t>
      </w:r>
    </w:p>
    <w:p w14:paraId="41AF9E22" w14:textId="6F261144" w:rsidR="00CE3896" w:rsidRDefault="00E76C1B" w:rsidP="003B40CF">
      <w:pPr>
        <w:pStyle w:val="tekst"/>
      </w:pPr>
      <w:r w:rsidRPr="00CE1ECE">
        <w:t>Obliczenia przeprowadzono w środowisku R, które dzięki rozbudowanemu ekosystemowi pakietów (m.in. quantmod, PerformanceAnalytics, xts, zoo, quadprog) stanowi standardowe narzędzie do analizy danych finansowych i budowy portfeli inwestycyjnych. Zastosowanie R</w:t>
      </w:r>
      <w:r w:rsidR="00845719" w:rsidRPr="00CE1ECE">
        <w:t> </w:t>
      </w:r>
      <w:r w:rsidRPr="00CE1ECE">
        <w:t xml:space="preserve">umożliwia powtarzalność analiz, łatwe modyfikowanie założeń (np. długości okna, zestawu </w:t>
      </w:r>
      <w:r w:rsidRPr="00CE1ECE">
        <w:lastRenderedPageBreak/>
        <w:t xml:space="preserve">spółek, poziomu stopy wolnej od ryzyka) oraz przygotowanie wykresów efektywnej granicy, przebiegu wartości portfela i porównania go z benchmarkiem. </w:t>
      </w:r>
      <w:r w:rsidR="009E6DFF">
        <w:t>Niniejsze podejście</w:t>
      </w:r>
      <w:r w:rsidR="00BA00BA">
        <w:t xml:space="preserve"> badawcze</w:t>
      </w:r>
      <w:r w:rsidRPr="00CE1ECE">
        <w:t xml:space="preserve"> nawiązuje do metodologii przedstawionej w materiałach laboratoryjnych z przedmiotu „Inwestycje alternatywne”, gdzie program R jest wykorzystywany do ilustracji koncepcji portfela efektywnego i portfela minimalnego ryzyka.</w:t>
      </w:r>
    </w:p>
    <w:p w14:paraId="4EBC9186" w14:textId="3327A20A" w:rsidR="00CE1ECE" w:rsidRDefault="00CE1ECE" w:rsidP="00034937">
      <w:pPr>
        <w:pStyle w:val="tekst"/>
      </w:pPr>
      <w:r>
        <w:br w:type="page"/>
      </w:r>
    </w:p>
    <w:p w14:paraId="03C82356" w14:textId="3382F2F6" w:rsidR="005D49A0" w:rsidRPr="005D49A0" w:rsidRDefault="005D49A0" w:rsidP="003B40CF">
      <w:pPr>
        <w:pStyle w:val="Styl3"/>
      </w:pPr>
      <w:r w:rsidRPr="005D49A0">
        <w:lastRenderedPageBreak/>
        <w:t>BUDOWA OPTYMALNEGO PORTFELA INWESTYCYJNEGO</w:t>
      </w:r>
    </w:p>
    <w:p w14:paraId="53DB5763" w14:textId="77777777" w:rsidR="00AC3B7D" w:rsidRDefault="005D49A0" w:rsidP="003B40CF">
      <w:pPr>
        <w:pStyle w:val="tekst"/>
      </w:pPr>
      <w:r w:rsidRPr="00AC3B7D">
        <w:t xml:space="preserve">W niniejszym rozdziale przedstawiono praktyczną procedurę budowy portfela inwestycyjnego opartego na akcjach spółek KGHM, PKO BP, PKN Orlen, CD Projekt, LPP oraz Allegro, z możliwością zajmowania zarówno pozycji długich, jak i krótkich. Punktem wyjścia jest model średniej-wariancji Markowitza, którego założenia omówiono w rozdziale drugim. </w:t>
      </w:r>
    </w:p>
    <w:p w14:paraId="0854CD32" w14:textId="77777777" w:rsidR="008F5BE9" w:rsidRDefault="005D49A0" w:rsidP="003B40CF">
      <w:pPr>
        <w:pStyle w:val="tekst"/>
      </w:pPr>
      <w:r w:rsidRPr="00AC3B7D">
        <w:t>Następnie opisano dobór próby badawczej, źródła danych, definicję zastosowanych zmiennych, a także szczegółową procedurę optymalizacji portfela i jego późniejszej weryfikacji w</w:t>
      </w:r>
      <w:r w:rsidR="00D36665">
        <w:t> </w:t>
      </w:r>
      <w:r w:rsidRPr="00AC3B7D">
        <w:t xml:space="preserve">ramach testu kroczącego (rolling backtest). </w:t>
      </w:r>
    </w:p>
    <w:p w14:paraId="30005C1B" w14:textId="45EF4C74" w:rsidR="005D49A0" w:rsidRPr="00AC3B7D" w:rsidRDefault="005D49A0" w:rsidP="003B40CF">
      <w:pPr>
        <w:pStyle w:val="tekst"/>
      </w:pPr>
      <w:r w:rsidRPr="00AC3B7D">
        <w:t>Konstrukcja rozdziału odzwierciedla kolejność kroków obliczeniowych implementowanych w środowisku R, zgodnie z materiałami z laboratorium dotyczącymi optymalnego portfela Markowitza.</w:t>
      </w:r>
    </w:p>
    <w:p w14:paraId="476DD62B" w14:textId="77777777" w:rsidR="00D556C8" w:rsidRPr="00D556C8" w:rsidRDefault="00D556C8" w:rsidP="00F5375B">
      <w:pPr>
        <w:pStyle w:val="Akapitzlist"/>
        <w:keepNext/>
        <w:keepLines/>
        <w:pageBreakBefore/>
        <w:numPr>
          <w:ilvl w:val="0"/>
          <w:numId w:val="1"/>
        </w:numPr>
        <w:spacing w:before="240" w:after="120" w:line="240" w:lineRule="auto"/>
        <w:ind w:left="720"/>
        <w:jc w:val="both"/>
        <w:outlineLvl w:val="0"/>
        <w:rPr>
          <w:rFonts w:ascii="Arial" w:eastAsia="Times New Roman" w:hAnsi="Arial" w:cs="Times New Roman"/>
          <w:b/>
          <w:bCs/>
          <w:caps/>
          <w:vanish/>
          <w:kern w:val="0"/>
          <w:szCs w:val="28"/>
          <w:lang w:eastAsia="pl-PL"/>
          <w14:ligatures w14:val="none"/>
        </w:rPr>
      </w:pPr>
    </w:p>
    <w:p w14:paraId="18DA44B0" w14:textId="36E9EE75" w:rsidR="005D49A0" w:rsidRPr="005D49A0" w:rsidRDefault="005D49A0" w:rsidP="00F5375B">
      <w:pPr>
        <w:pStyle w:val="Styl1"/>
        <w:ind w:left="786"/>
      </w:pPr>
      <w:r w:rsidRPr="005D49A0">
        <w:t>Założenia badawcze i zakres analizy</w:t>
      </w:r>
    </w:p>
    <w:p w14:paraId="0889D55B" w14:textId="70E9B3F5" w:rsidR="005D49A0" w:rsidRPr="0067712E" w:rsidRDefault="005D49A0" w:rsidP="003B40CF">
      <w:pPr>
        <w:pStyle w:val="tekst"/>
      </w:pPr>
      <w:r w:rsidRPr="0067712E">
        <w:t xml:space="preserve">Celem empirycznym pracy jest zbudowanie i ocena portfela inwestycyjnego opartego na akcjach wybranych spółek z indeksu WIG20, z dopuszczeniem krótkiej sprzedaży, oraz porównanie jego wyników z zachowaniem indeksu WIG20 pełniącego rolę benchmarku rynkowego. Zgodnie z celem sformułowanym we wstępie, analizie poddano dwa typy portfeli: </w:t>
      </w:r>
    </w:p>
    <w:p w14:paraId="2ACAA720" w14:textId="77777777" w:rsidR="005D49A0" w:rsidRPr="00D36665" w:rsidRDefault="005D49A0" w:rsidP="003B40CF">
      <w:pPr>
        <w:pStyle w:val="punkty"/>
      </w:pPr>
      <w:r w:rsidRPr="00A960B9">
        <w:t>portfel long-only</w:t>
      </w:r>
      <w:r w:rsidRPr="00D36665">
        <w:t xml:space="preserve"> – z wyłącznie dodatnimi udziałami poszczególnych aktywów,</w:t>
      </w:r>
    </w:p>
    <w:p w14:paraId="3B7A50C4" w14:textId="77777777" w:rsidR="005D49A0" w:rsidRPr="00B37E35" w:rsidRDefault="005D49A0" w:rsidP="003B40CF">
      <w:pPr>
        <w:pStyle w:val="punkty"/>
      </w:pPr>
      <w:r w:rsidRPr="00A960B9">
        <w:t>portfel long-short</w:t>
      </w:r>
      <w:r w:rsidRPr="00D36665">
        <w:t xml:space="preserve"> –</w:t>
      </w:r>
      <w:r w:rsidRPr="00B37E35">
        <w:t xml:space="preserve"> dopuszczający zarówno pozycje długie, jak i krótkie, przy założeniu sumy wag równej jedności.</w:t>
      </w:r>
    </w:p>
    <w:p w14:paraId="5E793662" w14:textId="77777777" w:rsidR="005D49A0" w:rsidRPr="0067712E" w:rsidRDefault="005D49A0" w:rsidP="003B40CF">
      <w:pPr>
        <w:pStyle w:val="tekst"/>
      </w:pPr>
      <w:r w:rsidRPr="0067712E">
        <w:t xml:space="preserve">Badaniem objęto okres od </w:t>
      </w:r>
      <w:r w:rsidRPr="0067712E">
        <w:rPr>
          <w:bCs/>
        </w:rPr>
        <w:t>1 stycznia 2020 r.</w:t>
      </w:r>
      <w:r w:rsidRPr="0067712E">
        <w:t xml:space="preserve"> do dnia pozyskania danych, co odpowiada około pięciu latom notowań dziennych. Dolna granica horyzontu została zdeterminowana przez datę debiutu giełdowego spółki Allegro, co pozwala na analizę portfela złożonego z pełnego zestawu sześciu wybranych walorów. Po połączeniu szeregów czasowych wszystkich spółek oraz indeksu WIG20 badany okres ulega skróceniu do wspólnej części, w której dostępne są jednocześnie obserwacje dla każdego składnika portfela.</w:t>
      </w:r>
    </w:p>
    <w:p w14:paraId="6B283CDE" w14:textId="77777777" w:rsidR="005D49A0" w:rsidRPr="0067712E" w:rsidRDefault="005D49A0" w:rsidP="003B40CF">
      <w:pPr>
        <w:pStyle w:val="tekst"/>
      </w:pPr>
      <w:r w:rsidRPr="0067712E">
        <w:t>W ramach analizy przyjęto następujące założenia upraszczające:</w:t>
      </w:r>
    </w:p>
    <w:p w14:paraId="01B406BD" w14:textId="77777777" w:rsidR="005D49A0" w:rsidRPr="0067712E" w:rsidRDefault="005D49A0" w:rsidP="00F5375B">
      <w:pPr>
        <w:pStyle w:val="punkty"/>
        <w:ind w:left="1426"/>
      </w:pPr>
      <w:r w:rsidRPr="0067712E">
        <w:t>transakcje dokonywane są bez kosztów prowizyjnych i podatkowych,</w:t>
      </w:r>
    </w:p>
    <w:p w14:paraId="72733E53" w14:textId="51CA08AA" w:rsidR="005D49A0" w:rsidRPr="0067712E" w:rsidRDefault="005D49A0" w:rsidP="00F5375B">
      <w:pPr>
        <w:pStyle w:val="punkty"/>
        <w:ind w:left="1426"/>
      </w:pPr>
      <w:r w:rsidRPr="0067712E">
        <w:t>portfel jest rebalansowany w dyskretnych odstępach (miesięcznych) zgodnie z wynikami optymalizacji,</w:t>
      </w:r>
    </w:p>
    <w:p w14:paraId="4A2AE2CD" w14:textId="77777777" w:rsidR="005D49A0" w:rsidRPr="0067712E" w:rsidRDefault="005D49A0" w:rsidP="00F5375B">
      <w:pPr>
        <w:pStyle w:val="punkty"/>
        <w:ind w:left="1426"/>
      </w:pPr>
      <w:r w:rsidRPr="0067712E">
        <w:t>inwestor reinwestuje wszystkie zyski w portfel,</w:t>
      </w:r>
    </w:p>
    <w:p w14:paraId="6A4BAB8F" w14:textId="77777777" w:rsidR="005D49A0" w:rsidRPr="0067712E" w:rsidRDefault="005D49A0" w:rsidP="00F5375B">
      <w:pPr>
        <w:pStyle w:val="punkty"/>
        <w:ind w:left="1426"/>
      </w:pPr>
      <w:r w:rsidRPr="0067712E">
        <w:t>wypłaty dywidend nie są uwzględniane – analizowane są stopy zwrotu z cen zamknięcia,</w:t>
      </w:r>
    </w:p>
    <w:p w14:paraId="74018C06" w14:textId="248F6A41" w:rsidR="005D49A0" w:rsidRPr="0067712E" w:rsidRDefault="005D49A0" w:rsidP="00F5375B">
      <w:pPr>
        <w:pStyle w:val="punkty"/>
        <w:ind w:left="1426"/>
      </w:pPr>
      <w:r w:rsidRPr="0067712E">
        <w:t>w przypadku portfela long-short zakłada się możliwość technicznej realizacji krótkiej sprzedaży (np. przez pożyczkę papierów wartościowych) oraz zapewnienia wymaganego depozytu zabezpieczającego.</w:t>
      </w:r>
      <w:sdt>
        <w:sdtPr>
          <w:id w:val="1145710977"/>
          <w:citation/>
        </w:sdtPr>
        <w:sdtContent>
          <w:r w:rsidR="0006459C">
            <w:fldChar w:fldCharType="begin"/>
          </w:r>
          <w:r w:rsidR="0006459C">
            <w:instrText xml:space="preserve"> CITATION Kra24 \l 1045 </w:instrText>
          </w:r>
          <w:r w:rsidR="0006459C">
            <w:fldChar w:fldCharType="separate"/>
          </w:r>
          <w:r w:rsidR="0006459C">
            <w:rPr>
              <w:noProof/>
            </w:rPr>
            <w:t xml:space="preserve"> (Krajowy Depozyt Papierów Wartościowych, 2024)</w:t>
          </w:r>
          <w:r w:rsidR="0006459C">
            <w:fldChar w:fldCharType="end"/>
          </w:r>
        </w:sdtContent>
      </w:sdt>
      <w:sdt>
        <w:sdtPr>
          <w:id w:val="-1407681217"/>
          <w:citation/>
        </w:sdtPr>
        <w:sdtContent>
          <w:r w:rsidR="0006459C">
            <w:fldChar w:fldCharType="begin"/>
          </w:r>
          <w:r w:rsidR="0006459C">
            <w:instrText xml:space="preserve"> CITATION Gie25 \l 1045 </w:instrText>
          </w:r>
          <w:r w:rsidR="0006459C">
            <w:fldChar w:fldCharType="separate"/>
          </w:r>
          <w:r w:rsidR="0006459C">
            <w:rPr>
              <w:noProof/>
            </w:rPr>
            <w:t xml:space="preserve"> (Giełda Papierów Wartościowych w Warszawie S.A., 2025)</w:t>
          </w:r>
          <w:r w:rsidR="0006459C">
            <w:fldChar w:fldCharType="end"/>
          </w:r>
        </w:sdtContent>
      </w:sdt>
    </w:p>
    <w:p w14:paraId="7A65C4C7" w14:textId="55E2A0F3" w:rsidR="005D49A0" w:rsidRPr="0067712E" w:rsidRDefault="005D49A0" w:rsidP="003B40CF">
      <w:pPr>
        <w:pStyle w:val="tekst"/>
      </w:pPr>
      <w:r w:rsidRPr="0067712E">
        <w:t>Przyjęte założenia pozwalają skupić się na samym mechanizmie konstrukcji portfela Markowitza i jego własnościach statystycznych, abstrahując od ograniczeń instytucjonalnych i</w:t>
      </w:r>
      <w:r w:rsidR="00745F31">
        <w:t> </w:t>
      </w:r>
      <w:r w:rsidRPr="0067712E">
        <w:t>technicznych rynku.</w:t>
      </w:r>
    </w:p>
    <w:p w14:paraId="2D3AF736" w14:textId="41D70185" w:rsidR="005D49A0" w:rsidRPr="003B40CF" w:rsidRDefault="005D49A0" w:rsidP="003B40CF">
      <w:pPr>
        <w:pStyle w:val="Styl1"/>
      </w:pPr>
      <w:r w:rsidRPr="003B40CF">
        <w:lastRenderedPageBreak/>
        <w:t>Charakterystyka wykorzystanych instrumentów</w:t>
      </w:r>
    </w:p>
    <w:p w14:paraId="4A2AA244" w14:textId="77777777" w:rsidR="005D49A0" w:rsidRPr="000C2F43" w:rsidRDefault="005D49A0" w:rsidP="003B40CF">
      <w:pPr>
        <w:pStyle w:val="tekst"/>
      </w:pPr>
      <w:r w:rsidRPr="000C2F43">
        <w:t>Portfel inwestycyjny budowany jest na podstawie akcji sześciu spółek notowanych na Giełdzie Papierów Wartościowych w Warszawie, zaliczanych do indeksu WIG20 lub mających istotne znaczenie dla polskiego rynku kapitałowego:</w:t>
      </w:r>
    </w:p>
    <w:p w14:paraId="1D4672CB" w14:textId="0E5292FD" w:rsidR="008F107E" w:rsidRPr="008F107E" w:rsidRDefault="005D49A0" w:rsidP="00F5375B">
      <w:pPr>
        <w:pStyle w:val="punkty"/>
        <w:ind w:left="1426"/>
      </w:pPr>
      <w:r w:rsidRPr="00D556C8">
        <w:rPr>
          <w:rStyle w:val="Styl4Znak"/>
          <w:rFonts w:eastAsiaTheme="minorHAnsi"/>
        </w:rPr>
        <w:t>KGHM Polska Miedź S.A. (KGHM</w:t>
      </w:r>
      <w:r w:rsidRPr="0090689F">
        <w:rPr>
          <w:b/>
        </w:rPr>
        <w:t>)</w:t>
      </w:r>
      <w:r w:rsidRPr="0090689F">
        <w:t xml:space="preserve"> – spółka z sektora surowcowego, silnie powiązana z cenami metali (w szczególności miedzi),</w:t>
      </w:r>
    </w:p>
    <w:p w14:paraId="718B149B" w14:textId="77777777" w:rsidR="005D49A0" w:rsidRPr="0090689F" w:rsidRDefault="005D49A0" w:rsidP="00F5375B">
      <w:pPr>
        <w:pStyle w:val="punkty"/>
        <w:ind w:left="1426"/>
      </w:pPr>
      <w:r w:rsidRPr="0090689F">
        <w:rPr>
          <w:b/>
        </w:rPr>
        <w:t>PKO Bank Polski S.A. (PKO BP)</w:t>
      </w:r>
      <w:r w:rsidRPr="0090689F">
        <w:t xml:space="preserve"> – największy bank uniwersalny w Polsce, reprezentant sektora finansowego,</w:t>
      </w:r>
    </w:p>
    <w:p w14:paraId="7FA2664E" w14:textId="77777777" w:rsidR="005D49A0" w:rsidRPr="0090689F" w:rsidRDefault="005D49A0" w:rsidP="00F5375B">
      <w:pPr>
        <w:pStyle w:val="punkty"/>
        <w:ind w:left="1426"/>
      </w:pPr>
      <w:r w:rsidRPr="0090689F">
        <w:rPr>
          <w:b/>
        </w:rPr>
        <w:t>PKN Orlen S.A. (PKN Orlen)</w:t>
      </w:r>
      <w:r w:rsidRPr="0090689F">
        <w:t xml:space="preserve"> – podmiot z branży paliwowo-energetycznej,</w:t>
      </w:r>
    </w:p>
    <w:p w14:paraId="143BC309" w14:textId="77777777" w:rsidR="005D49A0" w:rsidRPr="0090689F" w:rsidRDefault="005D49A0" w:rsidP="00F5375B">
      <w:pPr>
        <w:pStyle w:val="punkty"/>
        <w:ind w:left="1426"/>
      </w:pPr>
      <w:r w:rsidRPr="0090689F">
        <w:rPr>
          <w:b/>
        </w:rPr>
        <w:t>CD Projekt S.A. (CD Projekt)</w:t>
      </w:r>
      <w:r w:rsidRPr="0090689F">
        <w:t xml:space="preserve"> – spółka z sektora gier komputerowych, charakteryzująca się wysoką zmiennością kursu,</w:t>
      </w:r>
    </w:p>
    <w:p w14:paraId="53B5FE1F" w14:textId="77777777" w:rsidR="005D49A0" w:rsidRPr="0090689F" w:rsidRDefault="005D49A0" w:rsidP="00F5375B">
      <w:pPr>
        <w:pStyle w:val="punkty"/>
        <w:ind w:left="1426"/>
      </w:pPr>
      <w:r w:rsidRPr="0090689F">
        <w:rPr>
          <w:b/>
        </w:rPr>
        <w:t>LPP S.A. (LPP)</w:t>
      </w:r>
      <w:r w:rsidRPr="0090689F">
        <w:t xml:space="preserve"> – przedstawiciel rynku odzieżowego i detalicznego,</w:t>
      </w:r>
    </w:p>
    <w:p w14:paraId="07E2BA8A" w14:textId="76458282" w:rsidR="005D49A0" w:rsidRPr="0090689F" w:rsidRDefault="005D49A0" w:rsidP="00F5375B">
      <w:pPr>
        <w:pStyle w:val="punkty"/>
        <w:ind w:left="1426"/>
      </w:pPr>
      <w:r w:rsidRPr="0090689F">
        <w:rPr>
          <w:b/>
        </w:rPr>
        <w:t>Allegro.eu S.A. (Allegro)</w:t>
      </w:r>
      <w:r w:rsidRPr="0090689F">
        <w:t xml:space="preserve"> – operator platformy e-commerce, którego debiut giełdowy w 2020 roku był jednym z największych wydarzeń na rynku kapitałowym w</w:t>
      </w:r>
      <w:r w:rsidR="006C0A05">
        <w:t> </w:t>
      </w:r>
      <w:r w:rsidRPr="0090689F">
        <w:t>Polsce.</w:t>
      </w:r>
    </w:p>
    <w:p w14:paraId="201AFA5B" w14:textId="77777777" w:rsidR="005D49A0" w:rsidRPr="000C2F43" w:rsidRDefault="005D49A0" w:rsidP="003B40CF">
      <w:pPr>
        <w:pStyle w:val="tekst"/>
      </w:pPr>
      <w:r w:rsidRPr="000C2F43">
        <w:t>Taki dobór spółek ma na celu uzyskanie portfela obejmującego zróżnicowane branże (surowcową, finansową, paliwową, technologiczną oraz handel detaliczny), co sprzyja dywersyfikacji ryzyka portfela. Jednocześnie wszystkie wskazane podmioty należą do grona największych spółek pod względem kapitalizacji i płynności obrotu, co ogranicza potencjalne problemy związane z realizacją większych transakcji.</w:t>
      </w:r>
    </w:p>
    <w:p w14:paraId="46032DB4" w14:textId="20BDC24F" w:rsidR="005D49A0" w:rsidRPr="005E6F74" w:rsidRDefault="005D49A0" w:rsidP="003B40CF">
      <w:pPr>
        <w:pStyle w:val="tekst"/>
        <w:rPr>
          <w:rFonts w:cs="Arial"/>
          <w:szCs w:val="20"/>
        </w:rPr>
      </w:pPr>
      <w:r w:rsidRPr="005E6F74">
        <w:rPr>
          <w:rFonts w:cs="Arial"/>
          <w:szCs w:val="20"/>
        </w:rPr>
        <w:t xml:space="preserve">Rolę </w:t>
      </w:r>
      <w:r w:rsidRPr="005E6F74">
        <w:rPr>
          <w:rFonts w:cs="Arial"/>
          <w:b/>
          <w:bCs/>
          <w:szCs w:val="20"/>
        </w:rPr>
        <w:t>benchmarku rynkowego</w:t>
      </w:r>
      <w:r w:rsidRPr="005E6F74">
        <w:rPr>
          <w:rFonts w:cs="Arial"/>
          <w:szCs w:val="20"/>
        </w:rPr>
        <w:t xml:space="preserve"> pełni indeks </w:t>
      </w:r>
      <w:r w:rsidRPr="005E6F74">
        <w:rPr>
          <w:rFonts w:cs="Arial"/>
          <w:b/>
          <w:bCs/>
          <w:szCs w:val="20"/>
        </w:rPr>
        <w:t>WIG20</w:t>
      </w:r>
      <w:r w:rsidRPr="005E6F74">
        <w:rPr>
          <w:rFonts w:cs="Arial"/>
          <w:szCs w:val="20"/>
        </w:rPr>
        <w:t>, odzwierciedlający zachowanie cen akcji dwudziestu największych i najbardziej płynnych spółek na GPW. Porównanie wyników portfela z tym indeksem pozwala ocenić, czy skonstruowany portfel przynosi premię za selekcję i optymalizację składu, czy też zachowuje się zbliżenie do szerokiego rynku.</w:t>
      </w:r>
    </w:p>
    <w:p w14:paraId="4EB64C30" w14:textId="7E0D1A9B" w:rsidR="00252965" w:rsidRPr="003B40CF" w:rsidRDefault="00252965" w:rsidP="003B40CF">
      <w:pPr>
        <w:pStyle w:val="Styl2"/>
      </w:pPr>
      <w:r w:rsidRPr="003B40CF">
        <w:t>Estymacja macierzy kowariancji metodą shrinkage</w:t>
      </w:r>
    </w:p>
    <w:p w14:paraId="0D51933C" w14:textId="141A2353" w:rsidR="00C627DA" w:rsidRPr="00C627DA" w:rsidRDefault="00C627DA" w:rsidP="003B40CF">
      <w:pPr>
        <w:pStyle w:val="tekst"/>
      </w:pPr>
      <w:r w:rsidRPr="00C627DA">
        <w:t>W części obliczeniowej dodatkowo wyznaczono macierz kowariancji stóp zwrotu z</w:t>
      </w:r>
      <w:r>
        <w:t> </w:t>
      </w:r>
      <w:r w:rsidRPr="00C627DA">
        <w:t xml:space="preserve"> wykorzystaniem estymatora shrinkage Ledoit–Wolf[AB3.1]. Zarys metody oraz uzasadnienie jej zastosowania przedstawiono w punkcie 2.5.</w:t>
      </w:r>
    </w:p>
    <w:p w14:paraId="0D8A2431" w14:textId="77777777" w:rsidR="00C627DA" w:rsidRPr="00C627DA" w:rsidRDefault="00C627DA" w:rsidP="003B40CF">
      <w:pPr>
        <w:pStyle w:val="tekst"/>
      </w:pPr>
    </w:p>
    <w:p w14:paraId="1CF96CAB" w14:textId="63230E73" w:rsidR="00252965" w:rsidRPr="00EC69AF" w:rsidRDefault="00C627DA" w:rsidP="003B40CF">
      <w:pPr>
        <w:pStyle w:val="tekst"/>
      </w:pPr>
      <w:r w:rsidRPr="00C627DA">
        <w:t>W niniejszym badaniu macierz shrinkage została obliczona pomocniczo, natomiast nie została wykorzystana przy finalnej optymalizacji portfeli. Pozostano przy klasycznym wariancie macierzy kowariancji, aby zachować pełną zgodność wyników z modelem Markowitza oraz umożliwić bezpośrednie porównanie strategii long-only, long-short oraz benchmarku WIG20</w:t>
      </w:r>
      <w:r w:rsidR="00252965" w:rsidRPr="00EC69AF">
        <w:t>.</w:t>
      </w:r>
    </w:p>
    <w:p w14:paraId="02FD3886" w14:textId="0C90DBD2" w:rsidR="005D49A0" w:rsidRPr="003B40CF" w:rsidRDefault="005D49A0" w:rsidP="003B40CF">
      <w:pPr>
        <w:pStyle w:val="Styl1"/>
      </w:pPr>
      <w:r w:rsidRPr="003B40CF">
        <w:t>Źródła danych i przygotowanie szeregów czasowych</w:t>
      </w:r>
    </w:p>
    <w:p w14:paraId="476E0FE5" w14:textId="77777777" w:rsidR="005D49A0" w:rsidRPr="003B40CF" w:rsidRDefault="005D49A0" w:rsidP="003B40CF">
      <w:pPr>
        <w:pStyle w:val="tekst"/>
      </w:pPr>
      <w:r w:rsidRPr="003B40CF">
        <w:t>Dane wykorzystywane w badaniu pozyskano w sposób zautomatyzowany oraz półautomatyczny z dwóch źródeł:</w:t>
      </w:r>
    </w:p>
    <w:p w14:paraId="6464AC44" w14:textId="2CBBE88F" w:rsidR="005D49A0" w:rsidRPr="003B40CF" w:rsidRDefault="00946BDA" w:rsidP="003B40CF">
      <w:pPr>
        <w:pStyle w:val="punkty"/>
      </w:pPr>
      <w:r w:rsidRPr="003B40CF">
        <w:t>s</w:t>
      </w:r>
      <w:r w:rsidR="005D49A0" w:rsidRPr="003B40CF">
        <w:t>erwis Yahoo Finance – do pobrania dziennych notowań akcji KGHM, PKO BP, PKN Orlen, CD Projekt, LPP oraz Allegro wykorzystano pakiet quantmod w</w:t>
      </w:r>
      <w:r w:rsidR="0057381C" w:rsidRPr="003B40CF">
        <w:t> </w:t>
      </w:r>
      <w:r w:rsidR="005D49A0" w:rsidRPr="003B40CF">
        <w:t xml:space="preserve">środowisku R. Notowania zostały pobrane za pomocą funkcji getSymbols(), co pozwoliło na </w:t>
      </w:r>
      <w:r w:rsidR="005D49A0" w:rsidRPr="003B40CF">
        <w:lastRenderedPageBreak/>
        <w:t>bezpośrednie utworzenie obiektów typu xts zawierających m.in. ceny otwarcia, maksima, minima oraz ceny zamknięcia. W dalszej analizie wykorzystano wyłącznie szereg cen zamknięcia (kolumna Close)</w:t>
      </w:r>
      <w:r w:rsidRPr="003B40CF">
        <w:t>;</w:t>
      </w:r>
    </w:p>
    <w:p w14:paraId="0531A903" w14:textId="0A9B022C" w:rsidR="005D49A0" w:rsidRPr="003B40CF" w:rsidRDefault="00946BDA" w:rsidP="003B40CF">
      <w:pPr>
        <w:pStyle w:val="punkty"/>
      </w:pPr>
      <w:r w:rsidRPr="003B40CF">
        <w:t>s</w:t>
      </w:r>
      <w:r w:rsidR="005D49A0" w:rsidRPr="003B40CF">
        <w:t>erwis Stooq – notowania indeksu WIG20 pozyskano w formacie CSV i zapisano w</w:t>
      </w:r>
      <w:r w:rsidR="0057381C" w:rsidRPr="003B40CF">
        <w:t> </w:t>
      </w:r>
      <w:r w:rsidR="005D49A0" w:rsidRPr="003B40CF">
        <w:t>pliku wig20_d.csv, który następnie został wczytany do środowiska R za pomocą funkcji read.csv().</w:t>
      </w:r>
      <w:sdt>
        <w:sdtPr>
          <w:id w:val="-1683807388"/>
          <w:citation/>
        </w:sdtPr>
        <w:sdtContent>
          <w:r w:rsidR="0006459C" w:rsidRPr="003B40CF">
            <w:fldChar w:fldCharType="begin"/>
          </w:r>
          <w:r w:rsidR="0006459C" w:rsidRPr="003B40CF">
            <w:instrText xml:space="preserve"> CITATION Sto26 \l 1045 </w:instrText>
          </w:r>
          <w:r w:rsidR="0006459C" w:rsidRPr="003B40CF">
            <w:fldChar w:fldCharType="separate"/>
          </w:r>
          <w:r w:rsidR="0006459C" w:rsidRPr="003B40CF">
            <w:t xml:space="preserve"> (Stooq, 2026)</w:t>
          </w:r>
          <w:r w:rsidR="0006459C" w:rsidRPr="003B40CF">
            <w:fldChar w:fldCharType="end"/>
          </w:r>
        </w:sdtContent>
      </w:sdt>
      <w:r w:rsidR="005D49A0" w:rsidRPr="003B40CF">
        <w:t xml:space="preserve"> Na potrzeby analizy zdefiniowano obiekt xts zawierający ceny zamknięcia indeksu, uporządkowane według dat.</w:t>
      </w:r>
    </w:p>
    <w:p w14:paraId="5D2D98AD" w14:textId="556F0540" w:rsidR="005D49A0" w:rsidRPr="003B40CF" w:rsidRDefault="005D49A0" w:rsidP="003B40CF">
      <w:pPr>
        <w:pStyle w:val="tekst"/>
        <w:rPr>
          <w:lang w:val="en-US"/>
        </w:rPr>
      </w:pPr>
      <w:r w:rsidRPr="003B40CF">
        <w:t>Po wczytaniu danych dokonano ich synchronizacji pod względem kalendarza notowań. Z uwagi na możliwość występowania luk w notowaniach (np. w przypadku świąt giełdowych) oraz różnic w dostępności danych dla poszczególnych spółek, połączono szeregi czasowe za pomocą funkcji merge(), a następnie usunięto obserwacje zawierające wartości brakujące (funkcja na.omit()). W efekcie uzyskano wspólny zbiór dat, dla których dostępne są jednocześnie notowania wszystkich analizowanych spółek oraz indeksu WIG20.</w:t>
      </w:r>
      <w:r w:rsidR="0006459C" w:rsidRPr="003B40CF">
        <w:t xml:space="preserve"> Operacje łączenia i wyrównania szeregów czasowych realizowano na obiektach typu xts.</w:t>
      </w:r>
      <w:sdt>
        <w:sdtPr>
          <w:id w:val="-1504036838"/>
          <w:citation/>
        </w:sdtPr>
        <w:sdtContent>
          <w:r w:rsidR="0006459C" w:rsidRPr="003B40CF">
            <w:fldChar w:fldCharType="begin"/>
          </w:r>
          <w:r w:rsidR="0006459C" w:rsidRPr="003B40CF">
            <w:instrText xml:space="preserve"> CITATION Rya25 \l 1045 </w:instrText>
          </w:r>
          <w:r w:rsidR="0006459C" w:rsidRPr="003B40CF">
            <w:fldChar w:fldCharType="separate"/>
          </w:r>
          <w:r w:rsidR="0006459C" w:rsidRPr="003B40CF">
            <w:t xml:space="preserve"> </w:t>
          </w:r>
          <w:r w:rsidR="0006459C" w:rsidRPr="003B40CF">
            <w:rPr>
              <w:lang w:val="en-US"/>
            </w:rPr>
            <w:t>(Ryan i Ulrich, quantmod: Quantitative Financial Modelling Framework (R package) – Reference manual, 2025)</w:t>
          </w:r>
          <w:r w:rsidR="0006459C" w:rsidRPr="003B40CF">
            <w:fldChar w:fldCharType="end"/>
          </w:r>
        </w:sdtContent>
      </w:sdt>
    </w:p>
    <w:p w14:paraId="394714B7" w14:textId="791C92B2" w:rsidR="005D49A0" w:rsidRPr="0057532B" w:rsidRDefault="005D49A0" w:rsidP="003B40CF">
      <w:pPr>
        <w:pStyle w:val="tekst"/>
      </w:pPr>
      <w:r w:rsidRPr="003B40CF">
        <w:t>Podstawową zmienną wykorzystywaną w dalszej analizie jest logarytmiczna dzienna stopa zwrotu z ceny zamknięcia, zdefiniowana według wzoru</w:t>
      </w:r>
      <w:r w:rsidR="00304723" w:rsidRPr="003B40CF">
        <w:t xml:space="preserve"> 3.1</w:t>
      </w:r>
      <w:r w:rsidRPr="003B40CF">
        <w:t>:</w:t>
      </w:r>
    </w:p>
    <w:p w14:paraId="76F29196" w14:textId="26CB7CC2" w:rsidR="005D49A0" w:rsidRPr="005D49A0" w:rsidRDefault="00000000" w:rsidP="003B40CF">
      <w:pPr>
        <w:pStyle w:val="tekst"/>
        <w:jc w:val="right"/>
        <w:rPr>
          <w:rFonts w:cs="Arial"/>
          <w:szCs w:val="20"/>
        </w:rPr>
      </w:pPr>
      <m:oMath>
        <m:sSub>
          <m:sSubPr>
            <m:ctrlPr>
              <w:rPr>
                <w:rFonts w:ascii="Cambria Math" w:hAnsi="Cambria Math" w:cs="Arial"/>
                <w:szCs w:val="20"/>
              </w:rPr>
            </m:ctrlPr>
          </m:sSubPr>
          <m:e>
            <m:r>
              <w:rPr>
                <w:rFonts w:ascii="Cambria Math" w:hAnsi="Cambria Math" w:cs="Arial"/>
                <w:szCs w:val="20"/>
              </w:rPr>
              <m:t>r</m:t>
            </m:r>
          </m:e>
          <m:sub>
            <m:r>
              <w:rPr>
                <w:rFonts w:ascii="Cambria Math" w:hAnsi="Cambria Math" w:cs="Arial"/>
                <w:szCs w:val="20"/>
              </w:rPr>
              <m:t>t</m:t>
            </m:r>
          </m:sub>
        </m:sSub>
        <m:r>
          <w:rPr>
            <w:rFonts w:ascii="Cambria Math" w:hAnsi="Cambria Math" w:cs="Arial"/>
            <w:szCs w:val="20"/>
          </w:rPr>
          <m:t>=</m:t>
        </m:r>
        <m:r>
          <m:rPr>
            <m:sty m:val="p"/>
          </m:rPr>
          <w:rPr>
            <w:rFonts w:ascii="Cambria Math" w:hAnsi="Cambria Math" w:cs="Arial"/>
            <w:szCs w:val="20"/>
          </w:rPr>
          <m:t>ln</m:t>
        </m:r>
        <m:r>
          <w:rPr>
            <w:rFonts w:ascii="Cambria Math" w:hAnsi="Cambria Math" w:cs="Arial"/>
            <w:szCs w:val="20"/>
          </w:rPr>
          <m:t>⁡</m:t>
        </m:r>
        <m:d>
          <m:dPr>
            <m:ctrlPr>
              <w:rPr>
                <w:rFonts w:ascii="Cambria Math" w:hAnsi="Cambria Math" w:cs="Arial"/>
                <w:szCs w:val="20"/>
              </w:rPr>
            </m:ctrlPr>
          </m:dPr>
          <m:e>
            <m:f>
              <m:fPr>
                <m:ctrlPr>
                  <w:rPr>
                    <w:rFonts w:ascii="Cambria Math" w:hAnsi="Cambria Math" w:cs="Arial"/>
                    <w:szCs w:val="20"/>
                  </w:rPr>
                </m:ctrlPr>
              </m:fPr>
              <m:num>
                <m:sSub>
                  <m:sSubPr>
                    <m:ctrlPr>
                      <w:rPr>
                        <w:rFonts w:ascii="Cambria Math" w:hAnsi="Cambria Math" w:cs="Arial"/>
                        <w:szCs w:val="20"/>
                      </w:rPr>
                    </m:ctrlPr>
                  </m:sSubPr>
                  <m:e>
                    <m:r>
                      <w:rPr>
                        <w:rFonts w:ascii="Cambria Math" w:hAnsi="Cambria Math" w:cs="Arial"/>
                        <w:szCs w:val="20"/>
                      </w:rPr>
                      <m:t>P</m:t>
                    </m:r>
                  </m:e>
                  <m:sub>
                    <m:r>
                      <w:rPr>
                        <w:rFonts w:ascii="Cambria Math" w:hAnsi="Cambria Math" w:cs="Arial"/>
                        <w:szCs w:val="20"/>
                      </w:rPr>
                      <m:t>t</m:t>
                    </m:r>
                  </m:sub>
                </m:sSub>
              </m:num>
              <m:den>
                <m:sSub>
                  <m:sSubPr>
                    <m:ctrlPr>
                      <w:rPr>
                        <w:rFonts w:ascii="Cambria Math" w:hAnsi="Cambria Math" w:cs="Arial"/>
                        <w:szCs w:val="20"/>
                      </w:rPr>
                    </m:ctrlPr>
                  </m:sSubPr>
                  <m:e>
                    <m:r>
                      <w:rPr>
                        <w:rFonts w:ascii="Cambria Math" w:hAnsi="Cambria Math" w:cs="Arial"/>
                        <w:szCs w:val="20"/>
                      </w:rPr>
                      <m:t>P</m:t>
                    </m:r>
                  </m:e>
                  <m:sub>
                    <m:r>
                      <w:rPr>
                        <w:rFonts w:ascii="Cambria Math" w:hAnsi="Cambria Math" w:cs="Arial"/>
                        <w:szCs w:val="20"/>
                      </w:rPr>
                      <m:t>t-1</m:t>
                    </m:r>
                  </m:sub>
                </m:sSub>
              </m:den>
            </m:f>
          </m:e>
        </m:d>
        <m:r>
          <w:rPr>
            <w:rFonts w:ascii="Cambria Math" w:hAnsi="Cambria Math" w:cs="Arial"/>
            <w:szCs w:val="20"/>
          </w:rPr>
          <m:t>,</m:t>
        </m:r>
      </m:oMath>
      <w:r w:rsidR="0058109C">
        <w:rPr>
          <w:szCs w:val="20"/>
        </w:rPr>
        <w:t xml:space="preserve"> </w:t>
      </w:r>
      <w:r w:rsidR="0058109C">
        <w:rPr>
          <w:szCs w:val="20"/>
        </w:rPr>
        <w:tab/>
      </w:r>
      <w:r w:rsidR="0058109C">
        <w:rPr>
          <w:szCs w:val="20"/>
        </w:rPr>
        <w:tab/>
      </w:r>
      <w:r w:rsidR="0058109C">
        <w:rPr>
          <w:szCs w:val="20"/>
        </w:rPr>
        <w:tab/>
      </w:r>
      <w:r w:rsidR="0058109C">
        <w:rPr>
          <w:szCs w:val="20"/>
        </w:rPr>
        <w:tab/>
      </w:r>
      <w:r w:rsidR="0058109C">
        <w:rPr>
          <w:szCs w:val="20"/>
        </w:rPr>
        <w:tab/>
        <w:t xml:space="preserve"> (3.1)</w:t>
      </w:r>
    </w:p>
    <w:p w14:paraId="52C810EA" w14:textId="77777777" w:rsidR="005D49A0" w:rsidRPr="0057532B" w:rsidRDefault="005D49A0" w:rsidP="003B40CF">
      <w:pPr>
        <w:pStyle w:val="tekst"/>
      </w:pPr>
      <w:r w:rsidRPr="0057532B">
        <w:t xml:space="preserve">gdzie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57532B">
        <w:t xml:space="preserve">oznacza cenę zamknięcia danego instrumentu w dniu </w:t>
      </w:r>
      <m:oMath>
        <m:r>
          <w:rPr>
            <w:rFonts w:ascii="Cambria Math" w:hAnsi="Cambria Math"/>
          </w:rPr>
          <m:t>t</m:t>
        </m:r>
      </m:oMath>
      <w:r w:rsidRPr="0057532B">
        <w:t>. Zastosowanie logarytmicznych stóp zwrotu upraszcza agregowanie stóp zwrotu w czasie (przez sumowanie) oraz lepiej koresponduje z założeniami modelu Markowitza odnośnie przybliżonej normalności rozkładu zwrotów.</w:t>
      </w:r>
    </w:p>
    <w:p w14:paraId="603DD0B9" w14:textId="77777777" w:rsidR="005D49A0" w:rsidRPr="0058109C" w:rsidRDefault="005D49A0" w:rsidP="003B40CF">
      <w:pPr>
        <w:pStyle w:val="tekst"/>
        <w:rPr>
          <w:rFonts w:cs="Arial"/>
          <w:szCs w:val="20"/>
        </w:rPr>
      </w:pPr>
      <w:r w:rsidRPr="0058109C">
        <w:rPr>
          <w:rFonts w:cs="Arial"/>
          <w:szCs w:val="20"/>
        </w:rPr>
        <w:t>W środowisku R logarytmiczne stopy zwrotu obliczono z wykorzystaniem funkcji Return.calculate() z pakietu PerformanceAnalytics, a następnie oczyszczono z początkowych obserwacji brakujących, wynikających z konstrukcji wskaźnika:</w:t>
      </w:r>
    </w:p>
    <w:p w14:paraId="3E7D42BE" w14:textId="7719E2FB" w:rsidR="005D49A0" w:rsidRPr="0006459C" w:rsidRDefault="005D49A0" w:rsidP="003B40CF">
      <w:pPr>
        <w:pStyle w:val="tekst"/>
        <w:rPr>
          <w:rFonts w:cs="Arial"/>
          <w:szCs w:val="20"/>
          <w:lang w:val="en-US"/>
        </w:rPr>
      </w:pPr>
      <m:oMathPara>
        <m:oMath>
          <m:r>
            <m:rPr>
              <m:nor/>
            </m:rPr>
            <w:rPr>
              <w:rFonts w:cs="Arial"/>
              <w:szCs w:val="20"/>
              <w:lang w:val="en-US"/>
            </w:rPr>
            <m:t>rets_assets</m:t>
          </m:r>
          <m:r>
            <m:rPr>
              <m:sty m:val="p"/>
            </m:rPr>
            <w:rPr>
              <w:rFonts w:ascii="Cambria Math" w:hAnsi="Cambria Math" w:cs="Arial"/>
              <w:szCs w:val="20"/>
              <w:lang w:val="en-US"/>
            </w:rPr>
            <m:t>=</m:t>
          </m:r>
          <m:r>
            <m:rPr>
              <m:nor/>
            </m:rPr>
            <w:rPr>
              <w:rFonts w:cs="Arial"/>
              <w:szCs w:val="20"/>
              <w:lang w:val="en-US"/>
            </w:rPr>
            <m:t>Return.calculate</m:t>
          </m:r>
          <m:r>
            <m:rPr>
              <m:sty m:val="p"/>
            </m:rPr>
            <w:rPr>
              <w:rFonts w:ascii="Cambria Math" w:hAnsi="Cambria Math" w:cs="Arial"/>
              <w:szCs w:val="20"/>
              <w:lang w:val="en-US"/>
            </w:rPr>
            <m:t>(</m:t>
          </m:r>
          <m:r>
            <m:rPr>
              <m:nor/>
            </m:rPr>
            <w:rPr>
              <w:rFonts w:cs="Arial"/>
              <w:szCs w:val="20"/>
              <w:lang w:val="en-US"/>
            </w:rPr>
            <m:t>prices_assets</m:t>
          </m:r>
          <m:r>
            <m:rPr>
              <m:sty m:val="p"/>
            </m:rPr>
            <w:rPr>
              <w:rFonts w:ascii="Cambria Math" w:hAnsi="Cambria Math" w:cs="Arial"/>
              <w:szCs w:val="20"/>
              <w:lang w:val="en-US"/>
            </w:rPr>
            <m:t>,</m:t>
          </m:r>
          <m:r>
            <m:rPr>
              <m:nor/>
            </m:rPr>
            <w:rPr>
              <w:rFonts w:cs="Arial"/>
              <w:szCs w:val="20"/>
              <w:lang w:val="en-US"/>
            </w:rPr>
            <m:t>method</m:t>
          </m:r>
          <m:r>
            <m:rPr>
              <m:sty m:val="p"/>
            </m:rPr>
            <w:rPr>
              <w:rFonts w:ascii="Cambria Math" w:hAnsi="Cambria Math" w:cs="Arial"/>
              <w:szCs w:val="20"/>
              <w:lang w:val="en-US"/>
            </w:rPr>
            <m:t>="</m:t>
          </m:r>
          <m:r>
            <w:rPr>
              <w:rFonts w:ascii="Cambria Math" w:hAnsi="Cambria Math" w:cs="Arial"/>
              <w:szCs w:val="20"/>
            </w:rPr>
            <m:t>log</m:t>
          </m:r>
          <m:r>
            <m:rPr>
              <m:sty m:val="p"/>
            </m:rPr>
            <w:rPr>
              <w:rFonts w:ascii="Cambria Math" w:hAnsi="Cambria Math" w:cs="Arial"/>
              <w:szCs w:val="20"/>
              <w:lang w:val="en-US"/>
            </w:rPr>
            <m:t>"),</m:t>
          </m:r>
          <m:r>
            <m:rPr>
              <m:sty m:val="p"/>
            </m:rPr>
            <w:rPr>
              <w:rFonts w:ascii="Cambria Math" w:hAnsi="Cambria Math" w:cs="Arial"/>
              <w:szCs w:val="20"/>
              <w:lang w:val="en-US"/>
            </w:rPr>
            <w:br/>
          </m:r>
        </m:oMath>
        <m:oMath>
          <m:r>
            <m:rPr>
              <m:nor/>
            </m:rPr>
            <w:rPr>
              <w:rFonts w:cs="Arial"/>
              <w:szCs w:val="20"/>
              <w:lang w:val="en-US"/>
            </w:rPr>
            <m:t>rets_bench</m:t>
          </m:r>
          <m:r>
            <m:rPr>
              <m:sty m:val="p"/>
            </m:rPr>
            <w:rPr>
              <w:rFonts w:ascii="Cambria Math" w:hAnsi="Cambria Math" w:cs="Arial"/>
              <w:szCs w:val="20"/>
              <w:lang w:val="en-US"/>
            </w:rPr>
            <m:t>=</m:t>
          </m:r>
          <m:r>
            <m:rPr>
              <m:nor/>
            </m:rPr>
            <w:rPr>
              <w:rFonts w:cs="Arial"/>
              <w:szCs w:val="20"/>
              <w:lang w:val="en-US"/>
            </w:rPr>
            <m:t>Return.calculate</m:t>
          </m:r>
          <m:r>
            <m:rPr>
              <m:sty m:val="p"/>
            </m:rPr>
            <w:rPr>
              <w:rFonts w:ascii="Cambria Math" w:hAnsi="Cambria Math" w:cs="Arial"/>
              <w:szCs w:val="20"/>
              <w:lang w:val="en-US"/>
            </w:rPr>
            <m:t>(</m:t>
          </m:r>
          <m:r>
            <m:rPr>
              <m:nor/>
            </m:rPr>
            <w:rPr>
              <w:rFonts w:cs="Arial"/>
              <w:szCs w:val="20"/>
              <w:lang w:val="en-US"/>
            </w:rPr>
            <m:t>prices_bench</m:t>
          </m:r>
          <m:r>
            <m:rPr>
              <m:sty m:val="p"/>
            </m:rPr>
            <w:rPr>
              <w:rFonts w:ascii="Cambria Math" w:hAnsi="Cambria Math" w:cs="Arial"/>
              <w:szCs w:val="20"/>
              <w:lang w:val="en-US"/>
            </w:rPr>
            <m:t>,</m:t>
          </m:r>
          <m:r>
            <m:rPr>
              <m:nor/>
            </m:rPr>
            <w:rPr>
              <w:rFonts w:cs="Arial"/>
              <w:szCs w:val="20"/>
              <w:lang w:val="en-US"/>
            </w:rPr>
            <m:t>method</m:t>
          </m:r>
          <m:r>
            <m:rPr>
              <m:sty m:val="p"/>
            </m:rPr>
            <w:rPr>
              <w:rFonts w:ascii="Cambria Math" w:hAnsi="Cambria Math" w:cs="Arial"/>
              <w:szCs w:val="20"/>
              <w:lang w:val="en-US"/>
            </w:rPr>
            <m:t>="</m:t>
          </m:r>
          <m:r>
            <w:rPr>
              <w:rFonts w:ascii="Cambria Math" w:hAnsi="Cambria Math" w:cs="Arial"/>
              <w:szCs w:val="20"/>
            </w:rPr>
            <m:t>log</m:t>
          </m:r>
          <m:r>
            <m:rPr>
              <m:sty m:val="p"/>
            </m:rPr>
            <w:rPr>
              <w:rFonts w:ascii="Cambria Math" w:hAnsi="Cambria Math" w:cs="Arial"/>
              <w:szCs w:val="20"/>
              <w:lang w:val="en-US"/>
            </w:rPr>
            <m:t>").</m:t>
          </m:r>
          <m:r>
            <m:rPr>
              <m:sty m:val="p"/>
            </m:rPr>
            <w:rPr>
              <w:rFonts w:ascii="Cambria Math" w:hAnsi="Cambria Math" w:cs="Arial"/>
              <w:szCs w:val="20"/>
              <w:lang w:val="en-US"/>
            </w:rPr>
            <w:br/>
          </m:r>
        </m:oMath>
      </m:oMathPara>
      <w:sdt>
        <w:sdtPr>
          <w:rPr>
            <w:rFonts w:cs="Arial"/>
            <w:szCs w:val="20"/>
            <w:lang w:val="en-US"/>
          </w:rPr>
          <w:id w:val="-1165779397"/>
          <w:citation/>
        </w:sdtPr>
        <w:sdtContent>
          <w:r w:rsidR="0006459C" w:rsidRPr="0006459C">
            <w:rPr>
              <w:rFonts w:cs="Arial"/>
              <w:szCs w:val="20"/>
              <w:lang w:val="en-US"/>
            </w:rPr>
            <w:fldChar w:fldCharType="begin"/>
          </w:r>
          <w:r w:rsidR="0006459C" w:rsidRPr="0006459C">
            <w:rPr>
              <w:rFonts w:cs="Arial"/>
              <w:szCs w:val="20"/>
              <w:lang w:val="en-US"/>
            </w:rPr>
            <w:instrText xml:space="preserve"> CITATION Pet25 \l 1045 </w:instrText>
          </w:r>
          <w:r w:rsidR="0006459C" w:rsidRPr="0006459C">
            <w:rPr>
              <w:rFonts w:cs="Arial"/>
              <w:szCs w:val="20"/>
              <w:lang w:val="en-US"/>
            </w:rPr>
            <w:fldChar w:fldCharType="separate"/>
          </w:r>
          <w:r w:rsidR="0006459C" w:rsidRPr="0006459C">
            <w:rPr>
              <w:rFonts w:cs="Arial"/>
              <w:noProof/>
              <w:szCs w:val="20"/>
              <w:lang w:val="en-US"/>
            </w:rPr>
            <w:t>(Peterson, Carl i Boudt, 2025)</w:t>
          </w:r>
          <w:r w:rsidR="0006459C" w:rsidRPr="0006459C">
            <w:rPr>
              <w:rFonts w:cs="Arial"/>
              <w:szCs w:val="20"/>
              <w:lang w:val="en-US"/>
            </w:rPr>
            <w:fldChar w:fldCharType="end"/>
          </w:r>
        </w:sdtContent>
      </w:sdt>
    </w:p>
    <w:p w14:paraId="66763E53" w14:textId="6C2A6FC6" w:rsidR="005D49A0" w:rsidRPr="003B40CF" w:rsidRDefault="005D49A0" w:rsidP="003B40CF">
      <w:pPr>
        <w:pStyle w:val="Styl1"/>
      </w:pPr>
      <w:r w:rsidRPr="003B40CF">
        <w:t>Konstrukcja portfeli long-only oraz long-short w modelu Markowitza</w:t>
      </w:r>
    </w:p>
    <w:p w14:paraId="6141E50B" w14:textId="77777777" w:rsidR="005D49A0" w:rsidRPr="00EE6CC5" w:rsidRDefault="005D49A0" w:rsidP="003B40CF">
      <w:pPr>
        <w:pStyle w:val="tekst"/>
      </w:pPr>
      <w:r w:rsidRPr="0057381C">
        <w:t xml:space="preserve">W oparciu o przygotowane szeregi stóp zwrotu zdefiniowano </w:t>
      </w:r>
      <w:r w:rsidRPr="00EE6CC5">
        <w:rPr>
          <w:bCs/>
        </w:rPr>
        <w:t>parametry wejściowe modelu Markowitza</w:t>
      </w:r>
      <w:r w:rsidRPr="00EE6CC5">
        <w:t>:</w:t>
      </w:r>
    </w:p>
    <w:p w14:paraId="37FCD09B" w14:textId="77777777" w:rsidR="005D49A0" w:rsidRPr="00DD0CB3" w:rsidRDefault="005D49A0" w:rsidP="003B40CF">
      <w:pPr>
        <w:pStyle w:val="tekst"/>
      </w:pPr>
      <w:r w:rsidRPr="00DD0CB3">
        <w:t xml:space="preserve">wektor średnich stóp zwrotu </w:t>
      </w:r>
      <m:oMath>
        <m:r>
          <w:rPr>
            <w:rFonts w:ascii="Cambria Math" w:hAnsi="Cambria Math"/>
          </w:rPr>
          <m:t>μ</m:t>
        </m:r>
      </m:oMath>
      <w:r w:rsidRPr="00DD0CB3">
        <w:t>,</w:t>
      </w:r>
    </w:p>
    <w:p w14:paraId="78DB9C94" w14:textId="77777777" w:rsidR="005D49A0" w:rsidRPr="00DD0CB3" w:rsidRDefault="005D49A0" w:rsidP="003B40CF">
      <w:pPr>
        <w:pStyle w:val="tekst"/>
      </w:pPr>
      <w:r w:rsidRPr="00DD0CB3">
        <w:t xml:space="preserve">macierz kowariancji </w:t>
      </w:r>
      <m:oMath>
        <m:r>
          <m:rPr>
            <m:sty m:val="p"/>
          </m:rPr>
          <w:rPr>
            <w:rFonts w:ascii="Cambria Math" w:hAnsi="Cambria Math"/>
          </w:rPr>
          <m:t>Σ</m:t>
        </m:r>
      </m:oMath>
      <w:r w:rsidRPr="00DD0CB3">
        <w:t>stóp zwrotu poszczególnych aktywów.</w:t>
      </w:r>
    </w:p>
    <w:p w14:paraId="1C12C48A" w14:textId="546361BE" w:rsidR="005D49A0" w:rsidRPr="00DD0CB3" w:rsidRDefault="005D49A0" w:rsidP="003B40CF">
      <w:pPr>
        <w:pStyle w:val="tekst"/>
      </w:pPr>
      <w:r w:rsidRPr="00DD0CB3">
        <w:t>Dla całego badanego okresu parametry te oszacowano w sposób klasyczny (historyczny), jako średnie</w:t>
      </w:r>
      <w:r w:rsidR="00AA42B1">
        <w:t xml:space="preserve"> (wzór 3.2)</w:t>
      </w:r>
      <w:r w:rsidRPr="00DD0CB3">
        <w:t xml:space="preserve"> i kowariancje empiryczne na podstawie dziennych logarytmicznych stóp zwrotu</w:t>
      </w:r>
      <w:r w:rsidR="00AA42B1">
        <w:t xml:space="preserve"> (wzór</w:t>
      </w:r>
      <w:r w:rsidR="00132BB7">
        <w:t xml:space="preserve"> 3.3</w:t>
      </w:r>
      <w:r w:rsidR="004A4DDD">
        <w:t>)</w:t>
      </w:r>
      <w:r w:rsidRPr="00DD0CB3">
        <w:t>:</w:t>
      </w:r>
    </w:p>
    <w:p w14:paraId="75387A03" w14:textId="744F1FA5" w:rsidR="00263A05" w:rsidRPr="00263A05" w:rsidRDefault="00000000" w:rsidP="003B40CF">
      <w:pPr>
        <w:pStyle w:val="tekst"/>
        <w:jc w:val="right"/>
      </w:pPr>
      <m:oMath>
        <m:acc>
          <m:accPr>
            <m:ctrlPr>
              <w:rPr>
                <w:rFonts w:ascii="Cambria Math" w:hAnsi="Cambria Math"/>
              </w:rPr>
            </m:ctrlPr>
          </m:accPr>
          <m:e>
            <m:r>
              <w:rPr>
                <w:rFonts w:ascii="Cambria Math" w:hAnsi="Cambria Math"/>
              </w:rPr>
              <m:t>μ</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r</m:t>
                </m:r>
              </m:e>
              <m:sub>
                <m:r>
                  <w:rPr>
                    <w:rFonts w:ascii="Cambria Math" w:hAnsi="Cambria Math"/>
                  </w:rPr>
                  <m:t>t</m:t>
                </m:r>
              </m:sub>
            </m:sSub>
          </m:e>
        </m:nary>
        <m:r>
          <w:rPr>
            <w:rFonts w:ascii="Cambria Math" w:hAnsi="Cambria Math"/>
          </w:rPr>
          <m:t>,</m:t>
        </m:r>
      </m:oMath>
      <w:r w:rsidR="00DE4A1E">
        <w:tab/>
      </w:r>
      <w:r w:rsidR="00DE4A1E">
        <w:tab/>
      </w:r>
      <w:r w:rsidR="00DE4A1E">
        <w:tab/>
      </w:r>
      <w:r w:rsidR="00DE4A1E">
        <w:tab/>
      </w:r>
      <w:r w:rsidR="00DE4A1E">
        <w:tab/>
        <w:t>(3.2)</w:t>
      </w:r>
    </w:p>
    <w:p w14:paraId="170AB5D5" w14:textId="1A7DE22C" w:rsidR="005D49A0" w:rsidRPr="005D49A0" w:rsidRDefault="00000000" w:rsidP="003B40CF">
      <w:pPr>
        <w:pStyle w:val="tekst"/>
        <w:jc w:val="right"/>
      </w:pPr>
      <m:oMath>
        <m:acc>
          <m:accPr>
            <m:ctrlPr>
              <w:rPr>
                <w:rFonts w:ascii="Cambria Math" w:hAnsi="Cambria Math"/>
              </w:rPr>
            </m:ctrlPr>
          </m:accPr>
          <m:e>
            <m:r>
              <m:rPr>
                <m:sty m:val="p"/>
              </m:rPr>
              <w:rPr>
                <w:rFonts w:ascii="Cambria Math" w:hAnsi="Cambria Math"/>
              </w:rPr>
              <m:t>Σ</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T-1</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acc>
          <m:accPr>
            <m:ctrlPr>
              <w:rPr>
                <w:rFonts w:ascii="Cambria Math" w:hAnsi="Cambria Math"/>
              </w:rPr>
            </m:ctrlPr>
          </m:accPr>
          <m:e>
            <m:r>
              <w:rPr>
                <w:rFonts w:ascii="Cambria Math" w:hAnsi="Cambria Math"/>
              </w:rPr>
              <m:t>μ</m:t>
            </m:r>
          </m:e>
        </m:acc>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acc>
          <m:accPr>
            <m:ctrlPr>
              <w:rPr>
                <w:rFonts w:ascii="Cambria Math" w:hAnsi="Cambria Math"/>
              </w:rPr>
            </m:ctrlPr>
          </m:accPr>
          <m:e>
            <m:r>
              <w:rPr>
                <w:rFonts w:ascii="Cambria Math" w:hAnsi="Cambria Math"/>
              </w:rPr>
              <m:t>μ</m:t>
            </m:r>
          </m:e>
        </m:acc>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oMath>
      <w:r w:rsidR="00DB20C4">
        <w:tab/>
      </w:r>
      <w:r w:rsidR="00DB20C4">
        <w:tab/>
      </w:r>
      <w:r w:rsidR="00DB20C4">
        <w:tab/>
      </w:r>
      <w:r w:rsidR="00DB20C4">
        <w:tab/>
        <w:t>(3.3)</w:t>
      </w:r>
      <m:oMath>
        <m:r>
          <m:rPr>
            <m:sty m:val="p"/>
          </m:rPr>
          <w:rPr>
            <w:rFonts w:ascii="Cambria Math" w:hAnsi="Cambria Math"/>
          </w:rPr>
          <w:br/>
        </m:r>
      </m:oMath>
    </w:p>
    <w:p w14:paraId="10EE5BBD" w14:textId="3469DF96" w:rsidR="005D49A0" w:rsidRPr="00DD0CB3" w:rsidRDefault="005D49A0" w:rsidP="003B40CF">
      <w:pPr>
        <w:pStyle w:val="tekst"/>
      </w:pPr>
      <w:r w:rsidRPr="00DD0CB3">
        <w:lastRenderedPageBreak/>
        <w:t xml:space="preserve">gdzie </w:t>
      </w:r>
      <m:oMath>
        <m:r>
          <w:rPr>
            <w:rFonts w:ascii="Cambria Math" w:hAnsi="Cambria Math"/>
          </w:rPr>
          <m:t xml:space="preserve">T  </m:t>
        </m:r>
      </m:oMath>
      <w:r w:rsidRPr="00DD0CB3">
        <w:t xml:space="preserve">oznacza liczbę obserwacji w próbie. Zastosowanie prostego estymatora historycznego pozwala na bezpośrednie odniesienie wyników do klasycznego modelu Markowitza. </w:t>
      </w:r>
      <w:r w:rsidR="00112C45" w:rsidRPr="00DD0CB3">
        <w:t>W dalszej części pracy analiza macierzy kowariancji została rozszerzona o estymator typu shrinkage, co pozwala jakościowo ocenić wpływ sposobu szacowania macierzy kowariancji na własności portfela.</w:t>
      </w:r>
    </w:p>
    <w:p w14:paraId="23420D58" w14:textId="77777777" w:rsidR="005D49A0" w:rsidRPr="00DD0CB3" w:rsidRDefault="005D49A0" w:rsidP="003B40CF">
      <w:pPr>
        <w:pStyle w:val="tekst"/>
      </w:pPr>
      <w:r w:rsidRPr="00DD0CB3">
        <w:t>W pracy skonstruowano dwa typy portfeli:</w:t>
      </w:r>
    </w:p>
    <w:p w14:paraId="3806BED6" w14:textId="6C71512F" w:rsidR="005D49A0" w:rsidRPr="00DD0CB3" w:rsidRDefault="00381E5F" w:rsidP="003B40CF">
      <w:pPr>
        <w:pStyle w:val="tekst"/>
      </w:pPr>
      <w:r>
        <w:rPr>
          <w:b/>
          <w:bCs/>
        </w:rPr>
        <w:t>p</w:t>
      </w:r>
      <w:r w:rsidR="005D49A0" w:rsidRPr="00DD0CB3">
        <w:rPr>
          <w:b/>
          <w:bCs/>
        </w:rPr>
        <w:t>ortfel minimalnej wariancji (long-only)</w:t>
      </w:r>
      <w:r w:rsidR="005D49A0" w:rsidRPr="00DD0CB3">
        <w:t xml:space="preserve"> – zakładający brak krótkiej sprzedaży oraz pełne zaangażowanie kapitału. </w:t>
      </w:r>
      <w:r w:rsidR="0069618F" w:rsidRPr="0069618F">
        <w:t>Problem optymalizacyjny portfela minimalnej wariancji zapisano we wzorze (3.4)</w:t>
      </w:r>
      <w:r w:rsidR="005D49A0" w:rsidRPr="0069618F">
        <w:t>:</w:t>
      </w:r>
    </w:p>
    <w:p w14:paraId="3932C187" w14:textId="77777777" w:rsidR="00DF7B3E" w:rsidRDefault="00000000" w:rsidP="003B40CF">
      <w:pPr>
        <w:pStyle w:val="tekst"/>
        <w:jc w:val="right"/>
        <w:rPr>
          <w:szCs w:val="20"/>
        </w:rPr>
      </w:pPr>
      <m:oMath>
        <m:limLow>
          <m:limLowPr>
            <m:ctrlPr>
              <w:rPr>
                <w:rFonts w:ascii="Cambria Math" w:hAnsi="Cambria Math" w:cs="Arial"/>
                <w:szCs w:val="20"/>
              </w:rPr>
            </m:ctrlPr>
          </m:limLowPr>
          <m:e>
            <m:r>
              <m:rPr>
                <m:sty m:val="p"/>
              </m:rPr>
              <w:rPr>
                <w:rFonts w:ascii="Cambria Math" w:hAnsi="Cambria Math" w:cs="Arial"/>
                <w:szCs w:val="20"/>
              </w:rPr>
              <m:t>min</m:t>
            </m:r>
            <m:r>
              <w:rPr>
                <w:rFonts w:ascii="Cambria Math" w:hAnsi="Cambria Math" w:cs="Arial"/>
                <w:szCs w:val="20"/>
              </w:rPr>
              <m:t>⁡</m:t>
            </m:r>
          </m:e>
          <m:lim>
            <m:r>
              <w:rPr>
                <w:rFonts w:ascii="Cambria Math" w:hAnsi="Cambria Math" w:cs="Arial"/>
                <w:szCs w:val="20"/>
              </w:rPr>
              <m:t>w</m:t>
            </m:r>
          </m:lim>
        </m:limLow>
        <m:r>
          <m:rPr>
            <m:nor/>
          </m:rPr>
          <w:rPr>
            <w:rFonts w:cs="Arial"/>
            <w:szCs w:val="20"/>
          </w:rPr>
          <m:t>  </m:t>
        </m:r>
        <m:sSup>
          <m:sSupPr>
            <m:ctrlPr>
              <w:rPr>
                <w:rFonts w:ascii="Cambria Math" w:hAnsi="Cambria Math" w:cs="Arial"/>
                <w:szCs w:val="20"/>
              </w:rPr>
            </m:ctrlPr>
          </m:sSupPr>
          <m:e>
            <m:r>
              <w:rPr>
                <w:rFonts w:ascii="Cambria Math" w:hAnsi="Cambria Math" w:cs="Arial"/>
                <w:szCs w:val="20"/>
              </w:rPr>
              <m:t>w</m:t>
            </m:r>
          </m:e>
          <m:sup>
            <m:r>
              <m:rPr>
                <m:sty m:val="p"/>
              </m:rPr>
              <w:rPr>
                <w:rFonts w:ascii="Cambria Math" w:hAnsi="Cambria Math" w:cs="Arial"/>
                <w:szCs w:val="20"/>
              </w:rPr>
              <m:t>'</m:t>
            </m:r>
          </m:sup>
        </m:sSup>
        <m:acc>
          <m:accPr>
            <m:ctrlPr>
              <w:rPr>
                <w:rFonts w:ascii="Cambria Math" w:hAnsi="Cambria Math" w:cs="Arial"/>
                <w:szCs w:val="20"/>
              </w:rPr>
            </m:ctrlPr>
          </m:accPr>
          <m:e>
            <m:r>
              <m:rPr>
                <m:sty m:val="p"/>
              </m:rPr>
              <w:rPr>
                <w:rFonts w:ascii="Cambria Math" w:hAnsi="Cambria Math" w:cs="Arial"/>
                <w:szCs w:val="20"/>
              </w:rPr>
              <m:t>Σ</m:t>
            </m:r>
          </m:e>
        </m:acc>
        <m:r>
          <w:rPr>
            <w:rFonts w:ascii="Cambria Math" w:hAnsi="Cambria Math" w:cs="Arial"/>
            <w:szCs w:val="20"/>
          </w:rPr>
          <m:t xml:space="preserve">w      </m:t>
        </m:r>
      </m:oMath>
      <w:r w:rsidR="00080E21">
        <w:rPr>
          <w:szCs w:val="20"/>
        </w:rPr>
        <w:t xml:space="preserve">                                                  (3.4)</w:t>
      </w:r>
    </w:p>
    <w:p w14:paraId="5FD36832" w14:textId="0233FA5B" w:rsidR="005D49A0" w:rsidRPr="003B40CF" w:rsidRDefault="00000000" w:rsidP="003B40CF">
      <w:pPr>
        <w:pStyle w:val="tekst"/>
      </w:pPr>
      <m:oMathPara>
        <m:oMath>
          <m:r>
            <m:rPr>
              <m:sty m:val="p"/>
            </m:rPr>
            <w:rPr>
              <w:rFonts w:ascii="Cambria Math" w:hAnsi="Cambria Math"/>
            </w:rPr>
            <w:br/>
          </m:r>
        </m:oMath>
      </m:oMathPara>
      <w:r w:rsidR="0069618F" w:rsidRPr="003B40CF">
        <w:t>przy ograniczeniach przedstawionych we wzorze (3.5):</w:t>
      </w:r>
    </w:p>
    <w:p w14:paraId="71EA8A1A" w14:textId="77777777" w:rsidR="0069618F" w:rsidRPr="0069618F" w:rsidRDefault="00000000" w:rsidP="003B40CF">
      <w:pPr>
        <w:pStyle w:val="tekst"/>
        <w:jc w:val="right"/>
        <w:rPr>
          <w:rFonts w:eastAsiaTheme="minorEastAsia" w:cs="Arial"/>
          <w:szCs w:val="20"/>
        </w:rPr>
      </w:pPr>
      <m:oMath>
        <m:nary>
          <m:naryPr>
            <m:chr m:val="∑"/>
            <m:limLoc m:val="undOvr"/>
            <m:grow m:val="1"/>
            <m:ctrlPr>
              <w:rPr>
                <w:rFonts w:ascii="Cambria Math" w:hAnsi="Cambria Math" w:cs="Arial"/>
                <w:szCs w:val="20"/>
              </w:rPr>
            </m:ctrlPr>
          </m:naryPr>
          <m:sub>
            <m:r>
              <w:rPr>
                <w:rFonts w:ascii="Cambria Math" w:hAnsi="Cambria Math" w:cs="Arial"/>
                <w:szCs w:val="20"/>
              </w:rPr>
              <m:t>i=1</m:t>
            </m:r>
          </m:sub>
          <m:sup>
            <m:r>
              <w:rPr>
                <w:rFonts w:ascii="Cambria Math" w:hAnsi="Cambria Math" w:cs="Arial"/>
                <w:szCs w:val="20"/>
              </w:rPr>
              <m:t>N</m:t>
            </m:r>
          </m:sup>
          <m:e>
            <m:sSub>
              <m:sSubPr>
                <m:ctrlPr>
                  <w:rPr>
                    <w:rFonts w:ascii="Cambria Math" w:hAnsi="Cambria Math" w:cs="Arial"/>
                    <w:szCs w:val="20"/>
                  </w:rPr>
                </m:ctrlPr>
              </m:sSubPr>
              <m:e>
                <m:r>
                  <w:rPr>
                    <w:rFonts w:ascii="Cambria Math" w:hAnsi="Cambria Math" w:cs="Arial"/>
                    <w:szCs w:val="20"/>
                  </w:rPr>
                  <m:t>w</m:t>
                </m:r>
              </m:e>
              <m:sub>
                <m:r>
                  <w:rPr>
                    <w:rFonts w:ascii="Cambria Math" w:hAnsi="Cambria Math" w:cs="Arial"/>
                    <w:szCs w:val="20"/>
                  </w:rPr>
                  <m:t>i</m:t>
                </m:r>
              </m:sub>
            </m:sSub>
          </m:e>
        </m:nary>
        <m:r>
          <w:rPr>
            <w:rFonts w:ascii="Cambria Math" w:hAnsi="Cambria Math" w:cs="Arial"/>
            <w:szCs w:val="20"/>
          </w:rPr>
          <m:t>=1,</m:t>
        </m:r>
        <m:sSub>
          <m:sSubPr>
            <m:ctrlPr>
              <w:rPr>
                <w:rFonts w:ascii="Cambria Math" w:hAnsi="Cambria Math" w:cs="Arial"/>
                <w:szCs w:val="20"/>
              </w:rPr>
            </m:ctrlPr>
          </m:sSubPr>
          <m:e>
            <m:r>
              <w:rPr>
                <w:rFonts w:ascii="Cambria Math" w:hAnsi="Cambria Math" w:cs="Arial"/>
                <w:szCs w:val="20"/>
              </w:rPr>
              <m:t>w</m:t>
            </m:r>
          </m:e>
          <m:sub>
            <m:r>
              <w:rPr>
                <w:rFonts w:ascii="Cambria Math" w:hAnsi="Cambria Math" w:cs="Arial"/>
                <w:szCs w:val="20"/>
              </w:rPr>
              <m:t>i</m:t>
            </m:r>
          </m:sub>
        </m:sSub>
        <m:r>
          <w:rPr>
            <w:rFonts w:ascii="Cambria Math" w:hAnsi="Cambria Math" w:cs="Arial"/>
            <w:szCs w:val="20"/>
          </w:rPr>
          <m:t>≥0</m:t>
        </m:r>
        <m:r>
          <m:rPr>
            <m:nor/>
          </m:rPr>
          <w:rPr>
            <w:rFonts w:cs="Arial"/>
            <w:szCs w:val="20"/>
          </w:rPr>
          <m:t xml:space="preserve">dla </m:t>
        </m:r>
        <m:r>
          <w:rPr>
            <w:rFonts w:ascii="Cambria Math" w:hAnsi="Cambria Math" w:cs="Arial"/>
            <w:szCs w:val="20"/>
          </w:rPr>
          <m:t>i=1,…,N,</m:t>
        </m:r>
      </m:oMath>
      <w:r w:rsidR="00080E21">
        <w:rPr>
          <w:rFonts w:eastAsiaTheme="minorEastAsia" w:cs="Arial"/>
          <w:szCs w:val="20"/>
        </w:rPr>
        <w:t xml:space="preserve"> </w:t>
      </w:r>
      <w:r w:rsidR="00080E21">
        <w:rPr>
          <w:rFonts w:eastAsiaTheme="minorEastAsia" w:cs="Arial"/>
          <w:szCs w:val="20"/>
        </w:rPr>
        <w:tab/>
      </w:r>
      <w:r w:rsidR="00080E21">
        <w:rPr>
          <w:rFonts w:eastAsiaTheme="minorEastAsia" w:cs="Arial"/>
          <w:szCs w:val="20"/>
        </w:rPr>
        <w:tab/>
      </w:r>
      <w:r w:rsidR="00080E21">
        <w:rPr>
          <w:rFonts w:eastAsiaTheme="minorEastAsia" w:cs="Arial"/>
          <w:szCs w:val="20"/>
        </w:rPr>
        <w:tab/>
        <w:t>(3</w:t>
      </w:r>
      <m:oMath>
        <m:r>
          <w:rPr>
            <w:rFonts w:ascii="Cambria Math" w:eastAsiaTheme="minorEastAsia" w:hAnsi="Cambria Math" w:cs="Arial"/>
            <w:szCs w:val="20"/>
          </w:rPr>
          <m:t>.5)</m:t>
        </m:r>
      </m:oMath>
    </w:p>
    <w:p w14:paraId="604E0C23" w14:textId="7AE9AEF9" w:rsidR="005D49A0" w:rsidRPr="003B40CF" w:rsidRDefault="005D49A0" w:rsidP="003B40CF">
      <w:pPr>
        <w:pStyle w:val="tekst"/>
        <w:rPr>
          <w:rFonts w:eastAsiaTheme="minorEastAsia"/>
        </w:rPr>
      </w:pPr>
      <w:r w:rsidRPr="003B40CF">
        <w:t xml:space="preserve">gdzie </w:t>
      </w:r>
      <m:oMath>
        <m:r>
          <w:rPr>
            <w:rFonts w:ascii="Cambria Math" w:hAnsi="Cambria Math"/>
          </w:rPr>
          <m:t>w</m:t>
        </m:r>
        <m:r>
          <m:rPr>
            <m:sty m:val="p"/>
          </m:rPr>
          <w:rPr>
            <w:rFonts w:ascii="Cambria Math" w:hAnsi="Cambria Math"/>
          </w:rPr>
          <m:t xml:space="preserve">  </m:t>
        </m:r>
      </m:oMath>
      <w:r w:rsidRPr="003B40CF">
        <w:t xml:space="preserve">oznacza wektor wag poszczególnych aktywów, a </w:t>
      </w:r>
      <m:oMath>
        <m:r>
          <w:rPr>
            <w:rFonts w:ascii="Cambria Math" w:hAnsi="Cambria Math"/>
          </w:rPr>
          <m:t>N</m:t>
        </m:r>
        <m:r>
          <m:rPr>
            <m:sty m:val="p"/>
          </m:rPr>
          <w:rPr>
            <w:rFonts w:ascii="Cambria Math" w:hAnsi="Cambria Math"/>
          </w:rPr>
          <m:t xml:space="preserve"> </m:t>
        </m:r>
      </m:oMath>
      <w:r w:rsidRPr="003B40CF">
        <w:t>– liczbę instrumentów. W</w:t>
      </w:r>
      <w:r w:rsidR="00E61B8D" w:rsidRPr="003B40CF">
        <w:t> </w:t>
      </w:r>
      <w:r w:rsidRPr="003B40CF">
        <w:t>praktyce oznacza to poszukiwanie takiej kombinacji udziałów spółek w portfelu, która minimalizuje ryzyko mierzone wariancją, bez dopuszczenia do zajmowania pozycji krótkich</w:t>
      </w:r>
      <w:r w:rsidR="00B50D41" w:rsidRPr="003B40CF">
        <w:t>.</w:t>
      </w:r>
    </w:p>
    <w:p w14:paraId="2D34789A" w14:textId="09331CEF" w:rsidR="005D49A0" w:rsidRPr="003B40CF" w:rsidRDefault="00446CB1" w:rsidP="003B40CF">
      <w:pPr>
        <w:pStyle w:val="tekst"/>
      </w:pPr>
      <w:r w:rsidRPr="003B40CF">
        <w:t>p</w:t>
      </w:r>
      <w:r w:rsidR="005D49A0" w:rsidRPr="003B40CF">
        <w:t>ortfel maksymalnej stopy zwrotu z uwzględnieniem ryzyka (tangency, long-short) –</w:t>
      </w:r>
      <w:r w:rsidR="00845719" w:rsidRPr="003B40CF">
        <w:t> </w:t>
      </w:r>
      <w:r w:rsidR="005D49A0" w:rsidRPr="003B40CF">
        <w:t xml:space="preserve">dopuszczający zarówno dodatnie, jak i ujemne udziały w aktywach, co odpowiada możliwości zajmowania pozycji krótkich. </w:t>
      </w:r>
      <w:r w:rsidR="0069618F" w:rsidRPr="003B40CF">
        <w:t>Celem optymalizacji jest maksymalizacja wskaźnika Sharpe’a, zapisana we wzorze (3.6):</w:t>
      </w:r>
    </w:p>
    <w:p w14:paraId="51037646" w14:textId="2452E238" w:rsidR="005D49A0" w:rsidRDefault="00E52392" w:rsidP="003B40CF">
      <w:pPr>
        <w:pStyle w:val="tekst"/>
        <w:jc w:val="right"/>
        <w:rPr>
          <w:szCs w:val="20"/>
        </w:rPr>
      </w:pPr>
      <w:r>
        <w:rPr>
          <w:szCs w:val="20"/>
        </w:rPr>
        <w:t xml:space="preserve">       </w:t>
      </w:r>
      <m:oMath>
        <m:limLow>
          <m:limLowPr>
            <m:ctrlPr>
              <w:rPr>
                <w:rFonts w:ascii="Cambria Math" w:hAnsi="Cambria Math" w:cs="Arial"/>
                <w:szCs w:val="20"/>
              </w:rPr>
            </m:ctrlPr>
          </m:limLowPr>
          <m:e>
            <m:r>
              <m:rPr>
                <m:sty m:val="p"/>
              </m:rPr>
              <w:rPr>
                <w:rFonts w:ascii="Cambria Math" w:hAnsi="Cambria Math" w:cs="Arial"/>
                <w:szCs w:val="20"/>
              </w:rPr>
              <m:t>max</m:t>
            </m:r>
            <m:r>
              <w:rPr>
                <w:rFonts w:ascii="Cambria Math" w:hAnsi="Cambria Math" w:cs="Arial"/>
                <w:szCs w:val="20"/>
              </w:rPr>
              <m:t>⁡</m:t>
            </m:r>
          </m:e>
          <m:lim>
            <m:r>
              <w:rPr>
                <w:rFonts w:ascii="Cambria Math" w:hAnsi="Cambria Math" w:cs="Arial"/>
                <w:szCs w:val="20"/>
              </w:rPr>
              <m:t>w</m:t>
            </m:r>
          </m:lim>
        </m:limLow>
        <m:r>
          <m:rPr>
            <m:nor/>
          </m:rPr>
          <w:rPr>
            <w:rFonts w:cs="Arial"/>
            <w:szCs w:val="20"/>
          </w:rPr>
          <m:t>  </m:t>
        </m:r>
        <m:f>
          <m:fPr>
            <m:ctrlPr>
              <w:rPr>
                <w:rFonts w:ascii="Cambria Math" w:hAnsi="Cambria Math" w:cs="Arial"/>
                <w:szCs w:val="20"/>
              </w:rPr>
            </m:ctrlPr>
          </m:fPr>
          <m:num>
            <m:d>
              <m:dPr>
                <m:sepChr m:val="−"/>
                <m:endChr m:val=""/>
                <m:ctrlPr>
                  <w:rPr>
                    <w:rFonts w:ascii="Cambria Math" w:hAnsi="Cambria Math" w:cs="Arial"/>
                    <w:szCs w:val="20"/>
                  </w:rPr>
                </m:ctrlPr>
              </m:dPr>
              <m:e>
                <m:acc>
                  <m:accPr>
                    <m:ctrlPr>
                      <w:rPr>
                        <w:rFonts w:ascii="Cambria Math" w:hAnsi="Cambria Math" w:cs="Arial"/>
                        <w:szCs w:val="20"/>
                      </w:rPr>
                    </m:ctrlPr>
                  </m:accPr>
                  <m:e>
                    <m:r>
                      <w:rPr>
                        <w:rFonts w:ascii="Cambria Math" w:hAnsi="Cambria Math" w:cs="Arial"/>
                        <w:szCs w:val="20"/>
                      </w:rPr>
                      <m:t>μ</m:t>
                    </m:r>
                  </m:e>
                </m:acc>
              </m:e>
              <m:e>
                <m:sSub>
                  <m:sSubPr>
                    <m:ctrlPr>
                      <w:rPr>
                        <w:rFonts w:ascii="Cambria Math" w:hAnsi="Cambria Math" w:cs="Arial"/>
                        <w:szCs w:val="20"/>
                      </w:rPr>
                    </m:ctrlPr>
                  </m:sSubPr>
                  <m:e>
                    <m:r>
                      <w:rPr>
                        <w:rFonts w:ascii="Cambria Math" w:hAnsi="Cambria Math" w:cs="Arial"/>
                        <w:szCs w:val="20"/>
                      </w:rPr>
                      <m:t>r</m:t>
                    </m:r>
                  </m:e>
                  <m:sub>
                    <m:r>
                      <w:rPr>
                        <w:rFonts w:ascii="Cambria Math" w:hAnsi="Cambria Math" w:cs="Arial"/>
                        <w:szCs w:val="20"/>
                      </w:rPr>
                      <m:t>f</m:t>
                    </m:r>
                  </m:sub>
                </m:sSub>
                <m:r>
                  <m:rPr>
                    <m:sty m:val="b"/>
                  </m:rPr>
                  <w:rPr>
                    <w:rFonts w:ascii="Cambria Math" w:hAnsi="Cambria Math" w:cs="Arial"/>
                    <w:szCs w:val="20"/>
                  </w:rPr>
                  <m:t>1</m:t>
                </m:r>
                <m:sSup>
                  <m:sSupPr>
                    <m:ctrlPr>
                      <w:rPr>
                        <w:rFonts w:ascii="Cambria Math" w:hAnsi="Cambria Math" w:cs="Arial"/>
                        <w:szCs w:val="20"/>
                      </w:rPr>
                    </m:ctrlPr>
                  </m:sSupPr>
                  <m:e>
                    <m:r>
                      <w:rPr>
                        <w:rFonts w:ascii="Cambria Math" w:hAnsi="Cambria Math" w:cs="Arial"/>
                        <w:szCs w:val="20"/>
                      </w:rPr>
                      <m:t>)</m:t>
                    </m:r>
                  </m:e>
                  <m:sup>
                    <m:r>
                      <m:rPr>
                        <m:sty m:val="p"/>
                      </m:rPr>
                      <w:rPr>
                        <w:rFonts w:ascii="Cambria Math" w:hAnsi="Cambria Math" w:cs="Arial"/>
                        <w:szCs w:val="20"/>
                      </w:rPr>
                      <m:t>'</m:t>
                    </m:r>
                  </m:sup>
                </m:sSup>
                <m:r>
                  <w:rPr>
                    <w:rFonts w:ascii="Cambria Math" w:hAnsi="Cambria Math" w:cs="Arial"/>
                    <w:szCs w:val="20"/>
                  </w:rPr>
                  <m:t>w</m:t>
                </m:r>
              </m:e>
            </m:d>
          </m:num>
          <m:den>
            <m:rad>
              <m:radPr>
                <m:degHide m:val="1"/>
                <m:ctrlPr>
                  <w:rPr>
                    <w:rFonts w:ascii="Cambria Math" w:hAnsi="Cambria Math" w:cs="Arial"/>
                    <w:szCs w:val="20"/>
                  </w:rPr>
                </m:ctrlPr>
              </m:radPr>
              <m:deg/>
              <m:e>
                <m:sSup>
                  <m:sSupPr>
                    <m:ctrlPr>
                      <w:rPr>
                        <w:rFonts w:ascii="Cambria Math" w:hAnsi="Cambria Math" w:cs="Arial"/>
                        <w:szCs w:val="20"/>
                      </w:rPr>
                    </m:ctrlPr>
                  </m:sSupPr>
                  <m:e>
                    <m:r>
                      <w:rPr>
                        <w:rFonts w:ascii="Cambria Math" w:hAnsi="Cambria Math" w:cs="Arial"/>
                        <w:szCs w:val="20"/>
                      </w:rPr>
                      <m:t>w</m:t>
                    </m:r>
                  </m:e>
                  <m:sup>
                    <m:r>
                      <m:rPr>
                        <m:sty m:val="p"/>
                      </m:rPr>
                      <w:rPr>
                        <w:rFonts w:ascii="Cambria Math" w:hAnsi="Cambria Math" w:cs="Arial"/>
                        <w:szCs w:val="20"/>
                      </w:rPr>
                      <m:t>'</m:t>
                    </m:r>
                  </m:sup>
                </m:sSup>
                <m:acc>
                  <m:accPr>
                    <m:ctrlPr>
                      <w:rPr>
                        <w:rFonts w:ascii="Cambria Math" w:hAnsi="Cambria Math" w:cs="Arial"/>
                        <w:szCs w:val="20"/>
                      </w:rPr>
                    </m:ctrlPr>
                  </m:accPr>
                  <m:e>
                    <m:r>
                      <m:rPr>
                        <m:sty m:val="p"/>
                      </m:rPr>
                      <w:rPr>
                        <w:rFonts w:ascii="Cambria Math" w:hAnsi="Cambria Math" w:cs="Arial"/>
                        <w:szCs w:val="20"/>
                      </w:rPr>
                      <m:t>Σ</m:t>
                    </m:r>
                  </m:e>
                </m:acc>
                <m:r>
                  <w:rPr>
                    <w:rFonts w:ascii="Cambria Math" w:hAnsi="Cambria Math" w:cs="Arial"/>
                    <w:szCs w:val="20"/>
                  </w:rPr>
                  <m:t>w</m:t>
                </m:r>
              </m:e>
            </m:rad>
          </m:den>
        </m:f>
        <m:r>
          <w:rPr>
            <w:rFonts w:ascii="Cambria Math" w:hAnsi="Cambria Math" w:cs="Arial"/>
            <w:szCs w:val="20"/>
          </w:rPr>
          <m:t>,</m:t>
        </m:r>
      </m:oMath>
      <w:r>
        <w:rPr>
          <w:szCs w:val="20"/>
        </w:rPr>
        <w:tab/>
      </w:r>
      <w:r w:rsidR="00080E21">
        <w:rPr>
          <w:szCs w:val="20"/>
        </w:rPr>
        <w:tab/>
      </w:r>
      <w:r w:rsidR="00080E21">
        <w:rPr>
          <w:szCs w:val="20"/>
        </w:rPr>
        <w:tab/>
      </w:r>
      <w:r>
        <w:rPr>
          <w:szCs w:val="20"/>
        </w:rPr>
        <w:tab/>
      </w:r>
      <w:r>
        <w:rPr>
          <w:szCs w:val="20"/>
        </w:rPr>
        <w:tab/>
        <w:t>(3</w:t>
      </w:r>
      <w:r w:rsidR="00080E21">
        <w:rPr>
          <w:szCs w:val="20"/>
        </w:rPr>
        <w:t>.</w:t>
      </w:r>
      <w:r>
        <w:rPr>
          <w:szCs w:val="20"/>
        </w:rPr>
        <w:t>6</w:t>
      </w:r>
      <m:oMath>
        <m:r>
          <w:rPr>
            <w:rFonts w:ascii="Cambria Math" w:hAnsi="Cambria Math"/>
            <w:szCs w:val="20"/>
          </w:rPr>
          <m:t>)</m:t>
        </m:r>
      </m:oMath>
    </w:p>
    <w:p w14:paraId="69B3D9DC" w14:textId="77777777" w:rsidR="0069618F" w:rsidRPr="007C4B53" w:rsidRDefault="0069618F" w:rsidP="003B40CF">
      <w:pPr>
        <w:pStyle w:val="tekst"/>
        <w:rPr>
          <w:rFonts w:cs="Arial"/>
          <w:szCs w:val="20"/>
        </w:rPr>
      </w:pPr>
    </w:p>
    <w:p w14:paraId="175FE274" w14:textId="77777777" w:rsidR="0069618F" w:rsidRDefault="0069618F" w:rsidP="003B40CF">
      <w:pPr>
        <w:pStyle w:val="tekst"/>
      </w:pPr>
      <w:r w:rsidRPr="0069618F">
        <w:t>przy ograniczeniu przedstawionym we wzorze (3.7):</w:t>
      </w:r>
    </w:p>
    <w:p w14:paraId="78F3C252" w14:textId="77777777" w:rsidR="0069618F" w:rsidRPr="0069618F" w:rsidRDefault="0069618F" w:rsidP="003B40CF">
      <w:pPr>
        <w:pStyle w:val="tekst"/>
      </w:pPr>
    </w:p>
    <w:p w14:paraId="35F2518A" w14:textId="77777777" w:rsidR="003B40CF" w:rsidRDefault="00000000" w:rsidP="003B40CF">
      <w:pPr>
        <w:pStyle w:val="tekst"/>
        <w:jc w:val="right"/>
      </w:pPr>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=1,</m:t>
        </m:r>
      </m:oMath>
      <w:r w:rsidR="00E52392">
        <w:tab/>
      </w:r>
      <w:r w:rsidR="00E52392">
        <w:tab/>
      </w:r>
      <w:r w:rsidR="00E52392">
        <w:tab/>
      </w:r>
      <w:r w:rsidR="00E52392">
        <w:tab/>
      </w:r>
      <w:r w:rsidR="00E52392">
        <w:tab/>
        <w:t>(3.7</w:t>
      </w:r>
      <m:oMath>
        <m:r>
          <w:rPr>
            <w:rFonts w:ascii="Cambria Math" w:hAnsi="Cambria Math"/>
          </w:rPr>
          <m:t>)</m:t>
        </m:r>
      </m:oMath>
    </w:p>
    <w:p w14:paraId="31BA068E" w14:textId="15E2B97B" w:rsidR="005D49A0" w:rsidRPr="001B5039" w:rsidRDefault="00000000" w:rsidP="003B40CF">
      <w:pPr>
        <w:pStyle w:val="tekst"/>
      </w:pPr>
      <m:oMathPara>
        <m:oMath>
          <m:r>
            <m:rPr>
              <m:sty m:val="p"/>
            </m:rPr>
            <w:rPr>
              <w:rFonts w:ascii="Cambria Math" w:hAnsi="Cambria Math"/>
            </w:rPr>
            <w:br/>
          </m:r>
        </m:oMath>
      </m:oMathPara>
      <w:r w:rsidR="005D49A0" w:rsidRPr="0069618F">
        <w:rPr>
          <w:rStyle w:val="normalnyZnak"/>
        </w:rPr>
        <w:t xml:space="preserve">gdzie </w:t>
      </w:r>
      <m:oMath>
        <m:sSub>
          <m:sSubPr>
            <m:ctrlPr>
              <w:rPr>
                <w:rStyle w:val="normalnyZnak"/>
                <w:rFonts w:ascii="Cambria Math" w:hAnsi="Cambria Math"/>
              </w:rPr>
            </m:ctrlPr>
          </m:sSubPr>
          <m:e>
            <m:r>
              <w:rPr>
                <w:rStyle w:val="normalnyZnak"/>
                <w:rFonts w:ascii="Cambria Math" w:hAnsi="Cambria Math"/>
              </w:rPr>
              <m:t>r</m:t>
            </m:r>
          </m:e>
          <m:sub>
            <m:r>
              <w:rPr>
                <w:rStyle w:val="normalnyZnak"/>
                <w:rFonts w:ascii="Cambria Math" w:hAnsi="Cambria Math"/>
              </w:rPr>
              <m:t>f</m:t>
            </m:r>
          </m:sub>
        </m:sSub>
      </m:oMath>
      <w:r w:rsidR="005D49A0" w:rsidRPr="0069618F">
        <w:rPr>
          <w:rStyle w:val="normalnyZnak"/>
        </w:rPr>
        <w:t xml:space="preserve">to dzienna stopa wolna od ryzyka, a </w:t>
      </w:r>
      <m:oMath>
        <m:r>
          <m:rPr>
            <m:sty m:val="b"/>
          </m:rPr>
          <w:rPr>
            <w:rStyle w:val="normalnyZnak"/>
            <w:rFonts w:ascii="Cambria Math" w:hAnsi="Cambria Math"/>
          </w:rPr>
          <m:t>1</m:t>
        </m:r>
        <m:r>
          <m:rPr>
            <m:sty m:val="p"/>
          </m:rPr>
          <w:rPr>
            <w:rStyle w:val="normalnyZnak"/>
            <w:rFonts w:ascii="Cambria Math" w:hAnsi="Cambria Math"/>
          </w:rPr>
          <m:t xml:space="preserve">  </m:t>
        </m:r>
      </m:oMath>
      <w:r w:rsidR="005D49A0" w:rsidRPr="0069618F">
        <w:rPr>
          <w:rStyle w:val="normalnyZnak"/>
        </w:rPr>
        <w:t>oznacza wektor jedynek. W tym przypadku nie wprowadzono ograniczeń na znak poszczególnych wag (mogą być zarówno dodatnie, jak i ujemne), co oznacza pełną elastyczność co do wykorzystania krótkiej sprzedaży.</w:t>
      </w:r>
    </w:p>
    <w:p w14:paraId="489A416A" w14:textId="6D129B3D" w:rsidR="005D49A0" w:rsidRPr="00DD0CB3" w:rsidRDefault="005D49A0" w:rsidP="003B40CF">
      <w:pPr>
        <w:pStyle w:val="tekst"/>
      </w:pPr>
      <w:r w:rsidRPr="00DD0CB3">
        <w:t>W środowisku R problem portfela minimalnej wariancji zrealizowano z wykorzystaniem procedury programowania kwadratowego</w:t>
      </w:r>
      <w:r w:rsidRPr="00306263">
        <w:rPr>
          <w:rStyle w:val="normalnyZnak"/>
        </w:rPr>
        <w:t xml:space="preserve"> (solve.QP() z pakietu quadprog), </w:t>
      </w:r>
      <w:r w:rsidRPr="00DD0CB3">
        <w:t xml:space="preserve">natomiast portfel tangency skonstruowano w oparciu o rozwiązanie układu równań liniowych z macierzą kowariancji </w:t>
      </w:r>
      <m:oMath>
        <m:acc>
          <m:accPr>
            <m:ctrlPr>
              <w:rPr>
                <w:rFonts w:ascii="Cambria Math" w:hAnsi="Cambria Math"/>
              </w:rPr>
            </m:ctrlPr>
          </m:accPr>
          <m:e>
            <m:r>
              <m:rPr>
                <m:sty m:val="p"/>
              </m:rPr>
              <w:rPr>
                <w:rFonts w:ascii="Cambria Math" w:hAnsi="Cambria Math"/>
              </w:rPr>
              <m:t>Σ</m:t>
            </m:r>
          </m:e>
        </m:acc>
      </m:oMath>
      <w:r w:rsidRPr="00DD0CB3">
        <w:t xml:space="preserve">i wektorem nadwyżkowych stóp zwrotu </w:t>
      </w:r>
      <m:oMath>
        <m:acc>
          <m:accPr>
            <m:ctrlPr>
              <w:rPr>
                <w:rFonts w:ascii="Cambria Math" w:hAnsi="Cambria Math"/>
              </w:rPr>
            </m:ctrlPr>
          </m:accPr>
          <m:e>
            <m:r>
              <w:rPr>
                <w:rFonts w:ascii="Cambria Math" w:hAnsi="Cambria Math"/>
              </w:rPr>
              <m:t>μ</m:t>
            </m:r>
          </m:e>
        </m:acc>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oMath>
      <w:r w:rsidRPr="00DD0CB3">
        <w:t>. Otrzymane wagi zostały znormalizowane tak, aby ich suma wynosiła jeden.</w:t>
      </w:r>
    </w:p>
    <w:p w14:paraId="616AAF8A" w14:textId="77777777" w:rsidR="0069618F" w:rsidRPr="0069618F" w:rsidRDefault="005D49A0" w:rsidP="003B40CF">
      <w:pPr>
        <w:pStyle w:val="tekst"/>
      </w:pPr>
      <w:r w:rsidRPr="00DD0CB3">
        <w:t xml:space="preserve">Przyjęto roczną stopę wolną od ryzyka na poziomie </w:t>
      </w:r>
      <m:oMath>
        <m:sSubSup>
          <m:sSubSupPr>
            <m:ctrlPr>
              <w:rPr>
                <w:rFonts w:ascii="Cambria Math" w:hAnsi="Cambria Math"/>
              </w:rPr>
            </m:ctrlPr>
          </m:sSubSupPr>
          <m:e>
            <m:r>
              <w:rPr>
                <w:rFonts w:ascii="Cambria Math" w:hAnsi="Cambria Math"/>
              </w:rPr>
              <m:t>r</m:t>
            </m:r>
          </m:e>
          <m:sub>
            <m:r>
              <w:rPr>
                <w:rFonts w:ascii="Cambria Math" w:hAnsi="Cambria Math"/>
              </w:rPr>
              <m:t>f</m:t>
            </m:r>
          </m:sub>
          <m:sup>
            <m:d>
              <m:dPr>
                <m:ctrlPr>
                  <w:rPr>
                    <w:rFonts w:ascii="Cambria Math" w:hAnsi="Cambria Math"/>
                  </w:rPr>
                </m:ctrlPr>
              </m:dPr>
              <m:e>
                <m:r>
                  <w:rPr>
                    <w:rFonts w:ascii="Cambria Math" w:hAnsi="Cambria Math"/>
                  </w:rPr>
                  <m:t>rocz</m:t>
                </m:r>
              </m:e>
            </m:d>
          </m:sup>
        </m:sSubSup>
        <m:r>
          <m:rPr>
            <m:sty m:val="p"/>
          </m:rPr>
          <w:rPr>
            <w:rFonts w:ascii="Cambria Math" w:hAnsi="Cambria Math"/>
          </w:rPr>
          <m:t>=2%</m:t>
        </m:r>
      </m:oMath>
      <w:r w:rsidRPr="00DD0CB3">
        <w:t xml:space="preserve">, </w:t>
      </w:r>
      <w:r w:rsidR="0069618F" w:rsidRPr="0069618F">
        <w:rPr>
          <w:rStyle w:val="normalnyZnak"/>
        </w:rPr>
        <w:t>co po przeliczeniu na dzienną częstość notowań odpowiada wartości określonej we wzorze (3.8):</w:t>
      </w:r>
    </w:p>
    <w:p w14:paraId="60CC5274" w14:textId="54DD27C9" w:rsidR="005D49A0" w:rsidRPr="00DD0CB3" w:rsidRDefault="005D49A0" w:rsidP="003B40CF">
      <w:pPr>
        <w:pStyle w:val="tekst"/>
      </w:pPr>
    </w:p>
    <w:p w14:paraId="198408E8" w14:textId="590927C4" w:rsidR="005D49A0" w:rsidRPr="005D49A0" w:rsidRDefault="00E52392" w:rsidP="003B40CF">
      <w:pPr>
        <w:pStyle w:val="tekst"/>
      </w:pPr>
      <w:r>
        <w:lastRenderedPageBreak/>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0,02</m:t>
            </m:r>
          </m:num>
          <m:den>
            <m:r>
              <w:rPr>
                <w:rFonts w:ascii="Cambria Math" w:hAnsi="Cambria Math"/>
              </w:rPr>
              <m:t>252</m:t>
            </m:r>
          </m:den>
        </m:f>
        <m:r>
          <w:rPr>
            <w:rFonts w:ascii="Cambria Math" w:hAnsi="Cambria Math"/>
          </w:rPr>
          <m:t>,</m:t>
        </m:r>
      </m:oMath>
      <w:r>
        <w:tab/>
      </w:r>
      <w:r>
        <w:tab/>
      </w:r>
      <w:r>
        <w:tab/>
      </w:r>
      <w:r>
        <w:tab/>
      </w:r>
      <w:r>
        <w:tab/>
        <w:t>(3.8</w:t>
      </w:r>
      <m:oMath>
        <m:r>
          <w:rPr>
            <w:rFonts w:ascii="Cambria Math" w:hAnsi="Cambria Math"/>
          </w:rPr>
          <m:t>)</m:t>
        </m:r>
        <m:r>
          <m:rPr>
            <m:sty m:val="p"/>
          </m:rPr>
          <w:rPr>
            <w:rFonts w:ascii="Cambria Math" w:hAnsi="Cambria Math"/>
          </w:rPr>
          <w:br/>
        </m:r>
      </m:oMath>
    </w:p>
    <w:p w14:paraId="79565ACF" w14:textId="77777777" w:rsidR="005D49A0" w:rsidRPr="005D49A0" w:rsidRDefault="005D49A0" w:rsidP="003B40CF">
      <w:pPr>
        <w:pStyle w:val="tekst"/>
      </w:pPr>
      <w:r w:rsidRPr="005D49A0">
        <w:t>gdzie 252 oznacza przybliżoną liczbę sesji giełdowych w roku.</w:t>
      </w:r>
    </w:p>
    <w:p w14:paraId="00E6AFB0" w14:textId="65EF0A29" w:rsidR="005D49A0" w:rsidRPr="003B40CF" w:rsidRDefault="005D49A0" w:rsidP="003B40CF">
      <w:pPr>
        <w:pStyle w:val="Styl1"/>
      </w:pPr>
      <w:r w:rsidRPr="003B40CF">
        <w:t>Benchmark i miary efektywności portfela</w:t>
      </w:r>
    </w:p>
    <w:p w14:paraId="2CEEA969" w14:textId="3BE7A4D4" w:rsidR="005D49A0" w:rsidRPr="00DD0CB3" w:rsidRDefault="005D49A0" w:rsidP="003B40CF">
      <w:pPr>
        <w:pStyle w:val="tekst"/>
      </w:pPr>
      <w:r w:rsidRPr="00DD0CB3">
        <w:t>Do oceny jakości skonstruowanych portfeli wykorzystano klasyczne miary efektywności portfela inwestycyjnego, zdefiniowane w rozdziale drugim: stopę zwrotu, zmienność, wskaźnik Sharpe’a,</w:t>
      </w:r>
      <w:r w:rsidR="00845719" w:rsidRPr="00DD0CB3">
        <w:t> </w:t>
      </w:r>
      <w:r w:rsidRPr="00DD0CB3">
        <w:t>wskaźnik Sortino oraz maksymalne obsunięcie kapitału (max drawdown). W niniejszym rozdziale przedstawiono sposób ich zastosowania w kontekście porównania portfeli z indeksem WIG20.</w:t>
      </w:r>
    </w:p>
    <w:p w14:paraId="5AE5FD02" w14:textId="5D0E71C2" w:rsidR="005D49A0" w:rsidRPr="00DD0CB3" w:rsidRDefault="005D49A0" w:rsidP="003B40CF">
      <w:pPr>
        <w:pStyle w:val="tekst"/>
      </w:pPr>
      <w:r w:rsidRPr="00DD0CB3">
        <w:t xml:space="preserve">Na podstawie dziennych stóp zwrotu portfeli long-only, long-short oraz benchmarku </w:t>
      </w:r>
      <w:r w:rsidRPr="00581575">
        <w:t>wyznaczono roczne stopy zwrotu i roczne odchylenia standardowe</w:t>
      </w:r>
      <w:r w:rsidRPr="00DD0CB3">
        <w:t xml:space="preserve">, korzystając z funkcji </w:t>
      </w:r>
      <w:r w:rsidRPr="00C17BDB">
        <w:rPr>
          <w:i/>
        </w:rPr>
        <w:t>table.AnnualizedReturns()</w:t>
      </w:r>
      <w:r w:rsidRPr="00DD0CB3">
        <w:t xml:space="preserve"> z pakietu </w:t>
      </w:r>
      <w:r w:rsidRPr="00581575">
        <w:t>PerformanceAnalytics</w:t>
      </w:r>
      <w:r w:rsidRPr="00DD0CB3">
        <w:t>. Wskaźnik Sharpe’a wyliczono w ujęciu rocznym, przy tej samej stopie wolnej od ryzyka co w procesie optymalizacji. Wskaźnik Sortino, w odróżnieniu od Sharpe’a, uwzględnia wyłącznie zmienność ujemnych stóp zwrotu,</w:t>
      </w:r>
      <w:r w:rsidR="00845719" w:rsidRPr="00DD0CB3">
        <w:t> </w:t>
      </w:r>
      <w:r w:rsidRPr="00DD0CB3">
        <w:t>dzięki czemu kładzie większy nacisk na ryzyko strat. Maksymalne obsunięcie kapitału zdefiniowano jako największy spadek wartości skumulowanej ścieżki portfela od historycznego maksimum do kolejnego minimum.</w:t>
      </w:r>
      <w:sdt>
        <w:sdtPr>
          <w:id w:val="-1370839856"/>
          <w:citation/>
        </w:sdtPr>
        <w:sdtContent>
          <w:r w:rsidR="0006459C">
            <w:fldChar w:fldCharType="begin"/>
          </w:r>
          <w:r w:rsidR="0006459C">
            <w:instrText xml:space="preserve"> CITATION Pet25 \l 1045 </w:instrText>
          </w:r>
          <w:r w:rsidR="0006459C">
            <w:fldChar w:fldCharType="separate"/>
          </w:r>
          <w:r w:rsidR="0006459C">
            <w:rPr>
              <w:noProof/>
            </w:rPr>
            <w:t xml:space="preserve"> </w:t>
          </w:r>
          <w:r w:rsidR="0006459C" w:rsidRPr="0006459C">
            <w:rPr>
              <w:noProof/>
            </w:rPr>
            <w:t>(Peterson, Carl i Boudt, 2025)</w:t>
          </w:r>
          <w:r w:rsidR="0006459C">
            <w:fldChar w:fldCharType="end"/>
          </w:r>
        </w:sdtContent>
      </w:sdt>
    </w:p>
    <w:p w14:paraId="638091E2" w14:textId="65922BA4" w:rsidR="007C4B53" w:rsidRPr="00DD0CB3" w:rsidRDefault="005D49A0" w:rsidP="003B40CF">
      <w:pPr>
        <w:pStyle w:val="tekst"/>
      </w:pPr>
      <w:r w:rsidRPr="00DD0CB3">
        <w:t>Uzyskane wartości powyższych miar zestawiono w tabeli</w:t>
      </w:r>
      <w:r w:rsidR="007F6FE1">
        <w:t xml:space="preserve"> 3.1.</w:t>
      </w:r>
    </w:p>
    <w:p w14:paraId="4FDD0FF7" w14:textId="4B695429" w:rsidR="005D49A0" w:rsidRPr="00583A01" w:rsidRDefault="005D49A0" w:rsidP="00F5375B">
      <w:pPr>
        <w:pStyle w:val="NormalnyWeb"/>
        <w:spacing w:before="120" w:beforeAutospacing="0" w:after="20" w:afterAutospacing="0"/>
        <w:ind w:left="360"/>
        <w:jc w:val="center"/>
        <w:rPr>
          <w:rFonts w:ascii="Arial" w:hAnsi="Arial" w:cs="Arial"/>
          <w:sz w:val="18"/>
          <w:szCs w:val="18"/>
        </w:rPr>
      </w:pPr>
      <w:r w:rsidRPr="00583A01">
        <w:rPr>
          <w:rStyle w:val="Pogrubienie"/>
          <w:rFonts w:ascii="Arial" w:eastAsiaTheme="majorEastAsia" w:hAnsi="Arial" w:cs="Arial"/>
          <w:b w:val="0"/>
          <w:sz w:val="18"/>
          <w:szCs w:val="18"/>
        </w:rPr>
        <w:t>Tabela 3.1.</w:t>
      </w:r>
      <w:r w:rsidRPr="00583A01">
        <w:rPr>
          <w:rFonts w:ascii="Arial" w:hAnsi="Arial" w:cs="Arial"/>
          <w:sz w:val="18"/>
          <w:szCs w:val="18"/>
        </w:rPr>
        <w:t xml:space="preserve"> Roczne stopy zwrotu, zmienność oraz wybrane miary efektywności portfela long-only, long</w:t>
      </w:r>
      <w:r w:rsidR="004B7592">
        <w:rPr>
          <w:rFonts w:ascii="Arial" w:hAnsi="Arial" w:cs="Arial"/>
          <w:sz w:val="18"/>
          <w:szCs w:val="18"/>
        </w:rPr>
        <w:noBreakHyphen/>
      </w:r>
      <w:r w:rsidRPr="00583A01">
        <w:rPr>
          <w:rFonts w:ascii="Arial" w:hAnsi="Arial" w:cs="Arial"/>
          <w:sz w:val="18"/>
          <w:szCs w:val="18"/>
        </w:rPr>
        <w:t>short i indeksu WIG20 w badanym okresie.</w:t>
      </w:r>
    </w:p>
    <w:p w14:paraId="3096F2DC" w14:textId="204255E7" w:rsidR="00B624CB" w:rsidRDefault="00B624CB" w:rsidP="00F5375B">
      <w:pPr>
        <w:pStyle w:val="NormalnyWeb"/>
        <w:ind w:left="360"/>
        <w:jc w:val="both"/>
        <w:rPr>
          <w:rFonts w:ascii="Arial" w:hAnsi="Arial" w:cs="Arial"/>
          <w:sz w:val="20"/>
          <w:szCs w:val="20"/>
        </w:rPr>
      </w:pPr>
      <w:r w:rsidRPr="00B624CB">
        <w:rPr>
          <w:rFonts w:ascii="Arial" w:hAnsi="Arial" w:cs="Arial"/>
          <w:noProof/>
          <w:sz w:val="20"/>
          <w:szCs w:val="20"/>
        </w:rPr>
        <w:drawing>
          <wp:inline distT="0" distB="0" distL="0" distR="0" wp14:anchorId="365C34CD" wp14:editId="7F0441C5">
            <wp:extent cx="5400675" cy="2869565"/>
            <wp:effectExtent l="0" t="0" r="9525" b="6985"/>
            <wp:docPr id="1407588499"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88499" name="Obraz 1" descr="Obraz zawierający tekst, zrzut ekranu, Czcionka, numer&#10;&#10;Zawartość wygenerowana przez AI może być niepoprawna."/>
                    <pic:cNvPicPr/>
                  </pic:nvPicPr>
                  <pic:blipFill>
                    <a:blip r:embed="rId15"/>
                    <a:stretch>
                      <a:fillRect/>
                    </a:stretch>
                  </pic:blipFill>
                  <pic:spPr>
                    <a:xfrm>
                      <a:off x="0" y="0"/>
                      <a:ext cx="5400675" cy="2869565"/>
                    </a:xfrm>
                    <a:prstGeom prst="rect">
                      <a:avLst/>
                    </a:prstGeom>
                  </pic:spPr>
                </pic:pic>
              </a:graphicData>
            </a:graphic>
          </wp:inline>
        </w:drawing>
      </w:r>
    </w:p>
    <w:p w14:paraId="2BE64700" w14:textId="0FCF3854" w:rsidR="00583A01" w:rsidRPr="0069618F" w:rsidRDefault="00583A01" w:rsidP="00F5375B">
      <w:pPr>
        <w:spacing w:before="120"/>
        <w:ind w:left="360"/>
        <w:rPr>
          <w:sz w:val="18"/>
        </w:rPr>
      </w:pPr>
      <w:r w:rsidRPr="00A439E3">
        <w:rPr>
          <w:i/>
          <w:sz w:val="18"/>
        </w:rPr>
        <w:t>Źródło</w:t>
      </w:r>
      <w:r w:rsidRPr="002E5B2C">
        <w:rPr>
          <w:sz w:val="18"/>
        </w:rPr>
        <w:t xml:space="preserve">: </w:t>
      </w:r>
      <w:r w:rsidR="00DA4BF0">
        <w:rPr>
          <w:sz w:val="18"/>
        </w:rPr>
        <w:t xml:space="preserve">obliczenia własne z wykorzystaniem </w:t>
      </w:r>
      <w:r w:rsidR="004328DA">
        <w:rPr>
          <w:sz w:val="18"/>
        </w:rPr>
        <w:t>R Sudio</w:t>
      </w:r>
      <w:r>
        <w:rPr>
          <w:sz w:val="18"/>
        </w:rPr>
        <w:t>.</w:t>
      </w:r>
    </w:p>
    <w:p w14:paraId="6EBA6625" w14:textId="77777777" w:rsidR="005D49A0" w:rsidRPr="00581575" w:rsidRDefault="005D49A0" w:rsidP="003B40CF">
      <w:pPr>
        <w:pStyle w:val="tekst"/>
      </w:pPr>
      <w:r w:rsidRPr="00581575">
        <w:t>W dalszej części pracy tabela ta stanowi punkt odniesienia dla interpretacji wyników (Rozdział 4).</w:t>
      </w:r>
    </w:p>
    <w:p w14:paraId="16CBAC42" w14:textId="207B14D8" w:rsidR="005008E0" w:rsidRPr="003B40CF" w:rsidRDefault="005008E0" w:rsidP="003B40CF">
      <w:pPr>
        <w:pStyle w:val="Styl1"/>
      </w:pPr>
      <w:r w:rsidRPr="003B40CF">
        <w:lastRenderedPageBreak/>
        <w:t>Estymacja macierzy kowariancji – podejście shrinkage</w:t>
      </w:r>
    </w:p>
    <w:p w14:paraId="0384827D" w14:textId="39147484" w:rsidR="00F64A0A" w:rsidRPr="00F64A0A" w:rsidRDefault="00F64A0A" w:rsidP="003B40CF">
      <w:pPr>
        <w:pStyle w:val="tekst"/>
      </w:pPr>
      <w:r w:rsidRPr="00F64A0A">
        <w:t>W niniejszej pracy podejście shrinkage (Ledoit–Wolf) potraktowano jako element pomocniczy pozwalający ocenić stabilność estymacji macierzy kowariancji w porównaniu z</w:t>
      </w:r>
      <w:r>
        <w:t> </w:t>
      </w:r>
      <w:r w:rsidRPr="00F64A0A">
        <w:t xml:space="preserve"> estymatorem klasycznym. Szczegóły metody przedstawiono w punkcie 2.5.</w:t>
      </w:r>
    </w:p>
    <w:p w14:paraId="0D8EB780" w14:textId="77777777" w:rsidR="00F64A0A" w:rsidRPr="00F64A0A" w:rsidRDefault="00F64A0A" w:rsidP="00034937">
      <w:pPr>
        <w:pStyle w:val="tekst"/>
      </w:pPr>
    </w:p>
    <w:p w14:paraId="6821F792" w14:textId="77777777" w:rsidR="00F64A0A" w:rsidRPr="00F64A0A" w:rsidRDefault="00F64A0A" w:rsidP="003B40CF">
      <w:pPr>
        <w:pStyle w:val="tekst"/>
        <w:rPr>
          <w:rFonts w:eastAsiaTheme="majorEastAsia"/>
          <w:b/>
          <w:bCs/>
          <w:i/>
          <w:szCs w:val="26"/>
        </w:rPr>
      </w:pPr>
      <w:r w:rsidRPr="00F64A0A">
        <w:t>W części wynikowej portfele wyznaczono na podstawie klasycznej macierzy kowariancji, aby zachować bezpośrednią zgodność z klasycznym ujęciem modelu Markowitza oraz pełną porównywalność wyników strategii long-only, long-short i benchmarku WIG20.</w:t>
      </w:r>
    </w:p>
    <w:p w14:paraId="7FED9D76" w14:textId="3D8666C9" w:rsidR="005D49A0" w:rsidRPr="003F3B27" w:rsidRDefault="005D49A0" w:rsidP="003B40CF">
      <w:pPr>
        <w:pStyle w:val="tekst"/>
      </w:pPr>
      <w:r w:rsidRPr="003F3B27">
        <w:t>Procedura badawcza – portfele statyczne</w:t>
      </w:r>
    </w:p>
    <w:p w14:paraId="59BEBA2B" w14:textId="77777777" w:rsidR="005D49A0" w:rsidRPr="00581575" w:rsidRDefault="005D49A0" w:rsidP="003B40CF">
      <w:pPr>
        <w:pStyle w:val="tekst"/>
        <w:rPr>
          <w:rFonts w:cs="Arial"/>
          <w:szCs w:val="20"/>
        </w:rPr>
      </w:pPr>
      <w:r w:rsidRPr="00581575">
        <w:rPr>
          <w:rFonts w:cs="Arial"/>
          <w:szCs w:val="20"/>
        </w:rPr>
        <w:t xml:space="preserve">Pierwszym etapem badań była konstrukcja </w:t>
      </w:r>
      <w:r w:rsidRPr="003F3B27">
        <w:rPr>
          <w:rFonts w:cs="Arial"/>
          <w:szCs w:val="20"/>
        </w:rPr>
        <w:t>portfeli statycznych</w:t>
      </w:r>
      <w:r w:rsidRPr="00581575">
        <w:rPr>
          <w:rFonts w:cs="Arial"/>
          <w:szCs w:val="20"/>
        </w:rPr>
        <w:t xml:space="preserve">, w których wagi poszczególnych aktywów są wyznaczane raz, na podstawie całego dostępnego okresu historycznego, a następnie utrzymywane bez zmian przez cały horyzont inwestycyjny. Procedura obejmuje następujące </w:t>
      </w:r>
      <w:commentRangeStart w:id="15"/>
      <w:r w:rsidRPr="00581575">
        <w:rPr>
          <w:rFonts w:cs="Arial"/>
          <w:szCs w:val="20"/>
        </w:rPr>
        <w:t>kroki:</w:t>
      </w:r>
      <w:commentRangeEnd w:id="15"/>
      <w:r w:rsidR="003B40CF" w:rsidRPr="00581575">
        <w:rPr>
          <w:rStyle w:val="Odwoaniedokomentarza"/>
          <w:rFonts w:cs="Arial"/>
          <w:sz w:val="20"/>
          <w:szCs w:val="20"/>
        </w:rPr>
        <w:commentReference w:id="15"/>
      </w:r>
    </w:p>
    <w:p w14:paraId="04F8D8AB" w14:textId="77777777" w:rsidR="005D49A0" w:rsidRPr="003B40CF" w:rsidRDefault="005D49A0" w:rsidP="003B40CF">
      <w:pPr>
        <w:pStyle w:val="punkty"/>
      </w:pPr>
      <w:r w:rsidRPr="003B40CF">
        <w:t xml:space="preserve">Oszacowanie średnich dziennych stóp zwrotu </w:t>
      </w:r>
      <m:oMath>
        <m:acc>
          <m:accPr>
            <m:ctrlPr>
              <w:rPr>
                <w:rFonts w:ascii="Cambria Math" w:hAnsi="Cambria Math"/>
              </w:rPr>
            </m:ctrlPr>
          </m:accPr>
          <m:e>
            <m:r>
              <w:rPr>
                <w:rFonts w:ascii="Cambria Math" w:hAnsi="Cambria Math"/>
              </w:rPr>
              <m:t>μ</m:t>
            </m:r>
          </m:e>
        </m:acc>
      </m:oMath>
      <w:r w:rsidRPr="003B40CF">
        <w:t xml:space="preserve">oraz macierzy kowariancji </w:t>
      </w:r>
      <m:oMath>
        <m:acc>
          <m:accPr>
            <m:ctrlPr>
              <w:rPr>
                <w:rFonts w:ascii="Cambria Math" w:hAnsi="Cambria Math"/>
              </w:rPr>
            </m:ctrlPr>
          </m:accPr>
          <m:e>
            <m:r>
              <w:rPr>
                <w:rFonts w:ascii="Cambria Math" w:hAnsi="Cambria Math"/>
              </w:rPr>
              <m:t>Σ</m:t>
            </m:r>
          </m:e>
        </m:acc>
      </m:oMath>
      <w:r w:rsidRPr="003B40CF">
        <w:t>dla sześciu spółek na podstawie pełnego zestawu danych.</w:t>
      </w:r>
    </w:p>
    <w:p w14:paraId="599CD1D1" w14:textId="77777777" w:rsidR="005D49A0" w:rsidRPr="003B40CF" w:rsidRDefault="005D49A0" w:rsidP="003B40CF">
      <w:pPr>
        <w:pStyle w:val="punkty"/>
      </w:pPr>
      <w:r w:rsidRPr="003B40CF">
        <w:t xml:space="preserve">Wyznaczenie wag portfela minimalnej wariancji (long-only) w oparciu o programowanie kwadratowe z ograniczeniami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≥0</m:t>
        </m:r>
      </m:oMath>
      <w:r w:rsidRPr="003B40CF">
        <w:t xml:space="preserve">oraz </w:t>
      </w:r>
      <m:oMath>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=1</m:t>
        </m:r>
      </m:oMath>
      <w:r w:rsidRPr="003B40CF">
        <w:t>.</w:t>
      </w:r>
    </w:p>
    <w:p w14:paraId="702A1384" w14:textId="77777777" w:rsidR="005D49A0" w:rsidRPr="003B40CF" w:rsidRDefault="005D49A0" w:rsidP="003B40CF">
      <w:pPr>
        <w:pStyle w:val="punkty"/>
      </w:pPr>
      <w:r w:rsidRPr="003B40CF">
        <w:t xml:space="preserve">Wyznaczenie wag portfela tangency (long-short) poprzez rozwiązanie zadania maksymalizacji wskaźnika Sharpe’a przy założeniu </w:t>
      </w:r>
      <m:oMath>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=1</m:t>
        </m:r>
      </m:oMath>
      <w:r w:rsidRPr="003B40CF">
        <w:t>.</w:t>
      </w:r>
    </w:p>
    <w:p w14:paraId="193BB1EE" w14:textId="77777777" w:rsidR="005D49A0" w:rsidRPr="003B40CF" w:rsidRDefault="005D49A0" w:rsidP="003B40CF">
      <w:pPr>
        <w:pStyle w:val="punkty"/>
      </w:pPr>
      <w:r w:rsidRPr="003B40CF">
        <w:t xml:space="preserve">Obliczenie dziennych stóp zwrotu portfeli jako iloczynu macierzowego wag oraz macierzy stóp zwrotu aktywów, z wykorzystaniem funkcji </w:t>
      </w:r>
      <w:r w:rsidRPr="003B40CF">
        <w:rPr>
          <w:rStyle w:val="HTML-kod"/>
          <w:rFonts w:ascii="Arial" w:eastAsiaTheme="majorEastAsia" w:hAnsi="Arial" w:cs="Arial"/>
        </w:rPr>
        <w:t>Return.portfolio()</w:t>
      </w:r>
      <w:r w:rsidRPr="003B40CF">
        <w:t>.</w:t>
      </w:r>
    </w:p>
    <w:p w14:paraId="2225BE6C" w14:textId="77777777" w:rsidR="005D49A0" w:rsidRPr="003B40CF" w:rsidRDefault="005D49A0" w:rsidP="003B40CF">
      <w:pPr>
        <w:pStyle w:val="punkty"/>
      </w:pPr>
      <w:r w:rsidRPr="003B40CF">
        <w:t>Porównanie ścieżek skumulowanej wartości portfela long-only, portfela long-short oraz indeksu WIG20.</w:t>
      </w:r>
    </w:p>
    <w:p w14:paraId="0CE62BDD" w14:textId="6D0B5AA9" w:rsidR="00B624CB" w:rsidRPr="00581575" w:rsidRDefault="005D49A0" w:rsidP="003B40CF">
      <w:pPr>
        <w:pStyle w:val="tekst"/>
      </w:pPr>
      <w:r w:rsidRPr="00581575">
        <w:t xml:space="preserve">Wyniki w postaci przebiegu skumulowanych stóp zwrotu zaprezentowano na </w:t>
      </w:r>
      <w:commentRangeStart w:id="16"/>
      <w:r w:rsidR="0099749E">
        <w:t>rysunku 3.1.</w:t>
      </w:r>
      <w:commentRangeEnd w:id="16"/>
      <w:r w:rsidR="003B40CF" w:rsidRPr="00581575">
        <w:rPr>
          <w:rStyle w:val="Odwoaniedokomentarza"/>
          <w:sz w:val="20"/>
          <w:szCs w:val="22"/>
        </w:rPr>
        <w:commentReference w:id="16"/>
      </w:r>
    </w:p>
    <w:p w14:paraId="47726A05" w14:textId="65172375" w:rsidR="00B624CB" w:rsidRDefault="00B624CB" w:rsidP="003B40CF">
      <w:pPr>
        <w:pStyle w:val="NormalnyWeb"/>
        <w:ind w:left="360"/>
        <w:jc w:val="both"/>
        <w:rPr>
          <w:rFonts w:ascii="Arial" w:hAnsi="Arial" w:cs="Arial"/>
          <w:sz w:val="20"/>
          <w:szCs w:val="20"/>
        </w:rPr>
      </w:pPr>
      <w:r w:rsidRPr="00B624CB">
        <w:rPr>
          <w:rFonts w:ascii="Arial" w:hAnsi="Arial" w:cs="Arial"/>
          <w:noProof/>
          <w:sz w:val="20"/>
          <w:szCs w:val="20"/>
        </w:rPr>
        <w:drawing>
          <wp:inline distT="0" distB="0" distL="0" distR="0" wp14:anchorId="044072F8" wp14:editId="03C5D7CE">
            <wp:extent cx="5400675" cy="2867660"/>
            <wp:effectExtent l="0" t="0" r="9525" b="8890"/>
            <wp:docPr id="647761017" name="Obraz 1" descr="Obraz zawierający tekst, linia, zrzut ekranu,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61017" name="Obraz 1" descr="Obraz zawierający tekst, linia, zrzut ekranu, Wykres&#10;&#10;Zawartość wygenerowana przez AI może być niepoprawna."/>
                    <pic:cNvPicPr/>
                  </pic:nvPicPr>
                  <pic:blipFill>
                    <a:blip r:embed="rId16"/>
                    <a:stretch>
                      <a:fillRect/>
                    </a:stretch>
                  </pic:blipFill>
                  <pic:spPr>
                    <a:xfrm>
                      <a:off x="0" y="0"/>
                      <a:ext cx="5400675" cy="2867660"/>
                    </a:xfrm>
                    <a:prstGeom prst="rect">
                      <a:avLst/>
                    </a:prstGeom>
                  </pic:spPr>
                </pic:pic>
              </a:graphicData>
            </a:graphic>
          </wp:inline>
        </w:drawing>
      </w:r>
    </w:p>
    <w:p w14:paraId="0A0FC6DE" w14:textId="559666A5" w:rsidR="0099749E" w:rsidRDefault="0099749E" w:rsidP="00F5375B">
      <w:pPr>
        <w:pStyle w:val="NormalnyWeb"/>
        <w:spacing w:before="0" w:beforeAutospacing="0" w:after="0" w:afterAutospacing="0" w:line="360" w:lineRule="auto"/>
        <w:ind w:left="360"/>
        <w:jc w:val="center"/>
        <w:rPr>
          <w:rFonts w:ascii="Arial" w:hAnsi="Arial" w:cs="Arial"/>
          <w:sz w:val="18"/>
          <w:szCs w:val="18"/>
        </w:rPr>
      </w:pPr>
      <w:r w:rsidRPr="0099749E">
        <w:rPr>
          <w:rStyle w:val="Pogrubienie"/>
          <w:rFonts w:ascii="Arial" w:eastAsiaTheme="majorEastAsia" w:hAnsi="Arial" w:cs="Arial"/>
          <w:b w:val="0"/>
          <w:sz w:val="18"/>
          <w:szCs w:val="18"/>
        </w:rPr>
        <w:t>Rys</w:t>
      </w:r>
      <w:r>
        <w:rPr>
          <w:rStyle w:val="Pogrubienie"/>
          <w:rFonts w:ascii="Arial" w:eastAsiaTheme="majorEastAsia" w:hAnsi="Arial" w:cs="Arial"/>
          <w:b w:val="0"/>
          <w:sz w:val="18"/>
          <w:szCs w:val="18"/>
        </w:rPr>
        <w:t>.</w:t>
      </w:r>
      <w:r w:rsidRPr="0099749E">
        <w:rPr>
          <w:rStyle w:val="Pogrubienie"/>
          <w:rFonts w:ascii="Arial" w:eastAsiaTheme="majorEastAsia" w:hAnsi="Arial" w:cs="Arial"/>
          <w:b w:val="0"/>
          <w:sz w:val="18"/>
          <w:szCs w:val="18"/>
        </w:rPr>
        <w:t xml:space="preserve"> 3.1.</w:t>
      </w:r>
      <w:r w:rsidRPr="0099749E">
        <w:rPr>
          <w:rFonts w:ascii="Arial" w:hAnsi="Arial" w:cs="Arial"/>
          <w:sz w:val="18"/>
          <w:szCs w:val="18"/>
        </w:rPr>
        <w:t xml:space="preserve"> Skumulowane stopy zwrotu portfela long-only, portfela long-short oraz indeksu WIG20 w</w:t>
      </w:r>
      <w:r>
        <w:rPr>
          <w:rFonts w:ascii="Arial" w:hAnsi="Arial" w:cs="Arial"/>
          <w:sz w:val="18"/>
          <w:szCs w:val="18"/>
        </w:rPr>
        <w:t> </w:t>
      </w:r>
      <w:r w:rsidRPr="0099749E">
        <w:rPr>
          <w:rFonts w:ascii="Arial" w:hAnsi="Arial" w:cs="Arial"/>
          <w:sz w:val="18"/>
          <w:szCs w:val="18"/>
        </w:rPr>
        <w:t>badanym okresie.</w:t>
      </w:r>
    </w:p>
    <w:p w14:paraId="05ECA2AF" w14:textId="481E0A10" w:rsidR="0099749E" w:rsidRPr="00514FE7" w:rsidRDefault="0099749E" w:rsidP="00F5375B">
      <w:pPr>
        <w:pStyle w:val="NormalnyWeb"/>
        <w:spacing w:before="0" w:beforeAutospacing="0" w:after="0" w:afterAutospacing="0" w:line="360" w:lineRule="auto"/>
        <w:ind w:left="360"/>
        <w:jc w:val="center"/>
        <w:rPr>
          <w:rFonts w:ascii="Arial" w:hAnsi="Arial"/>
          <w:sz w:val="18"/>
          <w:szCs w:val="18"/>
        </w:rPr>
      </w:pPr>
      <w:r w:rsidRPr="0099749E">
        <w:rPr>
          <w:rFonts w:ascii="Arial" w:hAnsi="Arial"/>
          <w:i/>
          <w:sz w:val="18"/>
          <w:szCs w:val="22"/>
        </w:rPr>
        <w:lastRenderedPageBreak/>
        <w:t>Źródło</w:t>
      </w:r>
      <w:r w:rsidRPr="0099749E">
        <w:rPr>
          <w:rFonts w:ascii="Arial" w:hAnsi="Arial"/>
          <w:sz w:val="18"/>
          <w:szCs w:val="18"/>
        </w:rPr>
        <w:t xml:space="preserve">: </w:t>
      </w:r>
      <w:r w:rsidR="00514FE7" w:rsidRPr="00514FE7">
        <w:rPr>
          <w:rFonts w:ascii="Arial" w:hAnsi="Arial"/>
          <w:sz w:val="18"/>
          <w:szCs w:val="18"/>
        </w:rPr>
        <w:t>środowisko R</w:t>
      </w:r>
    </w:p>
    <w:p w14:paraId="6A5B168A" w14:textId="77777777" w:rsidR="00F83CC1" w:rsidRDefault="00F83CC1" w:rsidP="00F5375B">
      <w:pPr>
        <w:pStyle w:val="NormalnyWeb"/>
        <w:spacing w:before="0" w:beforeAutospacing="0" w:after="0" w:afterAutospacing="0" w:line="360" w:lineRule="auto"/>
        <w:ind w:left="360"/>
        <w:jc w:val="center"/>
        <w:rPr>
          <w:rFonts w:ascii="Arial" w:hAnsi="Arial" w:cs="Arial"/>
          <w:sz w:val="18"/>
          <w:szCs w:val="18"/>
        </w:rPr>
      </w:pPr>
    </w:p>
    <w:p w14:paraId="67F97E4C" w14:textId="77777777" w:rsidR="0062186D" w:rsidRPr="0099749E" w:rsidRDefault="0062186D" w:rsidP="00034937">
      <w:pPr>
        <w:pStyle w:val="tekst"/>
      </w:pPr>
    </w:p>
    <w:p w14:paraId="6BC68701" w14:textId="77777777" w:rsidR="005D49A0" w:rsidRPr="003B40CF" w:rsidRDefault="005D49A0" w:rsidP="003B40CF">
      <w:pPr>
        <w:pStyle w:val="tekst"/>
      </w:pPr>
      <w:r w:rsidRPr="003B40CF">
        <w:t>Wykres przygotowano w środowisku R przy zastosowaniu dwóch narzędzi: funkcji charts.PerformanceSummary() (która generuje zestaw trzech paneli: skumulowane zwroty, zwroty okresowe oraz obsunięcia kapitału) oraz pakietu ggplot2, pozwalającego na estetyczną wizualizację skumulowanych zwrotów na jednym wykresie liniowym. Wygenerowany wykres zapisano w postaci pliku graficznego .png, co ułatwia jego wstawienie do pracy magisterskiej.</w:t>
      </w:r>
    </w:p>
    <w:p w14:paraId="3A362893" w14:textId="18C35BE8" w:rsidR="005D49A0" w:rsidRPr="003B40CF" w:rsidRDefault="005D49A0" w:rsidP="003B40CF">
      <w:pPr>
        <w:pStyle w:val="tekst"/>
      </w:pPr>
      <w:r w:rsidRPr="003B40CF">
        <w:t>Analiza portfeli statycznych pozwala ocenić, jak zadziałałaby strategia inwestora, który na początku okresu (na podstawie dostępnych danych historycznych) wyznacza optymalną strukturę portfela i utrzymuje ją bez zmian. Jest to jednak podejście mało realistyczne z punktu widzenia praktyki, dlatego w kolejnym podrozdziale rozszerzono badanie o test kroczący z</w:t>
      </w:r>
      <w:r w:rsidR="00581575" w:rsidRPr="003B40CF">
        <w:t> </w:t>
      </w:r>
      <w:r w:rsidRPr="003B40CF">
        <w:t>okresowym rebalancingiem wag.</w:t>
      </w:r>
    </w:p>
    <w:p w14:paraId="4ABF68F1" w14:textId="2FF6AB57" w:rsidR="005D49A0" w:rsidRPr="003B40CF" w:rsidRDefault="005D49A0" w:rsidP="003B40CF">
      <w:pPr>
        <w:pStyle w:val="Styl1"/>
      </w:pPr>
      <w:r w:rsidRPr="003B40CF">
        <w:t>Procedura badawcza – rolling backtest i rebalancing</w:t>
      </w:r>
    </w:p>
    <w:p w14:paraId="2C29C1B7" w14:textId="77777777" w:rsidR="005D49A0" w:rsidRPr="00581575" w:rsidRDefault="005D49A0" w:rsidP="003B40CF">
      <w:pPr>
        <w:pStyle w:val="tekst"/>
      </w:pPr>
      <w:r w:rsidRPr="00581575">
        <w:t xml:space="preserve">Drugim etapem konstrukcji portfela jest przeprowadzenie </w:t>
      </w:r>
      <w:r w:rsidRPr="00FD29A4">
        <w:rPr>
          <w:i/>
        </w:rPr>
        <w:t>rolling backtestu</w:t>
      </w:r>
      <w:r w:rsidRPr="00581575">
        <w:t>, w którym struktura portfela jest regularnie aktualizowana w oparciu o najnowsze dane historyczne. Taka procedura lepiej odzwierciedla zachowanie realnego inwestora, który co pewien czas dostosowuje skład portfela do zmieniających się warunków rynkowych.</w:t>
      </w:r>
    </w:p>
    <w:p w14:paraId="58F94CFD" w14:textId="77777777" w:rsidR="005D49A0" w:rsidRPr="00581575" w:rsidRDefault="005D49A0" w:rsidP="00034937">
      <w:pPr>
        <w:pStyle w:val="tekst"/>
      </w:pPr>
      <w:r w:rsidRPr="00581575">
        <w:t>W przeprowadzonym badaniu przyjęto następującą konfigurację backtestu:</w:t>
      </w:r>
    </w:p>
    <w:p w14:paraId="6F0B78FF" w14:textId="77777777" w:rsidR="005D49A0" w:rsidRPr="003B40CF" w:rsidRDefault="005D49A0" w:rsidP="003B40CF">
      <w:pPr>
        <w:pStyle w:val="punkty"/>
      </w:pPr>
      <w:r w:rsidRPr="003B40CF">
        <w:rPr>
          <w:rStyle w:val="Pogrubienie"/>
          <w:b w:val="0"/>
          <w:bCs/>
        </w:rPr>
        <w:t>okno estymacji parametrów</w:t>
      </w:r>
      <w:r w:rsidRPr="003B40CF">
        <w:t xml:space="preserve">: 252 sesje giełdowe (około jednego roku </w:t>
      </w:r>
      <w:commentRangeStart w:id="17"/>
      <w:r w:rsidRPr="003B40CF">
        <w:t>notowań),</w:t>
      </w:r>
      <w:commentRangeEnd w:id="17"/>
      <w:r w:rsidR="003B40CF" w:rsidRPr="003B40CF">
        <w:rPr>
          <w:rStyle w:val="Odwoaniedokomentarza"/>
          <w:sz w:val="20"/>
          <w:szCs w:val="20"/>
        </w:rPr>
        <w:commentReference w:id="17"/>
      </w:r>
    </w:p>
    <w:p w14:paraId="262DCED7" w14:textId="77777777" w:rsidR="005D49A0" w:rsidRPr="003B40CF" w:rsidRDefault="005D49A0" w:rsidP="003B40CF">
      <w:pPr>
        <w:pStyle w:val="punkty"/>
      </w:pPr>
      <w:r w:rsidRPr="003B40CF">
        <w:rPr>
          <w:rStyle w:val="Pogrubienie"/>
          <w:b w:val="0"/>
          <w:bCs/>
        </w:rPr>
        <w:t>częstotliwość rebalancingu</w:t>
      </w:r>
      <w:r w:rsidRPr="003B40CF">
        <w:t>: co miesiąc,</w:t>
      </w:r>
    </w:p>
    <w:p w14:paraId="4664DFDA" w14:textId="77777777" w:rsidR="005D49A0" w:rsidRPr="003B40CF" w:rsidRDefault="005D49A0" w:rsidP="003B40CF">
      <w:pPr>
        <w:pStyle w:val="punkty"/>
      </w:pPr>
      <w:r w:rsidRPr="003B40CF">
        <w:rPr>
          <w:rStyle w:val="Pogrubienie"/>
          <w:b w:val="0"/>
          <w:bCs/>
        </w:rPr>
        <w:t>metoda estymacji</w:t>
      </w:r>
      <w:r w:rsidRPr="003B40CF">
        <w:t>: klasyczny estymator średniej i kowariancji stóp zwrotu na podstawie obserwacji z ostatniego roku,</w:t>
      </w:r>
    </w:p>
    <w:p w14:paraId="26EC8E8E" w14:textId="77777777" w:rsidR="005D49A0" w:rsidRPr="003B40CF" w:rsidRDefault="005D49A0" w:rsidP="003B40CF">
      <w:pPr>
        <w:pStyle w:val="punkty"/>
      </w:pPr>
      <w:r w:rsidRPr="003B40CF">
        <w:rPr>
          <w:rStyle w:val="Pogrubienie"/>
          <w:b w:val="0"/>
          <w:bCs/>
        </w:rPr>
        <w:t>typy portfeli</w:t>
      </w:r>
      <w:r w:rsidRPr="003B40CF">
        <w:t>: analogicznie jak w przypadku portfeli statycznych – portfel minimalnej wariancji (long-only) oraz portfel tangency (long-short).</w:t>
      </w:r>
    </w:p>
    <w:p w14:paraId="528BC25E" w14:textId="77777777" w:rsidR="00034937" w:rsidRPr="00306263" w:rsidRDefault="00034937" w:rsidP="00034937">
      <w:pPr>
        <w:pStyle w:val="punkty"/>
        <w:numPr>
          <w:ilvl w:val="0"/>
          <w:numId w:val="0"/>
        </w:numPr>
        <w:ind w:left="1426"/>
      </w:pPr>
    </w:p>
    <w:p w14:paraId="14E476AB" w14:textId="1540BB1F" w:rsidR="00B624CB" w:rsidRDefault="005D49A0" w:rsidP="00034937">
      <w:pPr>
        <w:pStyle w:val="tekst"/>
      </w:pPr>
      <w:r w:rsidRPr="00034937">
        <w:t>Procedura rolling backtestu przebiega według następujących kroków:</w:t>
      </w:r>
    </w:p>
    <w:p w14:paraId="2FE39B27" w14:textId="77777777" w:rsidR="00034937" w:rsidRPr="00034937" w:rsidRDefault="00034937" w:rsidP="00034937">
      <w:pPr>
        <w:pStyle w:val="tekst"/>
      </w:pPr>
    </w:p>
    <w:p w14:paraId="2B9EFD6E" w14:textId="57CC74DB" w:rsidR="005D49A0" w:rsidRPr="0056772A" w:rsidRDefault="005D49A0" w:rsidP="003B40CF">
      <w:pPr>
        <w:pStyle w:val="punkty"/>
        <w:rPr>
          <w:lang w:val="en-US"/>
        </w:rPr>
      </w:pPr>
      <w:r w:rsidRPr="003B40CF">
        <w:t xml:space="preserve">Wyznaczenie punktów końcowych miesięcy w szeregach stóp zwrotu za pomocą funkcji </w:t>
      </w:r>
      <w:r w:rsidRPr="003B40CF">
        <w:rPr>
          <w:rStyle w:val="HTML-kod"/>
          <w:rFonts w:ascii="Arial" w:eastAsiaTheme="majorEastAsia" w:hAnsi="Arial" w:cs="Arial"/>
        </w:rPr>
        <w:t>endpoints()</w:t>
      </w:r>
      <w:r w:rsidRPr="003B40CF">
        <w:t xml:space="preserve"> z pakietu </w:t>
      </w:r>
      <w:r w:rsidRPr="003B40CF">
        <w:rPr>
          <w:rStyle w:val="HTML-kod"/>
          <w:rFonts w:ascii="Arial" w:eastAsiaTheme="majorEastAsia" w:hAnsi="Arial" w:cs="Arial"/>
        </w:rPr>
        <w:t>xts</w:t>
      </w:r>
      <w:r w:rsidRPr="003B40CF">
        <w:t>.</w:t>
      </w:r>
      <w:sdt>
        <w:sdtPr>
          <w:id w:val="1366401436"/>
          <w:citation/>
        </w:sdtPr>
        <w:sdtContent>
          <w:r w:rsidR="0006459C" w:rsidRPr="003B40CF">
            <w:fldChar w:fldCharType="begin"/>
          </w:r>
          <w:r w:rsidR="0006459C" w:rsidRPr="003B40CF">
            <w:instrText xml:space="preserve"> CITATION Rya \l 1045 </w:instrText>
          </w:r>
          <w:r w:rsidR="0006459C" w:rsidRPr="003B40CF">
            <w:fldChar w:fldCharType="separate"/>
          </w:r>
          <w:r w:rsidR="0006459C" w:rsidRPr="003B40CF">
            <w:t xml:space="preserve"> </w:t>
          </w:r>
          <w:r w:rsidR="0006459C" w:rsidRPr="0056772A">
            <w:rPr>
              <w:lang w:val="en-US"/>
            </w:rPr>
            <w:t>(Ryan i Ulrich, xts: eXtensible Time Series (R package) – Reference manual)</w:t>
          </w:r>
          <w:r w:rsidR="0006459C" w:rsidRPr="003B40CF">
            <w:fldChar w:fldCharType="end"/>
          </w:r>
        </w:sdtContent>
      </w:sdt>
    </w:p>
    <w:p w14:paraId="0D6D2D6C" w14:textId="77777777" w:rsidR="005D49A0" w:rsidRPr="003B40CF" w:rsidRDefault="005D49A0" w:rsidP="003B40CF">
      <w:pPr>
        <w:pStyle w:val="punkty"/>
      </w:pPr>
      <w:r w:rsidRPr="003B40CF">
        <w:t xml:space="preserve">Dla każdego miesiąca </w:t>
      </w:r>
      <m:oMath>
        <m:r>
          <w:rPr>
            <w:rFonts w:ascii="Cambria Math" w:hAnsi="Cambria Math"/>
          </w:rPr>
          <m:t>m</m:t>
        </m:r>
      </m:oMath>
      <w:r w:rsidRPr="003B40CF">
        <w:t xml:space="preserve">, dla którego liczba dostępnych obserwacji przekracza 252, zdefiniowanie okna treningowego obejmującego ostatnie 252 sesje przed końcem miesiąca </w:t>
      </w:r>
      <m:oMath>
        <m:r>
          <w:rPr>
            <w:rFonts w:ascii="Cambria Math" w:hAnsi="Cambria Math"/>
          </w:rPr>
          <m:t>m</m:t>
        </m:r>
      </m:oMath>
      <w:r w:rsidRPr="003B40CF">
        <w:t>.</w:t>
      </w:r>
    </w:p>
    <w:p w14:paraId="30742E26" w14:textId="77777777" w:rsidR="005D49A0" w:rsidRPr="003B40CF" w:rsidRDefault="005D49A0" w:rsidP="003B40CF">
      <w:pPr>
        <w:pStyle w:val="punkty"/>
      </w:pPr>
      <w:r w:rsidRPr="003B40CF">
        <w:t xml:space="preserve">Na podstawie okna treningowego oszacowanie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m</m:t>
            </m:r>
          </m:sub>
        </m:sSub>
      </m:oMath>
      <w:r w:rsidRPr="003B40CF">
        <w:t xml:space="preserve">oraz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m</m:t>
            </m:r>
          </m:sub>
        </m:sSub>
      </m:oMath>
      <w:r w:rsidRPr="003B40CF">
        <w:t>i wyznaczenie wag portfeli long-only i long-short.</w:t>
      </w:r>
    </w:p>
    <w:p w14:paraId="741B3E32" w14:textId="5145214A" w:rsidR="005D49A0" w:rsidRPr="003B40CF" w:rsidRDefault="005D49A0" w:rsidP="003B40CF">
      <w:pPr>
        <w:pStyle w:val="punkty"/>
      </w:pPr>
      <w:r w:rsidRPr="003B40CF">
        <w:t xml:space="preserve">Zastosowanie otrzymanych wag do szeregu stóp zwrotu w kolejnym miesiącu </w:t>
      </w:r>
      <m:oMath>
        <m:r>
          <w:rPr>
            <w:rFonts w:ascii="Cambria Math" w:hAnsi="Cambria Math"/>
          </w:rPr>
          <m:t>m+ 1</m:t>
        </m:r>
      </m:oMath>
      <w:r w:rsidRPr="003B40CF">
        <w:t>(okno testowe), przy założeniu braku dalszych zmian struktury portfela w tym okresie.</w:t>
      </w:r>
    </w:p>
    <w:p w14:paraId="542DEE90" w14:textId="77777777" w:rsidR="005D49A0" w:rsidRPr="003B40CF" w:rsidRDefault="005D49A0" w:rsidP="003B40CF">
      <w:pPr>
        <w:pStyle w:val="punkty"/>
      </w:pPr>
      <w:r w:rsidRPr="003B40CF">
        <w:lastRenderedPageBreak/>
        <w:t>Zapisanie zrealizowanych stóp zwrotu portfeli w oknie testowym; następnie przesunięcie okna o jeden miesiąc do przodu i powtórzenie procedury.</w:t>
      </w:r>
    </w:p>
    <w:p w14:paraId="0125E175" w14:textId="69A84950" w:rsidR="005D49A0" w:rsidRPr="003B40CF" w:rsidRDefault="005D49A0" w:rsidP="003B40CF">
      <w:pPr>
        <w:pStyle w:val="tekst"/>
      </w:pPr>
      <w:r w:rsidRPr="003B40CF">
        <w:t>W wyniku zastosowania opisanej procedury uzyskano szereg czasowy miesięcznych stóp zwrotu portfela long-only, portfela long-short oraz indeksu WIG20 dla całego okresu, w</w:t>
      </w:r>
      <w:r w:rsidR="005D1737" w:rsidRPr="003B40CF">
        <w:t> </w:t>
      </w:r>
      <w:r w:rsidRPr="003B40CF">
        <w:t>którym możliwe było stosowanie rocznego okna estymacyjnego. Na podstawie tych danych wyznaczono ponownie roczne stopy zwrotu, zmienność, wskaźniki Sharpe’a i Sortino oraz maksymalne obsunięcia kapitału, a następnie zestawiono je w tabeli</w:t>
      </w:r>
      <w:r w:rsidR="00AA33B5" w:rsidRPr="003B40CF">
        <w:t xml:space="preserve"> 3.2.</w:t>
      </w:r>
    </w:p>
    <w:p w14:paraId="516F570A" w14:textId="77777777" w:rsidR="00B92C86" w:rsidRPr="00B92C86" w:rsidRDefault="00B92C86" w:rsidP="00034937">
      <w:pPr>
        <w:pStyle w:val="tekst"/>
        <w:rPr>
          <w:sz w:val="4"/>
          <w:szCs w:val="4"/>
        </w:rPr>
      </w:pPr>
    </w:p>
    <w:p w14:paraId="2547027F" w14:textId="77777777" w:rsidR="005D49A0" w:rsidRPr="00AA33B5" w:rsidRDefault="005D49A0" w:rsidP="00F5375B">
      <w:pPr>
        <w:pStyle w:val="NormalnyWeb"/>
        <w:spacing w:after="0" w:afterAutospacing="0" w:line="360" w:lineRule="auto"/>
        <w:ind w:left="360"/>
        <w:jc w:val="center"/>
        <w:rPr>
          <w:rFonts w:ascii="Arial" w:hAnsi="Arial" w:cs="Arial"/>
          <w:sz w:val="18"/>
          <w:szCs w:val="18"/>
        </w:rPr>
      </w:pPr>
      <w:r w:rsidRPr="00AA33B5">
        <w:rPr>
          <w:rStyle w:val="Pogrubienie"/>
          <w:rFonts w:ascii="Arial" w:eastAsiaTheme="majorEastAsia" w:hAnsi="Arial" w:cs="Arial"/>
          <w:b w:val="0"/>
          <w:sz w:val="18"/>
          <w:szCs w:val="18"/>
        </w:rPr>
        <w:t>Tabela 3.2.</w:t>
      </w:r>
      <w:r w:rsidRPr="00AA33B5">
        <w:rPr>
          <w:rFonts w:ascii="Arial" w:hAnsi="Arial" w:cs="Arial"/>
          <w:sz w:val="18"/>
          <w:szCs w:val="18"/>
        </w:rPr>
        <w:t xml:space="preserve"> Miary efektywności portfeli long-only i long-short w teście kroczącym (rolling backtest) na tle indeksu WIG20.</w:t>
      </w:r>
    </w:p>
    <w:p w14:paraId="6D23254D" w14:textId="3C9B206C" w:rsidR="00B624CB" w:rsidRDefault="00B624CB" w:rsidP="00F5375B">
      <w:pPr>
        <w:pStyle w:val="NormalnyWeb"/>
        <w:ind w:left="360"/>
        <w:jc w:val="both"/>
        <w:rPr>
          <w:rFonts w:ascii="Arial" w:hAnsi="Arial" w:cs="Arial"/>
          <w:sz w:val="20"/>
          <w:szCs w:val="20"/>
        </w:rPr>
      </w:pPr>
      <w:r w:rsidRPr="00B624CB">
        <w:rPr>
          <w:rFonts w:ascii="Arial" w:hAnsi="Arial" w:cs="Arial"/>
          <w:noProof/>
          <w:sz w:val="20"/>
          <w:szCs w:val="20"/>
        </w:rPr>
        <w:drawing>
          <wp:inline distT="0" distB="0" distL="0" distR="0" wp14:anchorId="6C239BE1" wp14:editId="79512F8E">
            <wp:extent cx="5400675" cy="2863215"/>
            <wp:effectExtent l="0" t="0" r="9525" b="0"/>
            <wp:docPr id="1995561350"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61350" name="Obraz 1" descr="Obraz zawierający tekst, zrzut ekranu, Czcionka, numer&#10;&#10;Zawartość wygenerowana przez AI może być niepoprawna."/>
                    <pic:cNvPicPr/>
                  </pic:nvPicPr>
                  <pic:blipFill>
                    <a:blip r:embed="rId17"/>
                    <a:stretch>
                      <a:fillRect/>
                    </a:stretch>
                  </pic:blipFill>
                  <pic:spPr>
                    <a:xfrm>
                      <a:off x="0" y="0"/>
                      <a:ext cx="5400675" cy="2863215"/>
                    </a:xfrm>
                    <a:prstGeom prst="rect">
                      <a:avLst/>
                    </a:prstGeom>
                  </pic:spPr>
                </pic:pic>
              </a:graphicData>
            </a:graphic>
          </wp:inline>
        </w:drawing>
      </w:r>
    </w:p>
    <w:p w14:paraId="2637B297" w14:textId="5C989F33" w:rsidR="00AA33B5" w:rsidRPr="0062186D" w:rsidRDefault="00AA33B5" w:rsidP="00F5375B">
      <w:pPr>
        <w:pStyle w:val="NormalnyWeb"/>
        <w:spacing w:before="0" w:beforeAutospacing="0" w:after="0" w:afterAutospacing="0" w:line="360" w:lineRule="auto"/>
        <w:ind w:left="360"/>
        <w:jc w:val="center"/>
        <w:rPr>
          <w:rFonts w:ascii="Arial" w:hAnsi="Arial"/>
          <w:sz w:val="18"/>
          <w:szCs w:val="18"/>
        </w:rPr>
      </w:pPr>
      <w:r w:rsidRPr="0099749E">
        <w:rPr>
          <w:rFonts w:ascii="Arial" w:hAnsi="Arial"/>
          <w:i/>
          <w:sz w:val="18"/>
          <w:szCs w:val="22"/>
        </w:rPr>
        <w:t>Źródło</w:t>
      </w:r>
      <w:r w:rsidRPr="0099749E">
        <w:rPr>
          <w:rFonts w:ascii="Arial" w:hAnsi="Arial"/>
          <w:sz w:val="18"/>
          <w:szCs w:val="18"/>
        </w:rPr>
        <w:t xml:space="preserve">: </w:t>
      </w:r>
      <w:r w:rsidRPr="00514FE7">
        <w:rPr>
          <w:rFonts w:ascii="Arial" w:hAnsi="Arial"/>
          <w:sz w:val="18"/>
          <w:szCs w:val="18"/>
        </w:rPr>
        <w:t>środowisko R</w:t>
      </w:r>
    </w:p>
    <w:p w14:paraId="2134CE71" w14:textId="396D8377" w:rsidR="00AF4B16" w:rsidRPr="0062186D" w:rsidRDefault="005D49A0" w:rsidP="003B40CF">
      <w:pPr>
        <w:pStyle w:val="tekst"/>
      </w:pPr>
      <w:r w:rsidRPr="00AF4B16">
        <w:t>Analogicznie jak w przypadku portfeli statycznych, przebieg skumulowanych zwrotów przedstawiono na wykresie</w:t>
      </w:r>
      <w:r w:rsidR="00AF4B16">
        <w:t xml:space="preserve"> 3.2.</w:t>
      </w:r>
    </w:p>
    <w:p w14:paraId="51CAE87A" w14:textId="3A61FFA1" w:rsidR="00B624CB" w:rsidRPr="0062186D" w:rsidRDefault="005D49A0" w:rsidP="00F5375B">
      <w:pPr>
        <w:pStyle w:val="NormalnyWeb"/>
        <w:ind w:left="360"/>
        <w:jc w:val="center"/>
        <w:rPr>
          <w:rFonts w:ascii="Arial" w:hAnsi="Arial" w:cs="Arial"/>
          <w:sz w:val="18"/>
          <w:szCs w:val="18"/>
        </w:rPr>
      </w:pPr>
      <w:r w:rsidRPr="00AF4B16">
        <w:rPr>
          <w:rStyle w:val="Pogrubienie"/>
          <w:rFonts w:ascii="Arial" w:eastAsiaTheme="majorEastAsia" w:hAnsi="Arial" w:cs="Arial"/>
          <w:b w:val="0"/>
          <w:sz w:val="18"/>
          <w:szCs w:val="18"/>
        </w:rPr>
        <w:lastRenderedPageBreak/>
        <w:t>Rysunek 3.2.</w:t>
      </w:r>
      <w:r w:rsidRPr="00AF4B16">
        <w:rPr>
          <w:rFonts w:ascii="Arial" w:hAnsi="Arial" w:cs="Arial"/>
          <w:sz w:val="18"/>
          <w:szCs w:val="18"/>
        </w:rPr>
        <w:t xml:space="preserve"> Rolling backtest: skumulowane zwroty portfeli long-only, long-short oraz indeksu WIG20.</w:t>
      </w:r>
      <w:r w:rsidR="0062186D" w:rsidRPr="0062186D">
        <w:rPr>
          <w:rFonts w:ascii="Arial" w:hAnsi="Arial" w:cs="Arial"/>
          <w:noProof/>
          <w:sz w:val="20"/>
          <w:szCs w:val="20"/>
        </w:rPr>
        <w:t xml:space="preserve"> </w:t>
      </w:r>
      <w:r w:rsidR="0062186D" w:rsidRPr="00B624CB">
        <w:rPr>
          <w:rFonts w:ascii="Arial" w:hAnsi="Arial" w:cs="Arial"/>
          <w:noProof/>
          <w:sz w:val="20"/>
          <w:szCs w:val="20"/>
        </w:rPr>
        <w:drawing>
          <wp:inline distT="0" distB="0" distL="0" distR="0" wp14:anchorId="1ABF778D" wp14:editId="1A9AA96A">
            <wp:extent cx="5400675" cy="2859405"/>
            <wp:effectExtent l="0" t="0" r="9525" b="0"/>
            <wp:docPr id="1650784094" name="Obraz 1" descr="Obraz zawierający tekst, zrzut ekranu,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84094" name="Obraz 1" descr="Obraz zawierający tekst, zrzut ekranu, linia, diagram&#10;&#10;Zawartość wygenerowana przez AI może być niepoprawna."/>
                    <pic:cNvPicPr/>
                  </pic:nvPicPr>
                  <pic:blipFill>
                    <a:blip r:embed="rId18"/>
                    <a:stretch>
                      <a:fillRect/>
                    </a:stretch>
                  </pic:blipFill>
                  <pic:spPr>
                    <a:xfrm>
                      <a:off x="0" y="0"/>
                      <a:ext cx="5400675" cy="2859405"/>
                    </a:xfrm>
                    <a:prstGeom prst="rect">
                      <a:avLst/>
                    </a:prstGeom>
                  </pic:spPr>
                </pic:pic>
              </a:graphicData>
            </a:graphic>
          </wp:inline>
        </w:drawing>
      </w:r>
    </w:p>
    <w:p w14:paraId="73DDF9A3" w14:textId="77777777" w:rsidR="00AF4B16" w:rsidRPr="00514FE7" w:rsidRDefault="00AF4B16" w:rsidP="00F5375B">
      <w:pPr>
        <w:pStyle w:val="NormalnyWeb"/>
        <w:spacing w:before="0" w:beforeAutospacing="0" w:after="0" w:afterAutospacing="0" w:line="360" w:lineRule="auto"/>
        <w:ind w:left="360"/>
        <w:jc w:val="center"/>
        <w:rPr>
          <w:rFonts w:ascii="Arial" w:hAnsi="Arial"/>
          <w:sz w:val="18"/>
          <w:szCs w:val="18"/>
        </w:rPr>
      </w:pPr>
      <w:r w:rsidRPr="0099749E">
        <w:rPr>
          <w:rFonts w:ascii="Arial" w:hAnsi="Arial"/>
          <w:i/>
          <w:sz w:val="18"/>
          <w:szCs w:val="22"/>
        </w:rPr>
        <w:t>Źródło</w:t>
      </w:r>
      <w:r w:rsidRPr="0099749E">
        <w:rPr>
          <w:rFonts w:ascii="Arial" w:hAnsi="Arial"/>
          <w:sz w:val="18"/>
          <w:szCs w:val="18"/>
        </w:rPr>
        <w:t xml:space="preserve">: </w:t>
      </w:r>
      <w:r w:rsidRPr="00514FE7">
        <w:rPr>
          <w:rFonts w:ascii="Arial" w:hAnsi="Arial"/>
          <w:sz w:val="18"/>
          <w:szCs w:val="18"/>
        </w:rPr>
        <w:t>środowisko R</w:t>
      </w:r>
    </w:p>
    <w:p w14:paraId="45C00DCB" w14:textId="77777777" w:rsidR="00AF4B16" w:rsidRPr="005D49A0" w:rsidRDefault="00AF4B16" w:rsidP="00F5375B">
      <w:pPr>
        <w:pStyle w:val="NormalnyWeb"/>
        <w:spacing w:before="0" w:beforeAutospacing="0" w:after="0" w:afterAutospacing="0" w:line="360" w:lineRule="auto"/>
        <w:ind w:left="360"/>
        <w:jc w:val="both"/>
        <w:rPr>
          <w:rFonts w:ascii="Arial" w:hAnsi="Arial" w:cs="Arial"/>
          <w:sz w:val="20"/>
          <w:szCs w:val="20"/>
        </w:rPr>
      </w:pPr>
    </w:p>
    <w:p w14:paraId="228A3668" w14:textId="0F023159" w:rsidR="005D49A0" w:rsidRPr="004B46C1" w:rsidRDefault="005D49A0" w:rsidP="00034937">
      <w:pPr>
        <w:pStyle w:val="tekst"/>
      </w:pPr>
      <w:r w:rsidRPr="004B46C1">
        <w:t xml:space="preserve">Wykres wygenerowano z wykorzystaniem funkcji </w:t>
      </w:r>
      <w:r w:rsidRPr="00200F52">
        <w:rPr>
          <w:rFonts w:cs="Arial"/>
          <w:i/>
        </w:rPr>
        <w:t>charts.PerformanceSummary()</w:t>
      </w:r>
      <w:r w:rsidRPr="004B46C1">
        <w:t xml:space="preserve"> (trzy panele: zwroty skumulowane, zwroty okresowe oraz obsunięcia kapitału) oraz ggplot2 (pojedynczy wykres skumulowanych zwrotów).</w:t>
      </w:r>
      <w:sdt>
        <w:sdtPr>
          <w:id w:val="-1272005418"/>
          <w:citation/>
        </w:sdtPr>
        <w:sdtContent>
          <w:r w:rsidR="0006459C">
            <w:fldChar w:fldCharType="begin"/>
          </w:r>
          <w:r w:rsidR="0006459C">
            <w:instrText xml:space="preserve"> CITATION Pet25 \l 1045 </w:instrText>
          </w:r>
          <w:r w:rsidR="0006459C">
            <w:fldChar w:fldCharType="separate"/>
          </w:r>
          <w:r w:rsidR="0006459C">
            <w:rPr>
              <w:noProof/>
            </w:rPr>
            <w:t xml:space="preserve"> </w:t>
          </w:r>
          <w:r w:rsidR="0006459C" w:rsidRPr="0006459C">
            <w:rPr>
              <w:noProof/>
            </w:rPr>
            <w:t>(Peterson, Carl i Boudt, 2025)</w:t>
          </w:r>
          <w:r w:rsidR="0006459C">
            <w:fldChar w:fldCharType="end"/>
          </w:r>
        </w:sdtContent>
      </w:sdt>
    </w:p>
    <w:p w14:paraId="2B55E6BC" w14:textId="77F9458F" w:rsidR="005D49A0" w:rsidRPr="004B46C1" w:rsidRDefault="005D49A0" w:rsidP="00034937">
      <w:pPr>
        <w:pStyle w:val="tekst"/>
      </w:pPr>
      <w:r w:rsidRPr="004B46C1">
        <w:t>Zastosowanie backtestu kroczącego pozwala odpowiedzieć na pytanie, czy strategia okresowej aktualizacji wag – przy zachowaniu założeń modelu Markowitza – prowadzi do stabilniejszych i bardziej przewidywalnych wyników niż jednorazowa optymalizacja na całym okresie.</w:t>
      </w:r>
    </w:p>
    <w:p w14:paraId="1981818E" w14:textId="758E1774" w:rsidR="005D49A0" w:rsidRPr="003B40CF" w:rsidRDefault="005D49A0" w:rsidP="003B40CF">
      <w:pPr>
        <w:pStyle w:val="Styl1"/>
      </w:pPr>
      <w:r w:rsidRPr="003B40CF">
        <w:t>Implementacja w środowisku R</w:t>
      </w:r>
    </w:p>
    <w:p w14:paraId="1853F476" w14:textId="77777777" w:rsidR="005D49A0" w:rsidRPr="004B46C1" w:rsidRDefault="005D49A0" w:rsidP="003B40CF">
      <w:pPr>
        <w:pStyle w:val="tekst"/>
      </w:pPr>
      <w:r w:rsidRPr="004B46C1">
        <w:t xml:space="preserve">Cały proces budowy portfela inwestycyjnego został zaimplementowany w środowisku </w:t>
      </w:r>
      <w:r w:rsidRPr="00AF6C99">
        <w:rPr>
          <w:bCs/>
        </w:rPr>
        <w:t>R</w:t>
      </w:r>
      <w:r w:rsidRPr="004B46C1">
        <w:t>, które stanowi elastyczną platformę do analizy szeregów czasowych i konstrukcji portfeli inwestycyjnych. W szczególności wykorzystano następujące pakiety:</w:t>
      </w:r>
    </w:p>
    <w:p w14:paraId="67D61E78" w14:textId="77777777" w:rsidR="005D49A0" w:rsidRPr="003B40CF" w:rsidRDefault="005D49A0" w:rsidP="003B40CF">
      <w:pPr>
        <w:pStyle w:val="punkty"/>
      </w:pPr>
      <w:commentRangeStart w:id="18"/>
      <w:r w:rsidRPr="003B40CF">
        <w:rPr>
          <w:rStyle w:val="HTML-kod"/>
          <w:rFonts w:ascii="Arial" w:hAnsi="Arial" w:cs="Arial"/>
        </w:rPr>
        <w:t>qu</w:t>
      </w:r>
      <w:commentRangeEnd w:id="18"/>
      <w:r w:rsidR="003B40CF" w:rsidRPr="003B40CF">
        <w:rPr>
          <w:rStyle w:val="Odwoaniedokomentarza"/>
          <w:sz w:val="20"/>
          <w:szCs w:val="20"/>
        </w:rPr>
        <w:commentReference w:id="18"/>
      </w:r>
      <w:r w:rsidRPr="003B40CF">
        <w:rPr>
          <w:rStyle w:val="HTML-kod"/>
          <w:rFonts w:ascii="Arial" w:hAnsi="Arial" w:cs="Arial"/>
        </w:rPr>
        <w:t>antmod</w:t>
      </w:r>
      <w:r w:rsidRPr="003B40CF">
        <w:t xml:space="preserve"> – do pobierania danych giełdowych z serwisu Yahoo Finance oraz operacji na szeregach czasowych,</w:t>
      </w:r>
    </w:p>
    <w:p w14:paraId="1C5BC600" w14:textId="77777777" w:rsidR="005D49A0" w:rsidRPr="003B40CF" w:rsidRDefault="005D49A0" w:rsidP="003B40CF">
      <w:pPr>
        <w:pStyle w:val="punkty"/>
      </w:pPr>
      <w:r w:rsidRPr="003B40CF">
        <w:rPr>
          <w:rStyle w:val="HTML-kod"/>
          <w:rFonts w:ascii="Arial" w:hAnsi="Arial" w:cs="Arial"/>
        </w:rPr>
        <w:t>PerformanceAnalytics</w:t>
      </w:r>
      <w:r w:rsidRPr="003B40CF">
        <w:t xml:space="preserve"> – do obliczania stóp zwrotu, miar efektywności portfela oraz generowania standardowych wykresów wyników inwestycyjnych,</w:t>
      </w:r>
    </w:p>
    <w:p w14:paraId="07C7B0C4" w14:textId="77777777" w:rsidR="005D49A0" w:rsidRPr="003B40CF" w:rsidRDefault="005D49A0" w:rsidP="003B40CF">
      <w:pPr>
        <w:pStyle w:val="punkty"/>
      </w:pPr>
      <w:r w:rsidRPr="003B40CF">
        <w:rPr>
          <w:rStyle w:val="HTML-kod"/>
          <w:rFonts w:ascii="Arial" w:hAnsi="Arial" w:cs="Arial"/>
        </w:rPr>
        <w:t>quadprog</w:t>
      </w:r>
      <w:r w:rsidRPr="003B40CF">
        <w:t xml:space="preserve"> – do rozwiązywania zadań programowania kwadratowego w konstrukcji portfela minimalnej wariancji,</w:t>
      </w:r>
    </w:p>
    <w:p w14:paraId="12D4FC9D" w14:textId="77777777" w:rsidR="005D49A0" w:rsidRPr="003B40CF" w:rsidRDefault="005D49A0" w:rsidP="003B40CF">
      <w:pPr>
        <w:pStyle w:val="punkty"/>
      </w:pPr>
      <w:r w:rsidRPr="003B40CF">
        <w:rPr>
          <w:rStyle w:val="HTML-kod"/>
          <w:rFonts w:ascii="Arial" w:hAnsi="Arial" w:cs="Arial"/>
        </w:rPr>
        <w:t>ggplot2</w:t>
      </w:r>
      <w:r w:rsidRPr="003B40CF">
        <w:t xml:space="preserve">, </w:t>
      </w:r>
      <w:r w:rsidRPr="003B40CF">
        <w:rPr>
          <w:rStyle w:val="HTML-kod"/>
          <w:rFonts w:ascii="Arial" w:hAnsi="Arial" w:cs="Arial"/>
        </w:rPr>
        <w:t>dplyr</w:t>
      </w:r>
      <w:r w:rsidRPr="003B40CF">
        <w:t xml:space="preserve">, </w:t>
      </w:r>
      <w:r w:rsidRPr="003B40CF">
        <w:rPr>
          <w:rStyle w:val="HTML-kod"/>
          <w:rFonts w:ascii="Arial" w:hAnsi="Arial" w:cs="Arial"/>
        </w:rPr>
        <w:t>tidyr</w:t>
      </w:r>
      <w:r w:rsidRPr="003B40CF">
        <w:t xml:space="preserve"> oraz </w:t>
      </w:r>
      <w:r w:rsidRPr="003B40CF">
        <w:rPr>
          <w:rStyle w:val="HTML-kod"/>
          <w:rFonts w:ascii="Arial" w:hAnsi="Arial" w:cs="Arial"/>
        </w:rPr>
        <w:t>zoo</w:t>
      </w:r>
      <w:r w:rsidRPr="003B40CF">
        <w:t xml:space="preserve"> – do przekształcania danych i graficznej prezentacji wyników w formie dostosowanej do potrzeb pracy magisterskiej.</w:t>
      </w:r>
    </w:p>
    <w:p w14:paraId="0FEBC95D" w14:textId="77777777" w:rsidR="005D49A0" w:rsidRPr="005D49A0" w:rsidRDefault="005D49A0" w:rsidP="003B40CF">
      <w:pPr>
        <w:pStyle w:val="tekst"/>
      </w:pPr>
      <w:r w:rsidRPr="005D49A0">
        <w:t xml:space="preserve">Kolejne fragmenty skryptu – począwszy od wczytania pakietów, przez import danych, obliczenie stóp zwrotu, konstrukcję portfeli statycznych i rolling oraz generowanie wykresów – zostały uporządkowane w sposób odzwierciedlający logiczny tok analizy. W pracy zamieszczono wybrane fragmenty kodu ilustrujące kluczowe kroki procedury (np. funkcje wyznaczające wagi </w:t>
      </w:r>
      <w:r w:rsidRPr="005D49A0">
        <w:lastRenderedPageBreak/>
        <w:t>portfela minimalnej wariancji i portfela tangency, pętlę rolling backtestu oraz przykładowe komendy generujące wykresy). Pozostała część kodu, o bardziej technicznym charakterze (np. ustawienia katalogu roboczego, instalacja pakietów), może zostać przeniesiona do załącznika lub udostępniona w formie elektronicznej.</w:t>
      </w:r>
    </w:p>
    <w:p w14:paraId="63989C58" w14:textId="45075594" w:rsidR="005D49A0" w:rsidRPr="005D49A0" w:rsidRDefault="005D49A0" w:rsidP="003B40CF">
      <w:pPr>
        <w:pStyle w:val="tekst"/>
      </w:pPr>
      <w:r w:rsidRPr="005D49A0">
        <w:t>Implementacja w R, bazująca na rozwiązaniach wykorzystywanych w ramach laboratoriów z</w:t>
      </w:r>
      <w:r>
        <w:t> </w:t>
      </w:r>
      <w:r w:rsidRPr="005D49A0">
        <w:t xml:space="preserve">inwestycji alternatywnych, pozwala w przejrzysty sposób odtworzyć wszystkie etapy budowy portfela Markowitza i stanowi solidną podstawę do dalszej, pogłębionej analizy wyników, zaprezentowanej w kolejnym rozdziale. </w:t>
      </w:r>
    </w:p>
    <w:p w14:paraId="57EC3780" w14:textId="77777777" w:rsidR="00365657" w:rsidRPr="00365657" w:rsidRDefault="00365657" w:rsidP="00F5375B">
      <w:pPr>
        <w:pStyle w:val="NormalnyWeb"/>
        <w:ind w:left="360" w:firstLine="360"/>
        <w:jc w:val="both"/>
        <w:rPr>
          <w:rFonts w:ascii="Arial" w:hAnsi="Arial" w:cs="Arial"/>
          <w:sz w:val="20"/>
          <w:szCs w:val="20"/>
        </w:rPr>
      </w:pPr>
    </w:p>
    <w:p w14:paraId="0E7AC996" w14:textId="665DD5D9" w:rsidR="0099603A" w:rsidRPr="00306263" w:rsidRDefault="0099603A" w:rsidP="00F5375B">
      <w:pPr>
        <w:pStyle w:val="nagowek"/>
        <w:tabs>
          <w:tab w:val="clear" w:pos="720"/>
          <w:tab w:val="num" w:pos="1080"/>
        </w:tabs>
        <w:ind w:left="1080"/>
      </w:pPr>
      <w:r w:rsidRPr="00306263">
        <w:lastRenderedPageBreak/>
        <w:t>ANALIZA WYNIKÓW</w:t>
      </w:r>
    </w:p>
    <w:p w14:paraId="17944780" w14:textId="77777777" w:rsidR="0099603A" w:rsidRPr="00D363E1" w:rsidRDefault="0099603A" w:rsidP="00F5375B">
      <w:pPr>
        <w:pStyle w:val="nagowek"/>
        <w:tabs>
          <w:tab w:val="clear" w:pos="720"/>
          <w:tab w:val="num" w:pos="1080"/>
        </w:tabs>
        <w:ind w:left="1080"/>
      </w:pPr>
      <w:r w:rsidRPr="00D363E1">
        <w:lastRenderedPageBreak/>
        <w:t>PODSUMOWANIE</w:t>
      </w:r>
    </w:p>
    <w:p w14:paraId="1B5C9C4C" w14:textId="77777777" w:rsidR="00D7036D" w:rsidRDefault="0099603A" w:rsidP="00F5375B">
      <w:pPr>
        <w:pStyle w:val="nagowek"/>
        <w:tabs>
          <w:tab w:val="clear" w:pos="720"/>
          <w:tab w:val="num" w:pos="1080"/>
        </w:tabs>
        <w:ind w:left="1080"/>
      </w:pPr>
      <w:r w:rsidRPr="00D363E1">
        <w:lastRenderedPageBreak/>
        <w:t>Spis literatury</w:t>
      </w:r>
    </w:p>
    <w:p w14:paraId="74F8EFC3" w14:textId="77777777" w:rsidR="00D7036D" w:rsidRPr="000167D6" w:rsidRDefault="00D7036D" w:rsidP="00F5375B">
      <w:pPr>
        <w:pStyle w:val="Bibliografia"/>
        <w:spacing w:line="360" w:lineRule="auto"/>
        <w:ind w:left="720" w:hanging="720"/>
        <w:jc w:val="both"/>
        <w:rPr>
          <w:rFonts w:ascii="Arial" w:hAnsi="Arial" w:cs="Arial"/>
          <w:noProof/>
          <w:kern w:val="0"/>
          <w:sz w:val="20"/>
          <w:szCs w:val="20"/>
          <w14:ligatures w14:val="none"/>
        </w:rPr>
      </w:pPr>
      <w:r w:rsidRPr="000167D6">
        <w:rPr>
          <w:rFonts w:ascii="Arial" w:hAnsi="Arial" w:cs="Arial"/>
          <w:sz w:val="20"/>
          <w:szCs w:val="20"/>
        </w:rPr>
        <w:fldChar w:fldCharType="begin"/>
      </w:r>
      <w:r w:rsidRPr="000167D6">
        <w:rPr>
          <w:rFonts w:ascii="Arial" w:hAnsi="Arial" w:cs="Arial"/>
          <w:sz w:val="20"/>
          <w:szCs w:val="20"/>
          <w:lang w:val="en-US"/>
        </w:rPr>
        <w:instrText xml:space="preserve"> BIBLIOGRAPHY  \l 1045 </w:instrText>
      </w:r>
      <w:r w:rsidRPr="000167D6">
        <w:rPr>
          <w:rFonts w:ascii="Arial" w:hAnsi="Arial" w:cs="Arial"/>
          <w:sz w:val="20"/>
          <w:szCs w:val="20"/>
        </w:rPr>
        <w:fldChar w:fldCharType="separate"/>
      </w:r>
      <w:r w:rsidRPr="000167D6">
        <w:rPr>
          <w:rFonts w:ascii="Arial" w:hAnsi="Arial" w:cs="Arial"/>
          <w:noProof/>
          <w:sz w:val="20"/>
          <w:szCs w:val="20"/>
          <w:lang w:val="en-US"/>
        </w:rPr>
        <w:t xml:space="preserve">Bodnar, O., Bodnar, T. i Niklasson, V. (2024). Constructing Bayesian tangency portfolios under short-selling restrictions. </w:t>
      </w:r>
      <w:r w:rsidRPr="000167D6">
        <w:rPr>
          <w:rFonts w:ascii="Arial" w:hAnsi="Arial" w:cs="Arial"/>
          <w:i/>
          <w:iCs/>
          <w:noProof/>
          <w:sz w:val="20"/>
          <w:szCs w:val="20"/>
        </w:rPr>
        <w:t>Finance Research Letters, 62</w:t>
      </w:r>
      <w:r w:rsidRPr="000167D6">
        <w:rPr>
          <w:rFonts w:ascii="Arial" w:hAnsi="Arial" w:cs="Arial"/>
          <w:noProof/>
          <w:sz w:val="20"/>
          <w:szCs w:val="20"/>
        </w:rPr>
        <w:t>. doi:10.1016/j.frl.2024.105065</w:t>
      </w:r>
    </w:p>
    <w:p w14:paraId="0D130D2C" w14:textId="77777777" w:rsidR="00D7036D" w:rsidRPr="000167D6" w:rsidRDefault="00D7036D" w:rsidP="00F5375B">
      <w:pPr>
        <w:pStyle w:val="Bibliografia"/>
        <w:spacing w:line="360" w:lineRule="auto"/>
        <w:ind w:left="720" w:hanging="720"/>
        <w:jc w:val="both"/>
        <w:rPr>
          <w:rFonts w:ascii="Arial" w:hAnsi="Arial" w:cs="Arial"/>
          <w:noProof/>
          <w:sz w:val="20"/>
          <w:szCs w:val="20"/>
        </w:rPr>
      </w:pPr>
      <w:r w:rsidRPr="000167D6">
        <w:rPr>
          <w:rFonts w:ascii="Arial" w:hAnsi="Arial" w:cs="Arial"/>
          <w:noProof/>
          <w:sz w:val="20"/>
          <w:szCs w:val="20"/>
        </w:rPr>
        <w:t xml:space="preserve">Giełda Papierów Wartościowych w Warszawie S.A. (2025). </w:t>
      </w:r>
      <w:r w:rsidRPr="000167D6">
        <w:rPr>
          <w:rFonts w:ascii="Arial" w:hAnsi="Arial" w:cs="Arial"/>
          <w:i/>
          <w:iCs/>
          <w:noProof/>
          <w:sz w:val="20"/>
          <w:szCs w:val="20"/>
        </w:rPr>
        <w:t>Szczegółowe Zasady Obrotu Giełdowego (GPW WATS).</w:t>
      </w:r>
      <w:r w:rsidRPr="000167D6">
        <w:rPr>
          <w:rFonts w:ascii="Arial" w:hAnsi="Arial" w:cs="Arial"/>
          <w:noProof/>
          <w:sz w:val="20"/>
          <w:szCs w:val="20"/>
        </w:rPr>
        <w:t xml:space="preserve"> Pobrano z lokalizacji https://www.gpw.pl/pub/GPW/files/PDF/regulacje/Szczegolowe_Zasady_Obrotu_Gieldowego_GPW_WATS.pdf</w:t>
      </w:r>
    </w:p>
    <w:p w14:paraId="2EED08CF" w14:textId="77777777" w:rsidR="00D7036D" w:rsidRPr="000167D6" w:rsidRDefault="00D7036D" w:rsidP="00F5375B">
      <w:pPr>
        <w:pStyle w:val="Bibliografia"/>
        <w:spacing w:line="360" w:lineRule="auto"/>
        <w:ind w:left="720" w:hanging="720"/>
        <w:jc w:val="both"/>
        <w:rPr>
          <w:rFonts w:ascii="Arial" w:hAnsi="Arial" w:cs="Arial"/>
          <w:noProof/>
          <w:sz w:val="20"/>
          <w:szCs w:val="20"/>
        </w:rPr>
      </w:pPr>
      <w:r w:rsidRPr="000167D6">
        <w:rPr>
          <w:rFonts w:ascii="Arial" w:hAnsi="Arial" w:cs="Arial"/>
          <w:noProof/>
          <w:sz w:val="20"/>
          <w:szCs w:val="20"/>
        </w:rPr>
        <w:t xml:space="preserve">Joo, Y. C. i Park, S. Y. (2021). </w:t>
      </w:r>
      <w:r w:rsidRPr="000167D6">
        <w:rPr>
          <w:rFonts w:ascii="Arial" w:hAnsi="Arial" w:cs="Arial"/>
          <w:noProof/>
          <w:sz w:val="20"/>
          <w:szCs w:val="20"/>
          <w:lang w:val="en-US"/>
        </w:rPr>
        <w:t xml:space="preserve">Optimal portfolio selection using a simple double-shrinkage selection rule. </w:t>
      </w:r>
      <w:r w:rsidRPr="000167D6">
        <w:rPr>
          <w:rFonts w:ascii="Arial" w:hAnsi="Arial" w:cs="Arial"/>
          <w:i/>
          <w:iCs/>
          <w:noProof/>
          <w:sz w:val="20"/>
          <w:szCs w:val="20"/>
        </w:rPr>
        <w:t>Finance Research Letters</w:t>
      </w:r>
      <w:r w:rsidRPr="000167D6">
        <w:rPr>
          <w:rFonts w:ascii="Arial" w:hAnsi="Arial" w:cs="Arial"/>
          <w:noProof/>
          <w:sz w:val="20"/>
          <w:szCs w:val="20"/>
        </w:rPr>
        <w:t>. doi:doi.org/10.1016/j.frl.2021.102019</w:t>
      </w:r>
    </w:p>
    <w:p w14:paraId="5677AD09" w14:textId="77777777" w:rsidR="00D7036D" w:rsidRPr="000167D6" w:rsidRDefault="00D7036D" w:rsidP="00F5375B">
      <w:pPr>
        <w:pStyle w:val="Bibliografia"/>
        <w:spacing w:line="360" w:lineRule="auto"/>
        <w:ind w:left="720" w:hanging="720"/>
        <w:jc w:val="both"/>
        <w:rPr>
          <w:rFonts w:ascii="Arial" w:hAnsi="Arial" w:cs="Arial"/>
          <w:noProof/>
          <w:sz w:val="20"/>
          <w:szCs w:val="20"/>
        </w:rPr>
      </w:pPr>
      <w:r w:rsidRPr="000167D6">
        <w:rPr>
          <w:rFonts w:ascii="Arial" w:hAnsi="Arial" w:cs="Arial"/>
          <w:noProof/>
          <w:sz w:val="20"/>
          <w:szCs w:val="20"/>
        </w:rPr>
        <w:t xml:space="preserve">Krajowy Depozyt Papierów Wartościowych. </w:t>
      </w:r>
      <w:r w:rsidRPr="000167D6">
        <w:rPr>
          <w:rFonts w:ascii="Arial" w:hAnsi="Arial" w:cs="Arial"/>
          <w:noProof/>
          <w:sz w:val="20"/>
          <w:szCs w:val="20"/>
          <w:lang w:val="en-US"/>
        </w:rPr>
        <w:t xml:space="preserve">(2024). </w:t>
      </w:r>
      <w:r w:rsidRPr="000167D6">
        <w:rPr>
          <w:rFonts w:ascii="Arial" w:hAnsi="Arial" w:cs="Arial"/>
          <w:i/>
          <w:iCs/>
          <w:noProof/>
          <w:sz w:val="20"/>
          <w:szCs w:val="20"/>
          <w:lang w:val="en-US"/>
        </w:rPr>
        <w:t>Detailed Rules of Operation (consolidated text effective as of 16 September 2024).</w:t>
      </w:r>
      <w:r w:rsidRPr="000167D6">
        <w:rPr>
          <w:rFonts w:ascii="Arial" w:hAnsi="Arial" w:cs="Arial"/>
          <w:noProof/>
          <w:sz w:val="20"/>
          <w:szCs w:val="20"/>
          <w:lang w:val="en-US"/>
        </w:rPr>
        <w:t xml:space="preserve"> </w:t>
      </w:r>
      <w:r w:rsidRPr="000167D6">
        <w:rPr>
          <w:rFonts w:ascii="Arial" w:hAnsi="Arial" w:cs="Arial"/>
          <w:noProof/>
          <w:sz w:val="20"/>
          <w:szCs w:val="20"/>
        </w:rPr>
        <w:t>Pobrano z lokalizacji https://www.kdpw.pl/uploads/user_files/regulacje/kdpw-dro-16-09-2024.pdf</w:t>
      </w:r>
    </w:p>
    <w:p w14:paraId="4836292E" w14:textId="77777777" w:rsidR="00D7036D" w:rsidRPr="000167D6" w:rsidRDefault="00D7036D" w:rsidP="00F5375B">
      <w:pPr>
        <w:pStyle w:val="Bibliografia"/>
        <w:spacing w:line="360" w:lineRule="auto"/>
        <w:ind w:left="720" w:hanging="720"/>
        <w:jc w:val="both"/>
        <w:rPr>
          <w:rFonts w:ascii="Arial" w:hAnsi="Arial" w:cs="Arial"/>
          <w:noProof/>
          <w:sz w:val="20"/>
          <w:szCs w:val="20"/>
          <w:lang w:val="en-US"/>
        </w:rPr>
      </w:pPr>
      <w:r w:rsidRPr="000167D6">
        <w:rPr>
          <w:rFonts w:ascii="Arial" w:hAnsi="Arial" w:cs="Arial"/>
          <w:noProof/>
          <w:sz w:val="20"/>
          <w:szCs w:val="20"/>
          <w:lang w:val="en-US"/>
        </w:rPr>
        <w:t xml:space="preserve">Ledoit, O. i Wolf, M. (2020). Analytical nonlinear shrinkage of large-dimensional covariance matrices. </w:t>
      </w:r>
      <w:r w:rsidRPr="000167D6">
        <w:rPr>
          <w:rFonts w:ascii="Arial" w:hAnsi="Arial" w:cs="Arial"/>
          <w:i/>
          <w:iCs/>
          <w:noProof/>
          <w:sz w:val="20"/>
          <w:szCs w:val="20"/>
          <w:lang w:val="en-US"/>
        </w:rPr>
        <w:t>The Annals of Statistics, 48</w:t>
      </w:r>
      <w:r w:rsidRPr="000167D6">
        <w:rPr>
          <w:rFonts w:ascii="Arial" w:hAnsi="Arial" w:cs="Arial"/>
          <w:noProof/>
          <w:sz w:val="20"/>
          <w:szCs w:val="20"/>
          <w:lang w:val="en-US"/>
        </w:rPr>
        <w:t>(5), strony 3043–3065. doi:10.1214/19-AOS1921</w:t>
      </w:r>
    </w:p>
    <w:p w14:paraId="60D6ADAA" w14:textId="77777777" w:rsidR="00D7036D" w:rsidRPr="000167D6" w:rsidRDefault="00D7036D" w:rsidP="00F5375B">
      <w:pPr>
        <w:pStyle w:val="Bibliografia"/>
        <w:spacing w:line="360" w:lineRule="auto"/>
        <w:ind w:left="720" w:hanging="720"/>
        <w:jc w:val="both"/>
        <w:rPr>
          <w:rFonts w:ascii="Arial" w:hAnsi="Arial" w:cs="Arial"/>
          <w:noProof/>
          <w:sz w:val="20"/>
          <w:szCs w:val="20"/>
        </w:rPr>
      </w:pPr>
      <w:r w:rsidRPr="000167D6">
        <w:rPr>
          <w:rFonts w:ascii="Arial" w:hAnsi="Arial" w:cs="Arial"/>
          <w:noProof/>
          <w:sz w:val="20"/>
          <w:szCs w:val="20"/>
          <w:lang w:val="en-US"/>
        </w:rPr>
        <w:t xml:space="preserve">Liu, S., Zhang, S. i Chen, Y. (2025). Exploiting mixed-frequency characteristics in parametric Mean-Expected Shortfall portfolio selection. </w:t>
      </w:r>
      <w:r w:rsidRPr="000167D6">
        <w:rPr>
          <w:rFonts w:ascii="Arial" w:hAnsi="Arial" w:cs="Arial"/>
          <w:i/>
          <w:iCs/>
          <w:noProof/>
          <w:sz w:val="20"/>
          <w:szCs w:val="20"/>
        </w:rPr>
        <w:t>Economic Modelling, 148</w:t>
      </w:r>
      <w:r w:rsidRPr="000167D6">
        <w:rPr>
          <w:rFonts w:ascii="Arial" w:hAnsi="Arial" w:cs="Arial"/>
          <w:noProof/>
          <w:sz w:val="20"/>
          <w:szCs w:val="20"/>
        </w:rPr>
        <w:t>. doi:doi.org/10.1016/j.econmod.2025.107072</w:t>
      </w:r>
    </w:p>
    <w:p w14:paraId="26D13870" w14:textId="77777777" w:rsidR="00D7036D" w:rsidRPr="000167D6" w:rsidRDefault="00D7036D" w:rsidP="00F5375B">
      <w:pPr>
        <w:pStyle w:val="Bibliografia"/>
        <w:spacing w:line="360" w:lineRule="auto"/>
        <w:ind w:left="720" w:hanging="720"/>
        <w:jc w:val="both"/>
        <w:rPr>
          <w:rFonts w:ascii="Arial" w:hAnsi="Arial" w:cs="Arial"/>
          <w:noProof/>
          <w:sz w:val="20"/>
          <w:szCs w:val="20"/>
        </w:rPr>
      </w:pPr>
      <w:r w:rsidRPr="000167D6">
        <w:rPr>
          <w:rFonts w:ascii="Arial" w:hAnsi="Arial" w:cs="Arial"/>
          <w:noProof/>
          <w:sz w:val="20"/>
          <w:szCs w:val="20"/>
        </w:rPr>
        <w:t xml:space="preserve">Narodowy Bank Polski. (2025). </w:t>
      </w:r>
      <w:r w:rsidRPr="000167D6">
        <w:rPr>
          <w:rFonts w:ascii="Arial" w:hAnsi="Arial" w:cs="Arial"/>
          <w:i/>
          <w:iCs/>
          <w:noProof/>
          <w:sz w:val="20"/>
          <w:szCs w:val="20"/>
        </w:rPr>
        <w:t>Raport o stabilności systemu finansowego. Czerwiec 2025.</w:t>
      </w:r>
      <w:r w:rsidRPr="000167D6">
        <w:rPr>
          <w:rFonts w:ascii="Arial" w:hAnsi="Arial" w:cs="Arial"/>
          <w:noProof/>
          <w:sz w:val="20"/>
          <w:szCs w:val="20"/>
        </w:rPr>
        <w:t xml:space="preserve"> Pobrano z lokalizacji https://nbp.pl/wp-content/uploads/2025/06/Raport-o-stabilnosci-systemu-finansowego.-Czerwiec-2025-r.pdf</w:t>
      </w:r>
    </w:p>
    <w:p w14:paraId="436EE6D2" w14:textId="77777777" w:rsidR="00D7036D" w:rsidRPr="000167D6" w:rsidRDefault="00D7036D" w:rsidP="00F5375B">
      <w:pPr>
        <w:pStyle w:val="Bibliografia"/>
        <w:spacing w:line="360" w:lineRule="auto"/>
        <w:ind w:left="720" w:hanging="720"/>
        <w:jc w:val="both"/>
        <w:rPr>
          <w:rFonts w:ascii="Arial" w:hAnsi="Arial" w:cs="Arial"/>
          <w:noProof/>
          <w:sz w:val="20"/>
          <w:szCs w:val="20"/>
        </w:rPr>
      </w:pPr>
      <w:r w:rsidRPr="000167D6">
        <w:rPr>
          <w:rFonts w:ascii="Arial" w:hAnsi="Arial" w:cs="Arial"/>
          <w:noProof/>
          <w:sz w:val="20"/>
          <w:szCs w:val="20"/>
        </w:rPr>
        <w:t xml:space="preserve">Narodowy Bank Polski. (2025). </w:t>
      </w:r>
      <w:r w:rsidRPr="000167D6">
        <w:rPr>
          <w:rFonts w:ascii="Arial" w:hAnsi="Arial" w:cs="Arial"/>
          <w:i/>
          <w:iCs/>
          <w:noProof/>
          <w:sz w:val="20"/>
          <w:szCs w:val="20"/>
        </w:rPr>
        <w:t>Raport o stabilności systemu finansowego. Grudzień 2025 r.</w:t>
      </w:r>
      <w:r w:rsidRPr="000167D6">
        <w:rPr>
          <w:rFonts w:ascii="Arial" w:hAnsi="Arial" w:cs="Arial"/>
          <w:noProof/>
          <w:sz w:val="20"/>
          <w:szCs w:val="20"/>
        </w:rPr>
        <w:t xml:space="preserve"> Narodowy Bank Polski. Pobrano z lokalizacji https://nbp.pl/wp-content/uploads/2025/12/Raport-o-stabilnosci-systemu-finansowego.-Grudzien-2025-r.pdf</w:t>
      </w:r>
    </w:p>
    <w:p w14:paraId="1099E0BB" w14:textId="77777777" w:rsidR="00D7036D" w:rsidRPr="000167D6" w:rsidRDefault="00D7036D" w:rsidP="00F5375B">
      <w:pPr>
        <w:pStyle w:val="Bibliografia"/>
        <w:spacing w:line="360" w:lineRule="auto"/>
        <w:ind w:left="720" w:hanging="720"/>
        <w:jc w:val="both"/>
        <w:rPr>
          <w:rFonts w:ascii="Arial" w:hAnsi="Arial" w:cs="Arial"/>
          <w:noProof/>
          <w:sz w:val="20"/>
          <w:szCs w:val="20"/>
        </w:rPr>
      </w:pPr>
      <w:r w:rsidRPr="000167D6">
        <w:rPr>
          <w:rFonts w:ascii="Arial" w:hAnsi="Arial" w:cs="Arial"/>
          <w:noProof/>
          <w:sz w:val="20"/>
          <w:szCs w:val="20"/>
          <w:lang w:val="en-US"/>
        </w:rPr>
        <w:t xml:space="preserve">Peterson, B. G., Carl, P. i Boudt, K. (2025). </w:t>
      </w:r>
      <w:r w:rsidRPr="000167D6">
        <w:rPr>
          <w:rFonts w:ascii="Arial" w:hAnsi="Arial" w:cs="Arial"/>
          <w:i/>
          <w:iCs/>
          <w:noProof/>
          <w:sz w:val="20"/>
          <w:szCs w:val="20"/>
          <w:lang w:val="en-US"/>
        </w:rPr>
        <w:t>PerformanceAnalytics: Econometric Tools for Performance and Risk Analysis (R package) – Reference manual.</w:t>
      </w:r>
      <w:r w:rsidRPr="000167D6">
        <w:rPr>
          <w:rFonts w:ascii="Arial" w:hAnsi="Arial" w:cs="Arial"/>
          <w:noProof/>
          <w:sz w:val="20"/>
          <w:szCs w:val="20"/>
          <w:lang w:val="en-US"/>
        </w:rPr>
        <w:t xml:space="preserve"> </w:t>
      </w:r>
      <w:r w:rsidRPr="000167D6">
        <w:rPr>
          <w:rFonts w:ascii="Arial" w:hAnsi="Arial" w:cs="Arial"/>
          <w:noProof/>
          <w:sz w:val="20"/>
          <w:szCs w:val="20"/>
        </w:rPr>
        <w:t>Pobrano z lokalizacji https://cran.r-project.org/web/packages/PerformanceAnalytics/PerformanceAnalytics.pdf</w:t>
      </w:r>
    </w:p>
    <w:p w14:paraId="7A4F229F" w14:textId="77777777" w:rsidR="00D7036D" w:rsidRPr="000167D6" w:rsidRDefault="00D7036D" w:rsidP="00F5375B">
      <w:pPr>
        <w:pStyle w:val="Bibliografia"/>
        <w:spacing w:line="360" w:lineRule="auto"/>
        <w:ind w:left="720" w:hanging="720"/>
        <w:jc w:val="both"/>
        <w:rPr>
          <w:rFonts w:ascii="Arial" w:hAnsi="Arial" w:cs="Arial"/>
          <w:noProof/>
          <w:sz w:val="20"/>
          <w:szCs w:val="20"/>
        </w:rPr>
      </w:pPr>
      <w:r w:rsidRPr="000167D6">
        <w:rPr>
          <w:rFonts w:ascii="Arial" w:hAnsi="Arial" w:cs="Arial"/>
          <w:noProof/>
          <w:sz w:val="20"/>
          <w:szCs w:val="20"/>
          <w:lang w:val="en-US"/>
        </w:rPr>
        <w:t xml:space="preserve">Ryan, J. A. i Ulrich, J. M. (2025). </w:t>
      </w:r>
      <w:r w:rsidRPr="000167D6">
        <w:rPr>
          <w:rFonts w:ascii="Arial" w:hAnsi="Arial" w:cs="Arial"/>
          <w:i/>
          <w:iCs/>
          <w:noProof/>
          <w:sz w:val="20"/>
          <w:szCs w:val="20"/>
          <w:lang w:val="en-US"/>
        </w:rPr>
        <w:t>quantmod: Quantitative Financial Modelling Framework (R package) – Reference manual.</w:t>
      </w:r>
      <w:r w:rsidRPr="000167D6">
        <w:rPr>
          <w:rFonts w:ascii="Arial" w:hAnsi="Arial" w:cs="Arial"/>
          <w:noProof/>
          <w:sz w:val="20"/>
          <w:szCs w:val="20"/>
          <w:lang w:val="en-US"/>
        </w:rPr>
        <w:t xml:space="preserve"> </w:t>
      </w:r>
      <w:r w:rsidRPr="000167D6">
        <w:rPr>
          <w:rFonts w:ascii="Arial" w:hAnsi="Arial" w:cs="Arial"/>
          <w:noProof/>
          <w:sz w:val="20"/>
          <w:szCs w:val="20"/>
        </w:rPr>
        <w:t>Pobrano z lokalizacji https://cran.r-project.org/web/packages/quantmod/quantmod.pdf</w:t>
      </w:r>
    </w:p>
    <w:p w14:paraId="48F032E9" w14:textId="77777777" w:rsidR="00D7036D" w:rsidRPr="000167D6" w:rsidRDefault="00D7036D" w:rsidP="00F5375B">
      <w:pPr>
        <w:pStyle w:val="Bibliografia"/>
        <w:spacing w:line="360" w:lineRule="auto"/>
        <w:ind w:left="720" w:hanging="720"/>
        <w:jc w:val="both"/>
        <w:rPr>
          <w:rFonts w:ascii="Arial" w:hAnsi="Arial" w:cs="Arial"/>
          <w:noProof/>
          <w:sz w:val="20"/>
          <w:szCs w:val="20"/>
        </w:rPr>
      </w:pPr>
      <w:r w:rsidRPr="000167D6">
        <w:rPr>
          <w:rFonts w:ascii="Arial" w:hAnsi="Arial" w:cs="Arial"/>
          <w:noProof/>
          <w:sz w:val="20"/>
          <w:szCs w:val="20"/>
          <w:lang w:val="en-US"/>
        </w:rPr>
        <w:t xml:space="preserve">Ryan, J. A. i Ulrich, J. M. (brak daty). </w:t>
      </w:r>
      <w:r w:rsidRPr="000167D6">
        <w:rPr>
          <w:rFonts w:ascii="Arial" w:hAnsi="Arial" w:cs="Arial"/>
          <w:i/>
          <w:iCs/>
          <w:noProof/>
          <w:sz w:val="20"/>
          <w:szCs w:val="20"/>
          <w:lang w:val="en-US"/>
        </w:rPr>
        <w:t>xts: eXtensible Time Series (R package) – Reference manual.</w:t>
      </w:r>
      <w:r w:rsidRPr="000167D6">
        <w:rPr>
          <w:rFonts w:ascii="Arial" w:hAnsi="Arial" w:cs="Arial"/>
          <w:noProof/>
          <w:sz w:val="20"/>
          <w:szCs w:val="20"/>
          <w:lang w:val="en-US"/>
        </w:rPr>
        <w:t xml:space="preserve"> </w:t>
      </w:r>
      <w:r w:rsidRPr="000167D6">
        <w:rPr>
          <w:rFonts w:ascii="Arial" w:hAnsi="Arial" w:cs="Arial"/>
          <w:noProof/>
          <w:sz w:val="20"/>
          <w:szCs w:val="20"/>
        </w:rPr>
        <w:t>Pobrano z lokalizacji https://cran.r-project.org/web/packages/xts/xts.pdf</w:t>
      </w:r>
    </w:p>
    <w:p w14:paraId="41DDE5F1" w14:textId="77777777" w:rsidR="00D7036D" w:rsidRPr="000167D6" w:rsidRDefault="00D7036D" w:rsidP="00F5375B">
      <w:pPr>
        <w:pStyle w:val="Bibliografia"/>
        <w:spacing w:line="360" w:lineRule="auto"/>
        <w:ind w:left="720" w:hanging="720"/>
        <w:jc w:val="both"/>
        <w:rPr>
          <w:rFonts w:ascii="Arial" w:hAnsi="Arial" w:cs="Arial"/>
          <w:noProof/>
          <w:sz w:val="20"/>
          <w:szCs w:val="20"/>
          <w:lang w:val="en-US"/>
        </w:rPr>
      </w:pPr>
      <w:r w:rsidRPr="000167D6">
        <w:rPr>
          <w:rFonts w:ascii="Arial" w:hAnsi="Arial" w:cs="Arial"/>
          <w:noProof/>
          <w:sz w:val="20"/>
          <w:szCs w:val="20"/>
          <w:lang w:val="en-US"/>
        </w:rPr>
        <w:lastRenderedPageBreak/>
        <w:t xml:space="preserve">Salo, A., Doumpos, M., Liesiö, J. i Zopounidis, C. (2024). Fifty years of portfolio optimization. </w:t>
      </w:r>
      <w:r w:rsidRPr="000167D6">
        <w:rPr>
          <w:rFonts w:ascii="Arial" w:hAnsi="Arial" w:cs="Arial"/>
          <w:i/>
          <w:iCs/>
          <w:noProof/>
          <w:sz w:val="20"/>
          <w:szCs w:val="20"/>
          <w:lang w:val="en-US"/>
        </w:rPr>
        <w:t>European Journal of Operational Research, 318</w:t>
      </w:r>
      <w:r w:rsidRPr="000167D6">
        <w:rPr>
          <w:rFonts w:ascii="Arial" w:hAnsi="Arial" w:cs="Arial"/>
          <w:noProof/>
          <w:sz w:val="20"/>
          <w:szCs w:val="20"/>
          <w:lang w:val="en-US"/>
        </w:rPr>
        <w:t>(1), strony 1–18. doi:doi.org/10.1016/j.ejor.2023.12.031</w:t>
      </w:r>
    </w:p>
    <w:p w14:paraId="78CB2B75" w14:textId="77777777" w:rsidR="00D7036D" w:rsidRPr="000167D6" w:rsidRDefault="00D7036D" w:rsidP="00F5375B">
      <w:pPr>
        <w:pStyle w:val="Bibliografia"/>
        <w:spacing w:line="360" w:lineRule="auto"/>
        <w:ind w:left="720" w:hanging="720"/>
        <w:jc w:val="both"/>
        <w:rPr>
          <w:rFonts w:ascii="Arial" w:hAnsi="Arial" w:cs="Arial"/>
          <w:noProof/>
          <w:sz w:val="20"/>
          <w:szCs w:val="20"/>
          <w:lang w:val="en-US"/>
        </w:rPr>
      </w:pPr>
      <w:r w:rsidRPr="000167D6">
        <w:rPr>
          <w:rFonts w:ascii="Arial" w:hAnsi="Arial" w:cs="Arial"/>
          <w:noProof/>
          <w:sz w:val="20"/>
          <w:szCs w:val="20"/>
          <w:lang w:val="en-US"/>
        </w:rPr>
        <w:t xml:space="preserve">Sharma, N., Manohar, S., Huhmann, B. A. i Limbu, Y. B. (2025). Mapping the Literature on Short-Selling in Financial Markets: A Lexicometric Analysis. </w:t>
      </w:r>
      <w:r w:rsidRPr="000167D6">
        <w:rPr>
          <w:rFonts w:ascii="Arial" w:hAnsi="Arial" w:cs="Arial"/>
          <w:i/>
          <w:iCs/>
          <w:noProof/>
          <w:sz w:val="20"/>
          <w:szCs w:val="20"/>
          <w:lang w:val="en-US"/>
        </w:rPr>
        <w:t>International Journal of Financial Studies, 13</w:t>
      </w:r>
      <w:r w:rsidRPr="000167D6">
        <w:rPr>
          <w:rFonts w:ascii="Arial" w:hAnsi="Arial" w:cs="Arial"/>
          <w:noProof/>
          <w:sz w:val="20"/>
          <w:szCs w:val="20"/>
          <w:lang w:val="en-US"/>
        </w:rPr>
        <w:t>(3). doi:doi.org/10.3390/ijfs13030135</w:t>
      </w:r>
    </w:p>
    <w:p w14:paraId="254F30B3" w14:textId="77777777" w:rsidR="00D7036D" w:rsidRPr="000167D6" w:rsidRDefault="00D7036D" w:rsidP="00F5375B">
      <w:pPr>
        <w:pStyle w:val="Bibliografia"/>
        <w:spacing w:line="360" w:lineRule="auto"/>
        <w:ind w:left="720" w:hanging="720"/>
        <w:jc w:val="both"/>
        <w:rPr>
          <w:rFonts w:ascii="Arial" w:hAnsi="Arial" w:cs="Arial"/>
          <w:noProof/>
          <w:sz w:val="20"/>
          <w:szCs w:val="20"/>
        </w:rPr>
      </w:pPr>
      <w:r w:rsidRPr="000167D6">
        <w:rPr>
          <w:rFonts w:ascii="Arial" w:hAnsi="Arial" w:cs="Arial"/>
          <w:noProof/>
          <w:sz w:val="20"/>
          <w:szCs w:val="20"/>
          <w:lang w:val="en-US"/>
        </w:rPr>
        <w:t xml:space="preserve">Stooq. </w:t>
      </w:r>
      <w:r w:rsidRPr="000167D6">
        <w:rPr>
          <w:rFonts w:ascii="Arial" w:hAnsi="Arial" w:cs="Arial"/>
          <w:noProof/>
          <w:sz w:val="20"/>
          <w:szCs w:val="20"/>
        </w:rPr>
        <w:t xml:space="preserve">(2026). </w:t>
      </w:r>
      <w:r w:rsidRPr="000167D6">
        <w:rPr>
          <w:rFonts w:ascii="Arial" w:hAnsi="Arial" w:cs="Arial"/>
          <w:i/>
          <w:iCs/>
          <w:noProof/>
          <w:sz w:val="20"/>
          <w:szCs w:val="20"/>
        </w:rPr>
        <w:t>Bezpłatne historyczne dane giełdowe.</w:t>
      </w:r>
      <w:r w:rsidRPr="000167D6">
        <w:rPr>
          <w:rFonts w:ascii="Arial" w:hAnsi="Arial" w:cs="Arial"/>
          <w:noProof/>
          <w:sz w:val="20"/>
          <w:szCs w:val="20"/>
        </w:rPr>
        <w:t xml:space="preserve"> Pobrano z lokalizacji https://stooq.pl/db/h/</w:t>
      </w:r>
    </w:p>
    <w:p w14:paraId="2936FFA3" w14:textId="57CA2110" w:rsidR="0099603A" w:rsidRPr="00BA11D3" w:rsidRDefault="00D7036D" w:rsidP="00F5375B">
      <w:pPr>
        <w:pStyle w:val="nagowek"/>
        <w:tabs>
          <w:tab w:val="clear" w:pos="720"/>
          <w:tab w:val="num" w:pos="1080"/>
        </w:tabs>
        <w:spacing w:line="360" w:lineRule="auto"/>
      </w:pPr>
      <w:r w:rsidRPr="000167D6">
        <w:rPr>
          <w:sz w:val="20"/>
          <w:szCs w:val="20"/>
        </w:rPr>
        <w:lastRenderedPageBreak/>
        <w:fldChar w:fldCharType="end"/>
      </w:r>
      <w:r w:rsidR="0099603A" w:rsidRPr="00BA11D3">
        <w:rPr>
          <w:rStyle w:val="HTML-kod"/>
          <w:rFonts w:ascii="Arial" w:eastAsiaTheme="majorEastAsia" w:hAnsi="Arial" w:cs="Arial"/>
          <w:sz w:val="24"/>
          <w:szCs w:val="24"/>
        </w:rPr>
        <w:t>Wykaz rysunków</w:t>
      </w:r>
    </w:p>
    <w:p w14:paraId="33FA3646" w14:textId="77777777" w:rsidR="0099603A" w:rsidRPr="00BA11D3" w:rsidRDefault="0099603A" w:rsidP="00306263">
      <w:pPr>
        <w:pStyle w:val="nagowek"/>
      </w:pPr>
      <w:r w:rsidRPr="00BA11D3">
        <w:lastRenderedPageBreak/>
        <w:t>Wykaz tabel</w:t>
      </w:r>
    </w:p>
    <w:p w14:paraId="2100E0F7" w14:textId="77777777" w:rsidR="0099603A" w:rsidRPr="00BA11D3" w:rsidRDefault="0099603A" w:rsidP="00306263">
      <w:pPr>
        <w:pStyle w:val="nagowek"/>
      </w:pPr>
      <w:r w:rsidRPr="00BA11D3">
        <w:lastRenderedPageBreak/>
        <w:t>Załączniki</w:t>
      </w:r>
    </w:p>
    <w:sectPr w:rsidR="0099603A" w:rsidRPr="00BA11D3" w:rsidSect="003B40CF">
      <w:headerReference w:type="default" r:id="rId19"/>
      <w:footerReference w:type="default" r:id="rId20"/>
      <w:pgSz w:w="11906" w:h="16838"/>
      <w:pgMar w:top="1417" w:right="1417" w:bottom="1417" w:left="1417" w:header="709" w:footer="709" w:gutter="567"/>
      <w:pgNumType w:start="3"/>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na Baj-Rogowska" w:date="2025-11-26T16:47:00Z" w:initials="AB">
    <w:p w14:paraId="09574CFD" w14:textId="280B40D8" w:rsidR="003979C8" w:rsidRDefault="003979C8">
      <w:pPr>
        <w:pStyle w:val="Tekstkomentarza"/>
      </w:pPr>
      <w:r>
        <w:rPr>
          <w:rStyle w:val="Odwoaniedokomentarza"/>
        </w:rPr>
        <w:annotationRef/>
      </w:r>
      <w:r>
        <w:t>Podczas procesu pisania pracy, proszę o systematyczne dodawanie skrótów.</w:t>
      </w:r>
    </w:p>
  </w:comment>
  <w:comment w:id="5" w:author="Anna Baj-Rogowska" w:date="2025-11-26T17:23:00Z" w:initials="AB">
    <w:p w14:paraId="7C307712" w14:textId="76C7C6CC" w:rsidR="003979C8" w:rsidRDefault="003979C8">
      <w:pPr>
        <w:pStyle w:val="Tekstkomentarza"/>
      </w:pPr>
      <w:r>
        <w:rPr>
          <w:rStyle w:val="Odwoaniedokomentarza"/>
        </w:rPr>
        <w:annotationRef/>
      </w:r>
      <w:r>
        <w:t>To rozdział teoretyczny. W treści trzeba się powoływać na literaturę. U Ciebie tego brak.</w:t>
      </w:r>
    </w:p>
    <w:p w14:paraId="2D0D9F04" w14:textId="12AE4E0E" w:rsidR="003979C8" w:rsidRDefault="003979C8">
      <w:pPr>
        <w:pStyle w:val="Tekstkomentarza"/>
      </w:pPr>
      <w:r>
        <w:t>Od razu umieszczaj literaturę w spisie.</w:t>
      </w:r>
    </w:p>
  </w:comment>
  <w:comment w:id="7" w:author="Anna Baj-Rogowska" w:date="2025-11-26T17:21:00Z" w:initials="AB">
    <w:p w14:paraId="2D3F601D" w14:textId="77777777" w:rsidR="003979C8" w:rsidRDefault="003979C8" w:rsidP="007D70C2">
      <w:pPr>
        <w:pStyle w:val="CommentText"/>
      </w:pPr>
      <w:r>
        <w:rPr>
          <w:rStyle w:val="Odwoaniedokomentarza"/>
        </w:rPr>
        <w:annotationRef/>
      </w:r>
      <w:r>
        <w:t xml:space="preserve">Wszystkie pojedyncze litery na końcu linii tzw. „sierotki”, w całej pracy, przenosimy do kolejnej linii. </w:t>
      </w:r>
    </w:p>
    <w:p w14:paraId="75426754" w14:textId="73570004" w:rsidR="003979C8" w:rsidRDefault="003979C8" w:rsidP="007D70C2">
      <w:pPr>
        <w:pStyle w:val="Tekstkomentarza"/>
      </w:pPr>
      <w:r>
        <w:t xml:space="preserve">Czyli zamiast </w:t>
      </w:r>
      <w:r>
        <w:rPr>
          <w:b/>
        </w:rPr>
        <w:t>spacji</w:t>
      </w:r>
      <w:r>
        <w:t xml:space="preserve"> po pojedynczej literze wstawiamy </w:t>
      </w:r>
      <w:r>
        <w:rPr>
          <w:b/>
        </w:rPr>
        <w:t>Shift+Ctrl+spacja</w:t>
      </w:r>
      <w:r>
        <w:t>.</w:t>
      </w:r>
    </w:p>
  </w:comment>
  <w:comment w:id="8" w:author="Dawid Drawc" w:date="2025-12-10T15:35:00Z" w:initials="dd">
    <w:p w14:paraId="0A6E8DA0" w14:textId="77777777" w:rsidR="003979C8" w:rsidRDefault="003979C8" w:rsidP="00C2192F">
      <w:pPr>
        <w:pStyle w:val="Tekstkomentarza"/>
      </w:pPr>
      <w:r>
        <w:rPr>
          <w:rStyle w:val="Odwoaniedokomentarza"/>
        </w:rPr>
        <w:annotationRef/>
      </w:r>
      <w:r>
        <w:t>Dziękuje za podpowiedz!</w:t>
      </w:r>
    </w:p>
  </w:comment>
  <w:comment w:id="9" w:author="Anna Baj-Rogowska" w:date="2025-11-26T17:27:00Z" w:initials="AB">
    <w:p w14:paraId="7E5BF31A" w14:textId="0A670409" w:rsidR="003979C8" w:rsidRDefault="003979C8">
      <w:pPr>
        <w:pStyle w:val="Tekstkomentarza"/>
      </w:pPr>
      <w:r>
        <w:rPr>
          <w:rStyle w:val="Odwoaniedokomentarza"/>
        </w:rPr>
        <w:annotationRef/>
      </w:r>
      <w:r>
        <w:t>Jakiej???</w:t>
      </w:r>
    </w:p>
  </w:comment>
  <w:comment w:id="10" w:author="Anna Baj-Rogowska" w:date="2025-12-11T17:29:00Z" w:initials="AB">
    <w:p w14:paraId="0C3C2613" w14:textId="122ED9E4" w:rsidR="000B681A" w:rsidRDefault="000B681A">
      <w:pPr>
        <w:pStyle w:val="Tekstkomentarza"/>
      </w:pPr>
      <w:r>
        <w:rPr>
          <w:rStyle w:val="Odwoaniedokomentarza"/>
        </w:rPr>
        <w:annotationRef/>
      </w:r>
      <w:r>
        <w:t>Wskaż literaturę.</w:t>
      </w:r>
    </w:p>
  </w:comment>
  <w:comment w:id="11" w:author="Anna Baj-Rogowska" w:date="2025-12-11T17:30:00Z" w:initials="AB">
    <w:p w14:paraId="68AB7691" w14:textId="1F1D3A39" w:rsidR="00B57E69" w:rsidRDefault="00B57E69">
      <w:pPr>
        <w:pStyle w:val="Tekstkomentarza"/>
      </w:pPr>
      <w:r>
        <w:rPr>
          <w:rStyle w:val="Odwoaniedokomentarza"/>
        </w:rPr>
        <w:annotationRef/>
      </w:r>
      <w:r>
        <w:t>j.w.</w:t>
      </w:r>
    </w:p>
  </w:comment>
  <w:comment w:id="12" w:author="Anna Baj-Rogowska" w:date="2025-12-11T17:31:00Z" w:initials="AB">
    <w:p w14:paraId="4E8E82AD" w14:textId="1B70E875" w:rsidR="00F0008D" w:rsidRDefault="00F0008D">
      <w:pPr>
        <w:pStyle w:val="Tekstkomentarza"/>
      </w:pPr>
      <w:r>
        <w:rPr>
          <w:rStyle w:val="Odwoaniedokomentarza"/>
        </w:rPr>
        <w:annotationRef/>
      </w:r>
      <w:r>
        <w:t>j.w.</w:t>
      </w:r>
    </w:p>
  </w:comment>
  <w:comment w:id="13" w:author="Anna Baj-Rogowska" w:date="2025-12-12T12:15:00Z" w:initials="AB">
    <w:p w14:paraId="07643A1B" w14:textId="77777777" w:rsidR="001E38A9" w:rsidRDefault="001E38A9">
      <w:pPr>
        <w:pStyle w:val="Tekstkomentarza"/>
      </w:pPr>
      <w:r>
        <w:rPr>
          <w:rStyle w:val="Odwoaniedokomentarza"/>
        </w:rPr>
        <w:annotationRef/>
      </w:r>
      <w:r>
        <w:t>W tym miejscu należ omówić powołując się na literaturę, m. in.:</w:t>
      </w:r>
    </w:p>
    <w:p w14:paraId="3D525EC7" w14:textId="77777777" w:rsidR="001E38A9" w:rsidRDefault="001E38A9" w:rsidP="001E38A9">
      <w:pPr>
        <w:pStyle w:val="Tekstkomentarza"/>
      </w:pPr>
      <w:r>
        <w:t xml:space="preserve">estymator shrinkage </w:t>
      </w:r>
    </w:p>
    <w:p w14:paraId="1C0AD0DC" w14:textId="77777777" w:rsidR="001E38A9" w:rsidRDefault="001E38A9" w:rsidP="001E38A9">
      <w:pPr>
        <w:pStyle w:val="Tekstkomentarza"/>
      </w:pPr>
      <w:r>
        <w:t>wskaźnik Sharpe’a</w:t>
      </w:r>
    </w:p>
    <w:p w14:paraId="65FB5638" w14:textId="77777777" w:rsidR="001E38A9" w:rsidRDefault="001E38A9" w:rsidP="001E38A9">
      <w:pPr>
        <w:pStyle w:val="Tekstkomentarza"/>
      </w:pPr>
      <w:r>
        <w:t xml:space="preserve">wskaźnik Sortino </w:t>
      </w:r>
    </w:p>
    <w:p w14:paraId="76279B6D" w14:textId="77777777" w:rsidR="001E38A9" w:rsidRDefault="001E38A9" w:rsidP="001E38A9">
      <w:pPr>
        <w:pStyle w:val="Tekstkomentarza"/>
      </w:pPr>
      <w:r>
        <w:t xml:space="preserve">estymatora Ledoit–Wolfa </w:t>
      </w:r>
    </w:p>
    <w:p w14:paraId="688292D1" w14:textId="77777777" w:rsidR="001E38A9" w:rsidRDefault="001E38A9" w:rsidP="001E38A9">
      <w:pPr>
        <w:pStyle w:val="Tekstkomentarza"/>
      </w:pPr>
      <w:r>
        <w:t>rolling backtest</w:t>
      </w:r>
    </w:p>
    <w:p w14:paraId="142CB4B0" w14:textId="74473D41" w:rsidR="001E38A9" w:rsidRDefault="001E38A9" w:rsidP="001E38A9">
      <w:pPr>
        <w:pStyle w:val="Tekstkomentarza"/>
      </w:pPr>
      <w:r>
        <w:t>środowisko R</w:t>
      </w:r>
    </w:p>
  </w:comment>
  <w:comment w:id="14" w:author="Anna Baj-Rogowska" w:date="2025-12-11T17:47:00Z" w:initials="AB">
    <w:p w14:paraId="3EE4065E" w14:textId="4804786E" w:rsidR="00F1420A" w:rsidRDefault="00F1420A">
      <w:pPr>
        <w:pStyle w:val="Tekstkomentarza"/>
      </w:pPr>
      <w:r>
        <w:rPr>
          <w:rStyle w:val="Odwoaniedokomentarza"/>
        </w:rPr>
        <w:annotationRef/>
      </w:r>
      <w:r>
        <w:t>Czy jesteś w stanie wskazać literaturę, w której zastosowano podobne podejście?</w:t>
      </w:r>
    </w:p>
  </w:comment>
  <w:comment w:id="15" w:author="Anna Baj-Rogowska" w:date="2025-12-12T11:50:00Z" w:initials="AB">
    <w:p w14:paraId="28F5F544" w14:textId="71128891" w:rsidR="007421BB" w:rsidRDefault="007421BB">
      <w:pPr>
        <w:pStyle w:val="Tekstkomentarza"/>
      </w:pPr>
      <w:r>
        <w:rPr>
          <w:rStyle w:val="Odwoaniedokomentarza"/>
        </w:rPr>
        <w:annotationRef/>
      </w:r>
      <w:r>
        <w:t>Popraw formatowanie do końca pracy zgodnie z wytycznymi.</w:t>
      </w:r>
    </w:p>
  </w:comment>
  <w:comment w:id="16" w:author="Anna Baj-Rogowska" w:date="2025-12-12T11:56:00Z" w:initials="AB">
    <w:p w14:paraId="2BEA792C" w14:textId="77777777" w:rsidR="00CB3C9A" w:rsidRDefault="00CB3C9A">
      <w:pPr>
        <w:pStyle w:val="Tekstkomentarza"/>
      </w:pPr>
      <w:r>
        <w:rPr>
          <w:rStyle w:val="Odwoaniedokomentarza"/>
        </w:rPr>
        <w:annotationRef/>
      </w:r>
      <w:r>
        <w:t>Zawsze przed rysunkiem czy tabelą musisz go wprowadzić w tekście.</w:t>
      </w:r>
    </w:p>
    <w:p w14:paraId="1594E024" w14:textId="71037CBC" w:rsidR="003D11A3" w:rsidRDefault="003D11A3">
      <w:pPr>
        <w:pStyle w:val="Tekstkomentarza"/>
      </w:pPr>
      <w:r>
        <w:t>Poprawiłam. Dalej wprowadzaj poprawnie.</w:t>
      </w:r>
    </w:p>
  </w:comment>
  <w:comment w:id="17" w:author="Anna Baj-Rogowska" w:date="2025-12-12T12:02:00Z" w:initials="AB">
    <w:p w14:paraId="6288AFC7" w14:textId="7F2AE1D3" w:rsidR="00705B64" w:rsidRDefault="00705B64">
      <w:pPr>
        <w:pStyle w:val="Tekstkomentarza"/>
      </w:pPr>
      <w:r>
        <w:rPr>
          <w:rStyle w:val="Odwoaniedokomentarza"/>
        </w:rPr>
        <w:annotationRef/>
      </w:r>
      <w:r>
        <w:t>Popraw formatowanie</w:t>
      </w:r>
      <w:r w:rsidR="00312937">
        <w:t xml:space="preserve"> do końca pracy.</w:t>
      </w:r>
    </w:p>
  </w:comment>
  <w:comment w:id="18" w:author="Anna Baj-Rogowska" w:date="2025-12-12T12:11:00Z" w:initials="AB">
    <w:p w14:paraId="50DB905D" w14:textId="7E966E99" w:rsidR="00297720" w:rsidRDefault="00297720">
      <w:pPr>
        <w:pStyle w:val="Tekstkomentarza"/>
      </w:pPr>
      <w:r>
        <w:rPr>
          <w:rStyle w:val="Odwoaniedokomentarza"/>
        </w:rPr>
        <w:annotationRef/>
      </w:r>
      <w:r>
        <w:t>formatowanie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574CFD" w15:done="0"/>
  <w15:commentEx w15:paraId="2D0D9F04" w15:done="0"/>
  <w15:commentEx w15:paraId="75426754" w15:done="0"/>
  <w15:commentEx w15:paraId="0A6E8DA0" w15:paraIdParent="75426754" w15:done="0"/>
  <w15:commentEx w15:paraId="7E5BF31A" w15:done="0"/>
  <w15:commentEx w15:paraId="0C3C2613" w15:done="0"/>
  <w15:commentEx w15:paraId="68AB7691" w15:done="0"/>
  <w15:commentEx w15:paraId="4E8E82AD" w15:done="0"/>
  <w15:commentEx w15:paraId="142CB4B0" w15:done="0"/>
  <w15:commentEx w15:paraId="3EE4065E" w15:done="0"/>
  <w15:commentEx w15:paraId="28F5F544" w15:done="0"/>
  <w15:commentEx w15:paraId="1594E024" w15:done="0"/>
  <w15:commentEx w15:paraId="6288AFC7" w15:done="0"/>
  <w15:commentEx w15:paraId="50DB90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D1B58D">
    <w16cex:extLst>
      <w16:ext w16:uri="{CE6994B0-6A32-4C9F-8C6B-6E91EDA988CE}">
        <cr:reactions xmlns:cr="http://schemas.microsoft.com/office/comments/2020/reactions">
          <cr:reaction reactionType="1">
            <cr:reactionInfo dateUtc="2025-12-10T14:34:30Z">
              <cr:user userId="811f29903ac7345e" userProvider="Windows Live" userName="Dawid Drawc"/>
            </cr:reactionInfo>
          </cr:reaction>
        </cr:reactions>
      </w16:ext>
    </w16cex:extLst>
  </w16cex:commentExtensible>
  <w16cex:commentExtensible w16cex:durableId="622A267B" w16cex:dateUtc="2025-12-10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574CFD" w16cid:durableId="2CD1ADB2"/>
  <w16cid:commentId w16cid:paraId="2D0D9F04" w16cid:durableId="2CD1B616"/>
  <w16cid:commentId w16cid:paraId="75426754" w16cid:durableId="2CD1B58D"/>
  <w16cid:commentId w16cid:paraId="0A6E8DA0" w16cid:durableId="622A267B"/>
  <w16cid:commentId w16cid:paraId="7E5BF31A" w16cid:durableId="2CD1B714"/>
  <w16cid:commentId w16cid:paraId="0C3C2613" w16cid:durableId="2CE57E0B"/>
  <w16cid:commentId w16cid:paraId="68AB7691" w16cid:durableId="2CE57E30"/>
  <w16cid:commentId w16cid:paraId="4E8E82AD" w16cid:durableId="2CE57E62"/>
  <w16cid:commentId w16cid:paraId="142CB4B0" w16cid:durableId="2CE685C6"/>
  <w16cid:commentId w16cid:paraId="3EE4065E" w16cid:durableId="2CE5823B"/>
  <w16cid:commentId w16cid:paraId="28F5F544" w16cid:durableId="2CE67FFC"/>
  <w16cid:commentId w16cid:paraId="1594E024" w16cid:durableId="2CE6817C"/>
  <w16cid:commentId w16cid:paraId="6288AFC7" w16cid:durableId="2CE682D7"/>
  <w16cid:commentId w16cid:paraId="50DB905D" w16cid:durableId="2CE684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EFEF9" w14:textId="77777777" w:rsidR="00B44F50" w:rsidRDefault="00B44F50">
      <w:pPr>
        <w:spacing w:after="0" w:line="240" w:lineRule="auto"/>
      </w:pPr>
      <w:r>
        <w:separator/>
      </w:r>
    </w:p>
  </w:endnote>
  <w:endnote w:type="continuationSeparator" w:id="0">
    <w:p w14:paraId="1450AB6C" w14:textId="77777777" w:rsidR="00B44F50" w:rsidRDefault="00B44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01685"/>
      <w:docPartObj>
        <w:docPartGallery w:val="Page Numbers (Bottom of Page)"/>
        <w:docPartUnique/>
      </w:docPartObj>
    </w:sdtPr>
    <w:sdtEndPr>
      <w:rPr>
        <w:sz w:val="18"/>
      </w:rPr>
    </w:sdtEndPr>
    <w:sdtContent>
      <w:p w14:paraId="7F96AC9A" w14:textId="77777777" w:rsidR="003979C8" w:rsidRPr="00333645" w:rsidRDefault="003979C8" w:rsidP="00452911">
        <w:pPr>
          <w:pStyle w:val="Stopka"/>
          <w:ind w:firstLine="0"/>
          <w:jc w:val="center"/>
          <w:rPr>
            <w:sz w:val="18"/>
          </w:rPr>
        </w:pPr>
        <w:r w:rsidRPr="00333645">
          <w:rPr>
            <w:sz w:val="18"/>
          </w:rPr>
          <w:fldChar w:fldCharType="begin"/>
        </w:r>
        <w:r w:rsidRPr="00333645">
          <w:rPr>
            <w:sz w:val="18"/>
          </w:rPr>
          <w:instrText>PAGE   \* MERGEFORMAT</w:instrText>
        </w:r>
        <w:r w:rsidRPr="00333645">
          <w:rPr>
            <w:sz w:val="18"/>
          </w:rPr>
          <w:fldChar w:fldCharType="separate"/>
        </w:r>
        <w:r>
          <w:rPr>
            <w:noProof/>
            <w:sz w:val="18"/>
          </w:rPr>
          <w:t>32</w:t>
        </w:r>
        <w:r w:rsidRPr="00333645">
          <w:rPr>
            <w:sz w:val="18"/>
          </w:rPr>
          <w:fldChar w:fldCharType="end"/>
        </w:r>
      </w:p>
    </w:sdtContent>
  </w:sdt>
  <w:p w14:paraId="52688595" w14:textId="77777777" w:rsidR="003979C8" w:rsidRDefault="003979C8">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A0AAF" w14:textId="77777777" w:rsidR="00B44F50" w:rsidRDefault="00B44F50">
      <w:pPr>
        <w:spacing w:after="0" w:line="240" w:lineRule="auto"/>
      </w:pPr>
      <w:r>
        <w:separator/>
      </w:r>
    </w:p>
  </w:footnote>
  <w:footnote w:type="continuationSeparator" w:id="0">
    <w:p w14:paraId="6CE3A1DA" w14:textId="77777777" w:rsidR="00B44F50" w:rsidRDefault="00B44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E633" w14:textId="77777777" w:rsidR="003979C8" w:rsidRPr="008612AF" w:rsidRDefault="003979C8" w:rsidP="00452911">
    <w:pPr>
      <w:pStyle w:val="Nagwek"/>
    </w:pPr>
    <w:r w:rsidRPr="00A439E3">
      <w:t>(</w:t>
    </w:r>
    <w:r w:rsidRPr="008612AF">
      <w:rPr>
        <w:i/>
      </w:rPr>
      <w:t>Karta tytułowa pobrana z platformy Moja PG – strona nr 1, numer strony niewidoczny</w:t>
    </w:r>
    <w:r w:rsidRPr="00A439E3">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72EEA" w14:textId="77777777" w:rsidR="003979C8" w:rsidRPr="009A6314" w:rsidRDefault="003979C8" w:rsidP="00452911">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DAB"/>
    <w:multiLevelType w:val="multilevel"/>
    <w:tmpl w:val="C99E51D4"/>
    <w:styleLink w:val="Biecalist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8146351"/>
    <w:multiLevelType w:val="multilevel"/>
    <w:tmpl w:val="38A43E2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3"/>
      <w:numFmt w:val="decimal"/>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E76C77"/>
    <w:multiLevelType w:val="multilevel"/>
    <w:tmpl w:val="412821C4"/>
    <w:name w:val="3.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0521299"/>
    <w:multiLevelType w:val="multilevel"/>
    <w:tmpl w:val="D4CC4F36"/>
    <w:name w:val="2.1."/>
    <w:lvl w:ilvl="0">
      <w:start w:val="1"/>
      <w:numFmt w:val="decimal"/>
      <w:pStyle w:val="Styl3"/>
      <w:lvlText w:val="%1."/>
      <w:lvlJc w:val="left"/>
      <w:pPr>
        <w:ind w:left="360" w:hanging="360"/>
      </w:pPr>
      <w:rPr>
        <w:rFonts w:hint="default"/>
        <w:b/>
        <w:bCs/>
        <w:sz w:val="24"/>
        <w:szCs w:val="24"/>
      </w:rPr>
    </w:lvl>
    <w:lvl w:ilvl="1">
      <w:start w:val="1"/>
      <w:numFmt w:val="decimal"/>
      <w:pStyle w:val="Styl2poziom"/>
      <w:lvlText w:val="%1.%2."/>
      <w:lvlJc w:val="left"/>
      <w:pPr>
        <w:ind w:left="792" w:hanging="432"/>
      </w:pPr>
      <w:rPr>
        <w:rFonts w:hint="default"/>
      </w:rPr>
    </w:lvl>
    <w:lvl w:ilvl="2">
      <w:start w:val="1"/>
      <w:numFmt w:val="decimal"/>
      <w:pStyle w:val="Styl2"/>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3082817"/>
    <w:multiLevelType w:val="multilevel"/>
    <w:tmpl w:val="38A43E2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3"/>
      <w:numFmt w:val="decimal"/>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44B7F09"/>
    <w:multiLevelType w:val="multilevel"/>
    <w:tmpl w:val="B9B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27DF7"/>
    <w:multiLevelType w:val="multilevel"/>
    <w:tmpl w:val="FCBECF4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7BE538B"/>
    <w:multiLevelType w:val="hybridMultilevel"/>
    <w:tmpl w:val="D42C5A28"/>
    <w:lvl w:ilvl="0" w:tplc="041AB8EE">
      <w:start w:val="1"/>
      <w:numFmt w:val="bullet"/>
      <w:pStyle w:val="Wypunktowanie"/>
      <w:lvlText w:val=""/>
      <w:lvlJc w:val="left"/>
      <w:pPr>
        <w:ind w:left="1225" w:hanging="360"/>
      </w:pPr>
      <w:rPr>
        <w:rFonts w:ascii="Symbol" w:hAnsi="Symbol" w:hint="default"/>
      </w:rPr>
    </w:lvl>
    <w:lvl w:ilvl="1" w:tplc="04150003">
      <w:start w:val="1"/>
      <w:numFmt w:val="bullet"/>
      <w:lvlText w:val="o"/>
      <w:lvlJc w:val="left"/>
      <w:pPr>
        <w:ind w:left="1945" w:hanging="360"/>
      </w:pPr>
      <w:rPr>
        <w:rFonts w:ascii="Courier New" w:hAnsi="Courier New" w:cs="Courier New" w:hint="default"/>
      </w:rPr>
    </w:lvl>
    <w:lvl w:ilvl="2" w:tplc="04150005" w:tentative="1">
      <w:start w:val="1"/>
      <w:numFmt w:val="bullet"/>
      <w:lvlText w:val=""/>
      <w:lvlJc w:val="left"/>
      <w:pPr>
        <w:ind w:left="2665" w:hanging="360"/>
      </w:pPr>
      <w:rPr>
        <w:rFonts w:ascii="Wingdings" w:hAnsi="Wingdings" w:hint="default"/>
      </w:rPr>
    </w:lvl>
    <w:lvl w:ilvl="3" w:tplc="04150001" w:tentative="1">
      <w:start w:val="1"/>
      <w:numFmt w:val="bullet"/>
      <w:lvlText w:val=""/>
      <w:lvlJc w:val="left"/>
      <w:pPr>
        <w:ind w:left="3385" w:hanging="360"/>
      </w:pPr>
      <w:rPr>
        <w:rFonts w:ascii="Symbol" w:hAnsi="Symbol" w:hint="default"/>
      </w:rPr>
    </w:lvl>
    <w:lvl w:ilvl="4" w:tplc="04150003" w:tentative="1">
      <w:start w:val="1"/>
      <w:numFmt w:val="bullet"/>
      <w:lvlText w:val="o"/>
      <w:lvlJc w:val="left"/>
      <w:pPr>
        <w:ind w:left="4105" w:hanging="360"/>
      </w:pPr>
      <w:rPr>
        <w:rFonts w:ascii="Courier New" w:hAnsi="Courier New" w:cs="Courier New" w:hint="default"/>
      </w:rPr>
    </w:lvl>
    <w:lvl w:ilvl="5" w:tplc="04150005" w:tentative="1">
      <w:start w:val="1"/>
      <w:numFmt w:val="bullet"/>
      <w:lvlText w:val=""/>
      <w:lvlJc w:val="left"/>
      <w:pPr>
        <w:ind w:left="4825" w:hanging="360"/>
      </w:pPr>
      <w:rPr>
        <w:rFonts w:ascii="Wingdings" w:hAnsi="Wingdings" w:hint="default"/>
      </w:rPr>
    </w:lvl>
    <w:lvl w:ilvl="6" w:tplc="04150001" w:tentative="1">
      <w:start w:val="1"/>
      <w:numFmt w:val="bullet"/>
      <w:lvlText w:val=""/>
      <w:lvlJc w:val="left"/>
      <w:pPr>
        <w:ind w:left="5545" w:hanging="360"/>
      </w:pPr>
      <w:rPr>
        <w:rFonts w:ascii="Symbol" w:hAnsi="Symbol" w:hint="default"/>
      </w:rPr>
    </w:lvl>
    <w:lvl w:ilvl="7" w:tplc="04150003" w:tentative="1">
      <w:start w:val="1"/>
      <w:numFmt w:val="bullet"/>
      <w:lvlText w:val="o"/>
      <w:lvlJc w:val="left"/>
      <w:pPr>
        <w:ind w:left="6265" w:hanging="360"/>
      </w:pPr>
      <w:rPr>
        <w:rFonts w:ascii="Courier New" w:hAnsi="Courier New" w:cs="Courier New" w:hint="default"/>
      </w:rPr>
    </w:lvl>
    <w:lvl w:ilvl="8" w:tplc="04150005" w:tentative="1">
      <w:start w:val="1"/>
      <w:numFmt w:val="bullet"/>
      <w:lvlText w:val=""/>
      <w:lvlJc w:val="left"/>
      <w:pPr>
        <w:ind w:left="6985" w:hanging="360"/>
      </w:pPr>
      <w:rPr>
        <w:rFonts w:ascii="Wingdings" w:hAnsi="Wingdings" w:hint="default"/>
      </w:rPr>
    </w:lvl>
  </w:abstractNum>
  <w:abstractNum w:abstractNumId="8" w15:restartNumberingAfterBreak="0">
    <w:nsid w:val="2B1759E6"/>
    <w:multiLevelType w:val="multilevel"/>
    <w:tmpl w:val="2A28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E46A3"/>
    <w:multiLevelType w:val="multilevel"/>
    <w:tmpl w:val="38F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86165"/>
    <w:multiLevelType w:val="multilevel"/>
    <w:tmpl w:val="C0DC6C80"/>
    <w:styleLink w:val="Biecalista1"/>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8E77AF7"/>
    <w:multiLevelType w:val="multilevel"/>
    <w:tmpl w:val="38A43E2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3"/>
      <w:numFmt w:val="decimal"/>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CA527AE"/>
    <w:multiLevelType w:val="multilevel"/>
    <w:tmpl w:val="11EA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E70A8"/>
    <w:multiLevelType w:val="hybridMultilevel"/>
    <w:tmpl w:val="7A94210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581D2AE2"/>
    <w:multiLevelType w:val="multilevel"/>
    <w:tmpl w:val="20220EE6"/>
    <w:lvl w:ilvl="0">
      <w:start w:val="3"/>
      <w:numFmt w:val="decimal"/>
      <w:pStyle w:val="nagowek"/>
      <w:lvlText w:val="%1."/>
      <w:lvlJc w:val="left"/>
      <w:pPr>
        <w:tabs>
          <w:tab w:val="num" w:pos="720"/>
        </w:tabs>
        <w:ind w:left="720" w:hanging="360"/>
      </w:pPr>
      <w:rPr>
        <w:rFonts w:hint="default"/>
      </w:rPr>
    </w:lvl>
    <w:lvl w:ilvl="1">
      <w:start w:val="3"/>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5E941216"/>
    <w:multiLevelType w:val="multilevel"/>
    <w:tmpl w:val="AA7CE68A"/>
    <w:lvl w:ilvl="0">
      <w:start w:val="1"/>
      <w:numFmt w:val="bullet"/>
      <w:pStyle w:val="punkty"/>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4E58CD"/>
    <w:multiLevelType w:val="multilevel"/>
    <w:tmpl w:val="DB340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765F91"/>
    <w:multiLevelType w:val="hybridMultilevel"/>
    <w:tmpl w:val="153CE8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6C3203D8"/>
    <w:multiLevelType w:val="multilevel"/>
    <w:tmpl w:val="33BA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36118"/>
    <w:multiLevelType w:val="multilevel"/>
    <w:tmpl w:val="29DAF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303510">
    <w:abstractNumId w:val="3"/>
  </w:num>
  <w:num w:numId="2" w16cid:durableId="1011025481">
    <w:abstractNumId w:val="15"/>
  </w:num>
  <w:num w:numId="3" w16cid:durableId="522670301">
    <w:abstractNumId w:val="12"/>
  </w:num>
  <w:num w:numId="4" w16cid:durableId="842403796">
    <w:abstractNumId w:val="8"/>
  </w:num>
  <w:num w:numId="5" w16cid:durableId="317658116">
    <w:abstractNumId w:val="9"/>
  </w:num>
  <w:num w:numId="6" w16cid:durableId="1987539771">
    <w:abstractNumId w:val="11"/>
  </w:num>
  <w:num w:numId="7" w16cid:durableId="263196495">
    <w:abstractNumId w:val="1"/>
  </w:num>
  <w:num w:numId="8" w16cid:durableId="492137778">
    <w:abstractNumId w:val="16"/>
  </w:num>
  <w:num w:numId="9" w16cid:durableId="1049379587">
    <w:abstractNumId w:val="5"/>
  </w:num>
  <w:num w:numId="10" w16cid:durableId="76027687">
    <w:abstractNumId w:val="19"/>
  </w:num>
  <w:num w:numId="11" w16cid:durableId="387461161">
    <w:abstractNumId w:val="18"/>
  </w:num>
  <w:num w:numId="12" w16cid:durableId="1918972309">
    <w:abstractNumId w:val="10"/>
  </w:num>
  <w:num w:numId="13" w16cid:durableId="199170671">
    <w:abstractNumId w:val="0"/>
  </w:num>
  <w:num w:numId="14" w16cid:durableId="887107041">
    <w:abstractNumId w:val="6"/>
  </w:num>
  <w:num w:numId="15" w16cid:durableId="1199857646">
    <w:abstractNumId w:val="14"/>
  </w:num>
  <w:num w:numId="16" w16cid:durableId="1257906985">
    <w:abstractNumId w:val="4"/>
  </w:num>
  <w:num w:numId="17" w16cid:durableId="2129077706">
    <w:abstractNumId w:val="13"/>
  </w:num>
  <w:num w:numId="18" w16cid:durableId="85272995">
    <w:abstractNumId w:val="3"/>
  </w:num>
  <w:num w:numId="19" w16cid:durableId="311065985">
    <w:abstractNumId w:val="7"/>
  </w:num>
  <w:num w:numId="20" w16cid:durableId="11416228">
    <w:abstractNumId w:val="17"/>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Baj-Rogowska">
    <w15:presenceInfo w15:providerId="None" w15:userId="Anna Baj-Rogowska"/>
  </w15:person>
  <w15:person w15:author="Dawid Drawc">
    <w15:presenceInfo w15:providerId="Windows Live" w15:userId="811f29903ac734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4E2"/>
    <w:rsid w:val="00000E68"/>
    <w:rsid w:val="00000ED9"/>
    <w:rsid w:val="00006559"/>
    <w:rsid w:val="00012ED5"/>
    <w:rsid w:val="000167D6"/>
    <w:rsid w:val="0002094E"/>
    <w:rsid w:val="000218F0"/>
    <w:rsid w:val="00034937"/>
    <w:rsid w:val="00053D2E"/>
    <w:rsid w:val="0006459C"/>
    <w:rsid w:val="00080E21"/>
    <w:rsid w:val="00095A9A"/>
    <w:rsid w:val="000B344B"/>
    <w:rsid w:val="000B681A"/>
    <w:rsid w:val="000C2F43"/>
    <w:rsid w:val="000C5B34"/>
    <w:rsid w:val="000C65EC"/>
    <w:rsid w:val="000D6061"/>
    <w:rsid w:val="000E2C40"/>
    <w:rsid w:val="000F3A49"/>
    <w:rsid w:val="000F3B5F"/>
    <w:rsid w:val="000F6C9C"/>
    <w:rsid w:val="0010144E"/>
    <w:rsid w:val="00105E01"/>
    <w:rsid w:val="00107DED"/>
    <w:rsid w:val="00112A29"/>
    <w:rsid w:val="00112C45"/>
    <w:rsid w:val="00132BB7"/>
    <w:rsid w:val="0013359E"/>
    <w:rsid w:val="001537D7"/>
    <w:rsid w:val="001871A5"/>
    <w:rsid w:val="00190502"/>
    <w:rsid w:val="001914D6"/>
    <w:rsid w:val="001B5039"/>
    <w:rsid w:val="001E2612"/>
    <w:rsid w:val="001E38A9"/>
    <w:rsid w:val="00200F52"/>
    <w:rsid w:val="002031DE"/>
    <w:rsid w:val="00252965"/>
    <w:rsid w:val="002570E0"/>
    <w:rsid w:val="00257252"/>
    <w:rsid w:val="00263A05"/>
    <w:rsid w:val="002653B2"/>
    <w:rsid w:val="00297720"/>
    <w:rsid w:val="002A506A"/>
    <w:rsid w:val="002B3190"/>
    <w:rsid w:val="002D70CD"/>
    <w:rsid w:val="00304723"/>
    <w:rsid w:val="00306263"/>
    <w:rsid w:val="00310BED"/>
    <w:rsid w:val="00312937"/>
    <w:rsid w:val="003247AA"/>
    <w:rsid w:val="00341F39"/>
    <w:rsid w:val="003533F6"/>
    <w:rsid w:val="00365657"/>
    <w:rsid w:val="00365AEC"/>
    <w:rsid w:val="0037067C"/>
    <w:rsid w:val="00381E5F"/>
    <w:rsid w:val="0039571A"/>
    <w:rsid w:val="003979C8"/>
    <w:rsid w:val="003B2D37"/>
    <w:rsid w:val="003B40CF"/>
    <w:rsid w:val="003D11A3"/>
    <w:rsid w:val="003E56BC"/>
    <w:rsid w:val="003E5D5A"/>
    <w:rsid w:val="003F3B27"/>
    <w:rsid w:val="003F67CA"/>
    <w:rsid w:val="00400691"/>
    <w:rsid w:val="00403D6B"/>
    <w:rsid w:val="00417443"/>
    <w:rsid w:val="00421159"/>
    <w:rsid w:val="004328DA"/>
    <w:rsid w:val="004372A8"/>
    <w:rsid w:val="00446CB1"/>
    <w:rsid w:val="00452911"/>
    <w:rsid w:val="00455633"/>
    <w:rsid w:val="00456948"/>
    <w:rsid w:val="0046044C"/>
    <w:rsid w:val="004643B7"/>
    <w:rsid w:val="00472736"/>
    <w:rsid w:val="00473576"/>
    <w:rsid w:val="00484A3C"/>
    <w:rsid w:val="004A241A"/>
    <w:rsid w:val="004A4DDD"/>
    <w:rsid w:val="004B46C1"/>
    <w:rsid w:val="004B7592"/>
    <w:rsid w:val="004C02C4"/>
    <w:rsid w:val="004C3B1C"/>
    <w:rsid w:val="004C589D"/>
    <w:rsid w:val="004C5B18"/>
    <w:rsid w:val="004C68FA"/>
    <w:rsid w:val="004D53A7"/>
    <w:rsid w:val="004D6AAF"/>
    <w:rsid w:val="004E5F09"/>
    <w:rsid w:val="004F359C"/>
    <w:rsid w:val="004F7535"/>
    <w:rsid w:val="005008E0"/>
    <w:rsid w:val="0050583D"/>
    <w:rsid w:val="00507484"/>
    <w:rsid w:val="005077C3"/>
    <w:rsid w:val="005100D9"/>
    <w:rsid w:val="0051353D"/>
    <w:rsid w:val="00514FE7"/>
    <w:rsid w:val="005206E9"/>
    <w:rsid w:val="005274CF"/>
    <w:rsid w:val="00536EDF"/>
    <w:rsid w:val="00556D3B"/>
    <w:rsid w:val="0056772A"/>
    <w:rsid w:val="005679CF"/>
    <w:rsid w:val="0057381C"/>
    <w:rsid w:val="0057532B"/>
    <w:rsid w:val="00575942"/>
    <w:rsid w:val="00576322"/>
    <w:rsid w:val="0058109C"/>
    <w:rsid w:val="00581575"/>
    <w:rsid w:val="00582C48"/>
    <w:rsid w:val="00583A01"/>
    <w:rsid w:val="00586901"/>
    <w:rsid w:val="005A2769"/>
    <w:rsid w:val="005A3E2B"/>
    <w:rsid w:val="005A5648"/>
    <w:rsid w:val="005D1737"/>
    <w:rsid w:val="005D49A0"/>
    <w:rsid w:val="005E491A"/>
    <w:rsid w:val="005E6F74"/>
    <w:rsid w:val="00614991"/>
    <w:rsid w:val="0062186D"/>
    <w:rsid w:val="00633F11"/>
    <w:rsid w:val="00643645"/>
    <w:rsid w:val="0064377E"/>
    <w:rsid w:val="00645BE0"/>
    <w:rsid w:val="0065606C"/>
    <w:rsid w:val="00661E71"/>
    <w:rsid w:val="006660FC"/>
    <w:rsid w:val="0067275F"/>
    <w:rsid w:val="0067712E"/>
    <w:rsid w:val="00677854"/>
    <w:rsid w:val="00686E32"/>
    <w:rsid w:val="0069618F"/>
    <w:rsid w:val="006A0B52"/>
    <w:rsid w:val="006C0A05"/>
    <w:rsid w:val="006C56FA"/>
    <w:rsid w:val="006C6A96"/>
    <w:rsid w:val="006E1298"/>
    <w:rsid w:val="006F7FD4"/>
    <w:rsid w:val="00705B64"/>
    <w:rsid w:val="0071016B"/>
    <w:rsid w:val="00710611"/>
    <w:rsid w:val="00712867"/>
    <w:rsid w:val="00721ECB"/>
    <w:rsid w:val="007254C2"/>
    <w:rsid w:val="00731BA4"/>
    <w:rsid w:val="00733D1A"/>
    <w:rsid w:val="007421BB"/>
    <w:rsid w:val="00745F31"/>
    <w:rsid w:val="00751A78"/>
    <w:rsid w:val="0076503B"/>
    <w:rsid w:val="007803BE"/>
    <w:rsid w:val="00782F80"/>
    <w:rsid w:val="00787526"/>
    <w:rsid w:val="007C4B53"/>
    <w:rsid w:val="007D70C2"/>
    <w:rsid w:val="007F6FE1"/>
    <w:rsid w:val="00807815"/>
    <w:rsid w:val="008102E2"/>
    <w:rsid w:val="00811D27"/>
    <w:rsid w:val="00823051"/>
    <w:rsid w:val="00845719"/>
    <w:rsid w:val="0085166C"/>
    <w:rsid w:val="008650AA"/>
    <w:rsid w:val="00874B68"/>
    <w:rsid w:val="00880C9F"/>
    <w:rsid w:val="00880EAE"/>
    <w:rsid w:val="008A721D"/>
    <w:rsid w:val="008B52B6"/>
    <w:rsid w:val="008C7918"/>
    <w:rsid w:val="008D09FB"/>
    <w:rsid w:val="008D6590"/>
    <w:rsid w:val="008E6431"/>
    <w:rsid w:val="008E683D"/>
    <w:rsid w:val="008F107E"/>
    <w:rsid w:val="008F5BE9"/>
    <w:rsid w:val="008F715D"/>
    <w:rsid w:val="0090689F"/>
    <w:rsid w:val="00915F20"/>
    <w:rsid w:val="0092146F"/>
    <w:rsid w:val="0093294F"/>
    <w:rsid w:val="00933D8F"/>
    <w:rsid w:val="0093456A"/>
    <w:rsid w:val="00937C8F"/>
    <w:rsid w:val="00946BDA"/>
    <w:rsid w:val="00954390"/>
    <w:rsid w:val="00973C90"/>
    <w:rsid w:val="0099603A"/>
    <w:rsid w:val="0099749E"/>
    <w:rsid w:val="009B2E27"/>
    <w:rsid w:val="009B7ED2"/>
    <w:rsid w:val="009D336F"/>
    <w:rsid w:val="009E1402"/>
    <w:rsid w:val="009E6DFF"/>
    <w:rsid w:val="009E742E"/>
    <w:rsid w:val="009E7636"/>
    <w:rsid w:val="009F6896"/>
    <w:rsid w:val="00A21A10"/>
    <w:rsid w:val="00A35C95"/>
    <w:rsid w:val="00A36291"/>
    <w:rsid w:val="00A90F69"/>
    <w:rsid w:val="00A957DC"/>
    <w:rsid w:val="00A960B9"/>
    <w:rsid w:val="00AA33B5"/>
    <w:rsid w:val="00AA42B1"/>
    <w:rsid w:val="00AA6092"/>
    <w:rsid w:val="00AC2404"/>
    <w:rsid w:val="00AC3B7D"/>
    <w:rsid w:val="00AC6687"/>
    <w:rsid w:val="00AD551C"/>
    <w:rsid w:val="00AD7AE0"/>
    <w:rsid w:val="00AF1597"/>
    <w:rsid w:val="00AF4B16"/>
    <w:rsid w:val="00AF6C99"/>
    <w:rsid w:val="00B314C8"/>
    <w:rsid w:val="00B35562"/>
    <w:rsid w:val="00B37E35"/>
    <w:rsid w:val="00B44F50"/>
    <w:rsid w:val="00B50D41"/>
    <w:rsid w:val="00B57E69"/>
    <w:rsid w:val="00B624CB"/>
    <w:rsid w:val="00B65C91"/>
    <w:rsid w:val="00B668C9"/>
    <w:rsid w:val="00B70E58"/>
    <w:rsid w:val="00B746A9"/>
    <w:rsid w:val="00B92C86"/>
    <w:rsid w:val="00B95BD6"/>
    <w:rsid w:val="00BA00BA"/>
    <w:rsid w:val="00BA11D3"/>
    <w:rsid w:val="00BB304C"/>
    <w:rsid w:val="00BF5EDF"/>
    <w:rsid w:val="00C04204"/>
    <w:rsid w:val="00C17BDB"/>
    <w:rsid w:val="00C21274"/>
    <w:rsid w:val="00C2192F"/>
    <w:rsid w:val="00C276CD"/>
    <w:rsid w:val="00C31FCB"/>
    <w:rsid w:val="00C4083E"/>
    <w:rsid w:val="00C61893"/>
    <w:rsid w:val="00C627DA"/>
    <w:rsid w:val="00C65123"/>
    <w:rsid w:val="00C714EB"/>
    <w:rsid w:val="00C914E7"/>
    <w:rsid w:val="00CB0FCF"/>
    <w:rsid w:val="00CB1DD9"/>
    <w:rsid w:val="00CB3C9A"/>
    <w:rsid w:val="00CD25F3"/>
    <w:rsid w:val="00CE0001"/>
    <w:rsid w:val="00CE1ECE"/>
    <w:rsid w:val="00CE3896"/>
    <w:rsid w:val="00CE4640"/>
    <w:rsid w:val="00CF7176"/>
    <w:rsid w:val="00D0320E"/>
    <w:rsid w:val="00D04ED6"/>
    <w:rsid w:val="00D05C9D"/>
    <w:rsid w:val="00D20BCD"/>
    <w:rsid w:val="00D23C63"/>
    <w:rsid w:val="00D31209"/>
    <w:rsid w:val="00D363E1"/>
    <w:rsid w:val="00D36665"/>
    <w:rsid w:val="00D43C1B"/>
    <w:rsid w:val="00D556C8"/>
    <w:rsid w:val="00D55854"/>
    <w:rsid w:val="00D56D5B"/>
    <w:rsid w:val="00D7036D"/>
    <w:rsid w:val="00D804E2"/>
    <w:rsid w:val="00D870BC"/>
    <w:rsid w:val="00DA0F49"/>
    <w:rsid w:val="00DA4BF0"/>
    <w:rsid w:val="00DB1E1C"/>
    <w:rsid w:val="00DB20C4"/>
    <w:rsid w:val="00DB2C8A"/>
    <w:rsid w:val="00DD0CB3"/>
    <w:rsid w:val="00DE4A1E"/>
    <w:rsid w:val="00DF4E8A"/>
    <w:rsid w:val="00DF7B3E"/>
    <w:rsid w:val="00DF7C5E"/>
    <w:rsid w:val="00E0285C"/>
    <w:rsid w:val="00E42FFD"/>
    <w:rsid w:val="00E44C44"/>
    <w:rsid w:val="00E46A2B"/>
    <w:rsid w:val="00E51BF8"/>
    <w:rsid w:val="00E52392"/>
    <w:rsid w:val="00E61B8D"/>
    <w:rsid w:val="00E76C1B"/>
    <w:rsid w:val="00E93411"/>
    <w:rsid w:val="00E93829"/>
    <w:rsid w:val="00EA4511"/>
    <w:rsid w:val="00EB4925"/>
    <w:rsid w:val="00EC0E4D"/>
    <w:rsid w:val="00EC69AF"/>
    <w:rsid w:val="00EE3F29"/>
    <w:rsid w:val="00EE5022"/>
    <w:rsid w:val="00EE6CC5"/>
    <w:rsid w:val="00EF1163"/>
    <w:rsid w:val="00F0008D"/>
    <w:rsid w:val="00F014AB"/>
    <w:rsid w:val="00F12407"/>
    <w:rsid w:val="00F12B19"/>
    <w:rsid w:val="00F136AC"/>
    <w:rsid w:val="00F1420A"/>
    <w:rsid w:val="00F1485B"/>
    <w:rsid w:val="00F21BEC"/>
    <w:rsid w:val="00F50B7D"/>
    <w:rsid w:val="00F5375B"/>
    <w:rsid w:val="00F56F25"/>
    <w:rsid w:val="00F62BFA"/>
    <w:rsid w:val="00F64A0A"/>
    <w:rsid w:val="00F83CC1"/>
    <w:rsid w:val="00F85D21"/>
    <w:rsid w:val="00F91A6E"/>
    <w:rsid w:val="00FB0D70"/>
    <w:rsid w:val="00FC2E07"/>
    <w:rsid w:val="00FD29A4"/>
    <w:rsid w:val="00FD3703"/>
    <w:rsid w:val="00FD3CEA"/>
    <w:rsid w:val="00FE0B88"/>
    <w:rsid w:val="00FE4457"/>
    <w:rsid w:val="00FF223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B5996"/>
  <w15:chartTrackingRefBased/>
  <w15:docId w15:val="{720F8438-BAC3-4863-A572-D7D7B2F76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65657"/>
  </w:style>
  <w:style w:type="paragraph" w:styleId="Nagwek1">
    <w:name w:val="heading 1"/>
    <w:basedOn w:val="Normalny"/>
    <w:next w:val="Normalny"/>
    <w:link w:val="Nagwek1Znak"/>
    <w:uiPriority w:val="9"/>
    <w:qFormat/>
    <w:rsid w:val="00D80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D80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D804E2"/>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D804E2"/>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D804E2"/>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D804E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804E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804E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804E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804E2"/>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D804E2"/>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D804E2"/>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D804E2"/>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D804E2"/>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D804E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804E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804E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804E2"/>
    <w:rPr>
      <w:rFonts w:eastAsiaTheme="majorEastAsia" w:cstheme="majorBidi"/>
      <w:color w:val="272727" w:themeColor="text1" w:themeTint="D8"/>
    </w:rPr>
  </w:style>
  <w:style w:type="paragraph" w:styleId="Tytu">
    <w:name w:val="Title"/>
    <w:basedOn w:val="Normalny"/>
    <w:next w:val="Normalny"/>
    <w:link w:val="TytuZnak"/>
    <w:uiPriority w:val="10"/>
    <w:qFormat/>
    <w:rsid w:val="00D80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804E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D804E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D804E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804E2"/>
    <w:pPr>
      <w:spacing w:before="160"/>
      <w:jc w:val="center"/>
    </w:pPr>
    <w:rPr>
      <w:i/>
      <w:iCs/>
      <w:color w:val="404040" w:themeColor="text1" w:themeTint="BF"/>
    </w:rPr>
  </w:style>
  <w:style w:type="character" w:customStyle="1" w:styleId="CytatZnak">
    <w:name w:val="Cytat Znak"/>
    <w:basedOn w:val="Domylnaczcionkaakapitu"/>
    <w:link w:val="Cytat"/>
    <w:uiPriority w:val="29"/>
    <w:rsid w:val="00D804E2"/>
    <w:rPr>
      <w:i/>
      <w:iCs/>
      <w:color w:val="404040" w:themeColor="text1" w:themeTint="BF"/>
    </w:rPr>
  </w:style>
  <w:style w:type="paragraph" w:styleId="Akapitzlist">
    <w:name w:val="List Paragraph"/>
    <w:basedOn w:val="Normalny"/>
    <w:link w:val="AkapitzlistZnak"/>
    <w:uiPriority w:val="34"/>
    <w:qFormat/>
    <w:rsid w:val="00D804E2"/>
    <w:pPr>
      <w:ind w:left="720"/>
      <w:contextualSpacing/>
    </w:pPr>
  </w:style>
  <w:style w:type="character" w:styleId="Wyrnienieintensywne">
    <w:name w:val="Intense Emphasis"/>
    <w:basedOn w:val="Domylnaczcionkaakapitu"/>
    <w:uiPriority w:val="21"/>
    <w:qFormat/>
    <w:rsid w:val="00D804E2"/>
    <w:rPr>
      <w:i/>
      <w:iCs/>
      <w:color w:val="0F4761" w:themeColor="accent1" w:themeShade="BF"/>
    </w:rPr>
  </w:style>
  <w:style w:type="paragraph" w:styleId="Cytatintensywny">
    <w:name w:val="Intense Quote"/>
    <w:basedOn w:val="Normalny"/>
    <w:next w:val="Normalny"/>
    <w:link w:val="CytatintensywnyZnak"/>
    <w:uiPriority w:val="30"/>
    <w:qFormat/>
    <w:rsid w:val="00D80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D804E2"/>
    <w:rPr>
      <w:i/>
      <w:iCs/>
      <w:color w:val="0F4761" w:themeColor="accent1" w:themeShade="BF"/>
    </w:rPr>
  </w:style>
  <w:style w:type="character" w:styleId="Odwoanieintensywne">
    <w:name w:val="Intense Reference"/>
    <w:basedOn w:val="Domylnaczcionkaakapitu"/>
    <w:uiPriority w:val="32"/>
    <w:qFormat/>
    <w:rsid w:val="00D804E2"/>
    <w:rPr>
      <w:b/>
      <w:bCs/>
      <w:smallCaps/>
      <w:color w:val="0F4761" w:themeColor="accent1" w:themeShade="BF"/>
      <w:spacing w:val="5"/>
    </w:rPr>
  </w:style>
  <w:style w:type="paragraph" w:styleId="Nagwek">
    <w:name w:val="header"/>
    <w:basedOn w:val="Normalny"/>
    <w:link w:val="NagwekZnak"/>
    <w:uiPriority w:val="99"/>
    <w:unhideWhenUsed/>
    <w:rsid w:val="00D804E2"/>
    <w:pPr>
      <w:tabs>
        <w:tab w:val="center" w:pos="4536"/>
        <w:tab w:val="right" w:pos="9072"/>
      </w:tabs>
      <w:spacing w:after="0" w:line="240" w:lineRule="auto"/>
      <w:ind w:firstLine="709"/>
      <w:jc w:val="both"/>
    </w:pPr>
    <w:rPr>
      <w:rFonts w:ascii="Arial" w:eastAsia="Times New Roman" w:hAnsi="Arial" w:cs="Times New Roman"/>
      <w:kern w:val="0"/>
      <w:sz w:val="20"/>
      <w:szCs w:val="22"/>
      <w:lang w:eastAsia="pl-PL"/>
      <w14:ligatures w14:val="none"/>
    </w:rPr>
  </w:style>
  <w:style w:type="character" w:customStyle="1" w:styleId="NagwekZnak">
    <w:name w:val="Nagłówek Znak"/>
    <w:basedOn w:val="Domylnaczcionkaakapitu"/>
    <w:link w:val="Nagwek"/>
    <w:uiPriority w:val="99"/>
    <w:rsid w:val="00D804E2"/>
    <w:rPr>
      <w:rFonts w:ascii="Arial" w:eastAsia="Times New Roman" w:hAnsi="Arial" w:cs="Times New Roman"/>
      <w:kern w:val="0"/>
      <w:sz w:val="20"/>
      <w:szCs w:val="22"/>
      <w:lang w:eastAsia="pl-PL"/>
      <w14:ligatures w14:val="none"/>
    </w:rPr>
  </w:style>
  <w:style w:type="paragraph" w:styleId="Stopka">
    <w:name w:val="footer"/>
    <w:basedOn w:val="Normalny"/>
    <w:link w:val="StopkaZnak"/>
    <w:uiPriority w:val="99"/>
    <w:unhideWhenUsed/>
    <w:rsid w:val="00D804E2"/>
    <w:pPr>
      <w:tabs>
        <w:tab w:val="center" w:pos="4536"/>
        <w:tab w:val="right" w:pos="9072"/>
      </w:tabs>
      <w:spacing w:after="0" w:line="240" w:lineRule="auto"/>
      <w:ind w:firstLine="709"/>
      <w:jc w:val="both"/>
    </w:pPr>
    <w:rPr>
      <w:rFonts w:ascii="Arial" w:eastAsia="Times New Roman" w:hAnsi="Arial" w:cs="Times New Roman"/>
      <w:kern w:val="0"/>
      <w:sz w:val="20"/>
      <w:szCs w:val="22"/>
      <w:lang w:eastAsia="pl-PL"/>
      <w14:ligatures w14:val="none"/>
    </w:rPr>
  </w:style>
  <w:style w:type="character" w:customStyle="1" w:styleId="StopkaZnak">
    <w:name w:val="Stopka Znak"/>
    <w:basedOn w:val="Domylnaczcionkaakapitu"/>
    <w:link w:val="Stopka"/>
    <w:uiPriority w:val="99"/>
    <w:rsid w:val="00D804E2"/>
    <w:rPr>
      <w:rFonts w:ascii="Arial" w:eastAsia="Times New Roman" w:hAnsi="Arial" w:cs="Times New Roman"/>
      <w:kern w:val="0"/>
      <w:sz w:val="20"/>
      <w:szCs w:val="22"/>
      <w:lang w:eastAsia="pl-PL"/>
      <w14:ligatures w14:val="none"/>
    </w:rPr>
  </w:style>
  <w:style w:type="paragraph" w:styleId="NormalnyWeb">
    <w:name w:val="Normal (Web)"/>
    <w:basedOn w:val="Normalny"/>
    <w:uiPriority w:val="99"/>
    <w:semiHidden/>
    <w:unhideWhenUsed/>
    <w:rsid w:val="001914D6"/>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styleId="HTML-kod">
    <w:name w:val="HTML Code"/>
    <w:basedOn w:val="Domylnaczcionkaakapitu"/>
    <w:uiPriority w:val="99"/>
    <w:semiHidden/>
    <w:unhideWhenUsed/>
    <w:rsid w:val="001914D6"/>
    <w:rPr>
      <w:rFonts w:ascii="Courier New" w:eastAsia="Times New Roman" w:hAnsi="Courier New" w:cs="Courier New"/>
      <w:sz w:val="20"/>
      <w:szCs w:val="20"/>
    </w:rPr>
  </w:style>
  <w:style w:type="paragraph" w:customStyle="1" w:styleId="Nagwekdodatkowy">
    <w:name w:val="Nagłówek dodatkowy"/>
    <w:basedOn w:val="Nagwek1"/>
    <w:link w:val="NagwekdodatkowyZnak"/>
    <w:qFormat/>
    <w:rsid w:val="0085166C"/>
    <w:pPr>
      <w:pageBreakBefore/>
      <w:spacing w:before="240" w:after="120" w:line="240" w:lineRule="auto"/>
    </w:pPr>
    <w:rPr>
      <w:b/>
      <w:bCs/>
      <w:caps/>
      <w:kern w:val="0"/>
      <w:szCs w:val="28"/>
      <w:lang w:eastAsia="pl-PL"/>
      <w14:ligatures w14:val="none"/>
    </w:rPr>
  </w:style>
  <w:style w:type="character" w:customStyle="1" w:styleId="NagwekdodatkowyZnak">
    <w:name w:val="Nagłówek dodatkowy Znak"/>
    <w:basedOn w:val="Nagwek1Znak"/>
    <w:link w:val="Nagwekdodatkowy"/>
    <w:rsid w:val="0085166C"/>
    <w:rPr>
      <w:rFonts w:asciiTheme="majorHAnsi" w:eastAsiaTheme="majorEastAsia" w:hAnsiTheme="majorHAnsi" w:cstheme="majorBidi"/>
      <w:b/>
      <w:bCs/>
      <w:caps/>
      <w:color w:val="0F4761" w:themeColor="accent1" w:themeShade="BF"/>
      <w:kern w:val="0"/>
      <w:sz w:val="40"/>
      <w:szCs w:val="28"/>
      <w:lang w:eastAsia="pl-PL"/>
      <w14:ligatures w14:val="none"/>
    </w:rPr>
  </w:style>
  <w:style w:type="character" w:styleId="Odwoaniedokomentarza">
    <w:name w:val="annotation reference"/>
    <w:basedOn w:val="Domylnaczcionkaakapitu"/>
    <w:uiPriority w:val="99"/>
    <w:semiHidden/>
    <w:unhideWhenUsed/>
    <w:rsid w:val="00733D1A"/>
    <w:rPr>
      <w:sz w:val="16"/>
      <w:szCs w:val="16"/>
    </w:rPr>
  </w:style>
  <w:style w:type="paragraph" w:styleId="Tekstkomentarza">
    <w:name w:val="annotation text"/>
    <w:basedOn w:val="Normalny"/>
    <w:link w:val="TekstkomentarzaZnak"/>
    <w:uiPriority w:val="99"/>
    <w:unhideWhenUsed/>
    <w:rsid w:val="00733D1A"/>
    <w:pPr>
      <w:spacing w:line="240" w:lineRule="auto"/>
    </w:pPr>
    <w:rPr>
      <w:sz w:val="20"/>
      <w:szCs w:val="20"/>
    </w:rPr>
  </w:style>
  <w:style w:type="character" w:customStyle="1" w:styleId="TekstkomentarzaZnak">
    <w:name w:val="Tekst komentarza Znak"/>
    <w:basedOn w:val="Domylnaczcionkaakapitu"/>
    <w:link w:val="Tekstkomentarza"/>
    <w:uiPriority w:val="99"/>
    <w:rsid w:val="00733D1A"/>
    <w:rPr>
      <w:sz w:val="20"/>
      <w:szCs w:val="20"/>
    </w:rPr>
  </w:style>
  <w:style w:type="paragraph" w:styleId="Tematkomentarza">
    <w:name w:val="annotation subject"/>
    <w:basedOn w:val="Tekstkomentarza"/>
    <w:next w:val="Tekstkomentarza"/>
    <w:link w:val="TematkomentarzaZnak"/>
    <w:uiPriority w:val="99"/>
    <w:semiHidden/>
    <w:unhideWhenUsed/>
    <w:rsid w:val="00733D1A"/>
    <w:rPr>
      <w:b/>
      <w:bCs/>
    </w:rPr>
  </w:style>
  <w:style w:type="character" w:customStyle="1" w:styleId="TematkomentarzaZnak">
    <w:name w:val="Temat komentarza Znak"/>
    <w:basedOn w:val="TekstkomentarzaZnak"/>
    <w:link w:val="Tematkomentarza"/>
    <w:uiPriority w:val="99"/>
    <w:semiHidden/>
    <w:rsid w:val="00733D1A"/>
    <w:rPr>
      <w:b/>
      <w:bCs/>
      <w:sz w:val="20"/>
      <w:szCs w:val="20"/>
    </w:rPr>
  </w:style>
  <w:style w:type="paragraph" w:styleId="Tekstdymka">
    <w:name w:val="Balloon Text"/>
    <w:basedOn w:val="Normalny"/>
    <w:link w:val="TekstdymkaZnak"/>
    <w:uiPriority w:val="99"/>
    <w:semiHidden/>
    <w:unhideWhenUsed/>
    <w:rsid w:val="00733D1A"/>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733D1A"/>
    <w:rPr>
      <w:rFonts w:ascii="Segoe UI" w:hAnsi="Segoe UI" w:cs="Segoe UI"/>
      <w:sz w:val="18"/>
      <w:szCs w:val="18"/>
    </w:rPr>
  </w:style>
  <w:style w:type="paragraph" w:customStyle="1" w:styleId="CommentText">
    <w:name w:val="Comment Text"/>
    <w:basedOn w:val="Normalny"/>
    <w:rsid w:val="007D70C2"/>
    <w:pPr>
      <w:suppressAutoHyphens/>
      <w:autoSpaceDN w:val="0"/>
      <w:spacing w:after="0" w:line="240" w:lineRule="auto"/>
      <w:ind w:firstLine="709"/>
      <w:jc w:val="both"/>
      <w:textAlignment w:val="baseline"/>
    </w:pPr>
    <w:rPr>
      <w:rFonts w:ascii="Arial" w:eastAsia="Times New Roman" w:hAnsi="Arial" w:cs="Times New Roman"/>
      <w:kern w:val="0"/>
      <w:sz w:val="20"/>
      <w:szCs w:val="20"/>
      <w:lang w:eastAsia="pl-PL"/>
      <w14:ligatures w14:val="none"/>
    </w:rPr>
  </w:style>
  <w:style w:type="character" w:styleId="Pogrubienie">
    <w:name w:val="Strong"/>
    <w:basedOn w:val="Domylnaczcionkaakapitu"/>
    <w:uiPriority w:val="22"/>
    <w:qFormat/>
    <w:rsid w:val="005D49A0"/>
    <w:rPr>
      <w:b/>
      <w:bCs/>
    </w:rPr>
  </w:style>
  <w:style w:type="numbering" w:customStyle="1" w:styleId="Biecalista1">
    <w:name w:val="Bieżąca lista1"/>
    <w:uiPriority w:val="99"/>
    <w:rsid w:val="00CE3896"/>
    <w:pPr>
      <w:numPr>
        <w:numId w:val="12"/>
      </w:numPr>
    </w:pPr>
  </w:style>
  <w:style w:type="numbering" w:customStyle="1" w:styleId="Biecalista2">
    <w:name w:val="Bieżąca lista2"/>
    <w:uiPriority w:val="99"/>
    <w:rsid w:val="00CE3896"/>
    <w:pPr>
      <w:numPr>
        <w:numId w:val="13"/>
      </w:numPr>
    </w:pPr>
  </w:style>
  <w:style w:type="character" w:styleId="Tekstzastpczy">
    <w:name w:val="Placeholder Text"/>
    <w:basedOn w:val="Domylnaczcionkaakapitu"/>
    <w:uiPriority w:val="99"/>
    <w:semiHidden/>
    <w:rsid w:val="008C7918"/>
    <w:rPr>
      <w:color w:val="666666"/>
    </w:rPr>
  </w:style>
  <w:style w:type="paragraph" w:customStyle="1" w:styleId="Styl2poziom">
    <w:name w:val="Styl2poziom"/>
    <w:basedOn w:val="Nagwek2"/>
    <w:link w:val="Styl2poziomZnak"/>
    <w:qFormat/>
    <w:rsid w:val="004C589D"/>
    <w:pPr>
      <w:numPr>
        <w:ilvl w:val="1"/>
        <w:numId w:val="1"/>
      </w:numPr>
    </w:pPr>
    <w:rPr>
      <w:rFonts w:asciiTheme="minorHAnsi" w:hAnsiTheme="minorHAnsi"/>
      <w:b/>
      <w:bCs/>
      <w:i/>
      <w:iCs/>
      <w:color w:val="auto"/>
      <w:sz w:val="24"/>
      <w:szCs w:val="24"/>
    </w:rPr>
  </w:style>
  <w:style w:type="character" w:customStyle="1" w:styleId="Styl2poziomZnak">
    <w:name w:val="Styl2poziom Znak"/>
    <w:basedOn w:val="Nagwek2Znak"/>
    <w:link w:val="Styl2poziom"/>
    <w:rsid w:val="004C589D"/>
    <w:rPr>
      <w:rFonts w:asciiTheme="majorHAnsi" w:eastAsiaTheme="majorEastAsia" w:hAnsiTheme="majorHAnsi" w:cstheme="majorBidi"/>
      <w:b/>
      <w:bCs/>
      <w:i/>
      <w:iCs/>
      <w:color w:val="0F4761" w:themeColor="accent1" w:themeShade="BF"/>
      <w:sz w:val="32"/>
      <w:szCs w:val="32"/>
    </w:rPr>
  </w:style>
  <w:style w:type="paragraph" w:customStyle="1" w:styleId="nagwek30">
    <w:name w:val="nagłówek3"/>
    <w:basedOn w:val="Nagwek3"/>
    <w:link w:val="nagwek3Znak0"/>
    <w:qFormat/>
    <w:rsid w:val="00252965"/>
    <w:rPr>
      <w:rFonts w:eastAsia="Times New Roman"/>
      <w:b/>
      <w:bCs/>
      <w:color w:val="auto"/>
      <w:sz w:val="24"/>
      <w:szCs w:val="24"/>
    </w:rPr>
  </w:style>
  <w:style w:type="character" w:customStyle="1" w:styleId="nagwek3Znak0">
    <w:name w:val="nagłówek3 Znak"/>
    <w:basedOn w:val="Nagwek3Znak"/>
    <w:link w:val="nagwek30"/>
    <w:rsid w:val="00252965"/>
    <w:rPr>
      <w:rFonts w:eastAsia="Times New Roman" w:cstheme="majorBidi"/>
      <w:b/>
      <w:bCs/>
      <w:color w:val="0F4761" w:themeColor="accent1" w:themeShade="BF"/>
      <w:sz w:val="28"/>
      <w:szCs w:val="28"/>
    </w:rPr>
  </w:style>
  <w:style w:type="character" w:customStyle="1" w:styleId="AkapitzlistZnak">
    <w:name w:val="Akapit z listą Znak"/>
    <w:basedOn w:val="Domylnaczcionkaakapitu"/>
    <w:link w:val="Akapitzlist"/>
    <w:uiPriority w:val="34"/>
    <w:rsid w:val="0067712E"/>
  </w:style>
  <w:style w:type="paragraph" w:customStyle="1" w:styleId="Wypunktowanie">
    <w:name w:val="Wypunktowanie"/>
    <w:basedOn w:val="Akapitzlist"/>
    <w:link w:val="WypunktowanieZnak"/>
    <w:qFormat/>
    <w:rsid w:val="008F107E"/>
    <w:pPr>
      <w:numPr>
        <w:numId w:val="19"/>
      </w:numPr>
      <w:spacing w:after="0" w:line="360" w:lineRule="auto"/>
      <w:jc w:val="both"/>
    </w:pPr>
    <w:rPr>
      <w:rFonts w:ascii="Arial" w:eastAsia="Times New Roman" w:hAnsi="Arial" w:cs="Times New Roman"/>
      <w:kern w:val="0"/>
      <w:sz w:val="20"/>
      <w:szCs w:val="22"/>
      <w:lang w:eastAsia="pl-PL"/>
      <w14:ligatures w14:val="none"/>
    </w:rPr>
  </w:style>
  <w:style w:type="character" w:customStyle="1" w:styleId="WypunktowanieZnak">
    <w:name w:val="Wypunktowanie Znak"/>
    <w:basedOn w:val="AkapitzlistZnak"/>
    <w:link w:val="Wypunktowanie"/>
    <w:rsid w:val="008F107E"/>
    <w:rPr>
      <w:rFonts w:ascii="Arial" w:eastAsia="Times New Roman" w:hAnsi="Arial" w:cs="Times New Roman"/>
      <w:kern w:val="0"/>
      <w:sz w:val="20"/>
      <w:szCs w:val="22"/>
      <w:lang w:eastAsia="pl-PL"/>
      <w14:ligatures w14:val="none"/>
    </w:rPr>
  </w:style>
  <w:style w:type="paragraph" w:customStyle="1" w:styleId="Styl1">
    <w:name w:val="Styl1"/>
    <w:basedOn w:val="Styl2poziom"/>
    <w:link w:val="Styl1Znak"/>
    <w:qFormat/>
    <w:rsid w:val="00D556C8"/>
    <w:pPr>
      <w:ind w:left="426"/>
    </w:pPr>
    <w:rPr>
      <w:rFonts w:ascii="Arial" w:hAnsi="Arial" w:cs="Arial"/>
      <w:iCs w:val="0"/>
      <w:kern w:val="0"/>
      <w:sz w:val="20"/>
      <w:szCs w:val="26"/>
      <w:lang w:eastAsia="pl-PL"/>
      <w14:ligatures w14:val="none"/>
    </w:rPr>
  </w:style>
  <w:style w:type="character" w:customStyle="1" w:styleId="Styl1Znak">
    <w:name w:val="Styl1 Znak"/>
    <w:basedOn w:val="Styl2poziomZnak"/>
    <w:link w:val="Styl1"/>
    <w:rsid w:val="00D556C8"/>
    <w:rPr>
      <w:rFonts w:ascii="Arial" w:eastAsiaTheme="majorEastAsia" w:hAnsi="Arial" w:cs="Arial"/>
      <w:b/>
      <w:bCs/>
      <w:i/>
      <w:iCs w:val="0"/>
      <w:color w:val="0F4761" w:themeColor="accent1" w:themeShade="BF"/>
      <w:kern w:val="0"/>
      <w:sz w:val="20"/>
      <w:szCs w:val="26"/>
      <w:lang w:eastAsia="pl-PL"/>
      <w14:ligatures w14:val="none"/>
    </w:rPr>
  </w:style>
  <w:style w:type="paragraph" w:customStyle="1" w:styleId="Styl2">
    <w:name w:val="Styl2"/>
    <w:basedOn w:val="Nagwek3"/>
    <w:link w:val="Styl2Znak"/>
    <w:qFormat/>
    <w:rsid w:val="00D556C8"/>
    <w:pPr>
      <w:numPr>
        <w:ilvl w:val="2"/>
        <w:numId w:val="1"/>
      </w:numPr>
      <w:spacing w:before="240" w:after="120" w:line="240" w:lineRule="auto"/>
      <w:ind w:left="0" w:firstLine="0"/>
      <w:jc w:val="both"/>
    </w:pPr>
    <w:rPr>
      <w:rFonts w:ascii="Arial" w:hAnsi="Arial" w:cs="Arial"/>
      <w:bCs/>
      <w:i/>
      <w:color w:val="auto"/>
      <w:kern w:val="0"/>
      <w:sz w:val="20"/>
      <w:szCs w:val="22"/>
      <w:lang w:eastAsia="pl-PL"/>
      <w14:ligatures w14:val="none"/>
    </w:rPr>
  </w:style>
  <w:style w:type="character" w:customStyle="1" w:styleId="Styl2Znak">
    <w:name w:val="Styl2 Znak"/>
    <w:basedOn w:val="Nagwek3Znak"/>
    <w:link w:val="Styl2"/>
    <w:rsid w:val="00D556C8"/>
    <w:rPr>
      <w:rFonts w:ascii="Arial" w:eastAsiaTheme="majorEastAsia" w:hAnsi="Arial" w:cs="Arial"/>
      <w:bCs/>
      <w:i/>
      <w:color w:val="0F4761" w:themeColor="accent1" w:themeShade="BF"/>
      <w:kern w:val="0"/>
      <w:sz w:val="20"/>
      <w:szCs w:val="22"/>
      <w:lang w:eastAsia="pl-PL"/>
      <w14:ligatures w14:val="none"/>
    </w:rPr>
  </w:style>
  <w:style w:type="paragraph" w:customStyle="1" w:styleId="Styl3">
    <w:name w:val="Styl3"/>
    <w:basedOn w:val="Akapitzlist"/>
    <w:link w:val="Styl3Znak"/>
    <w:qFormat/>
    <w:rsid w:val="00D556C8"/>
    <w:pPr>
      <w:keepNext/>
      <w:keepLines/>
      <w:pageBreakBefore/>
      <w:numPr>
        <w:numId w:val="1"/>
      </w:numPr>
      <w:spacing w:before="240" w:after="120" w:line="240" w:lineRule="auto"/>
      <w:jc w:val="both"/>
      <w:outlineLvl w:val="0"/>
    </w:pPr>
    <w:rPr>
      <w:rFonts w:ascii="Arial" w:eastAsia="Times New Roman" w:hAnsi="Arial" w:cs="Times New Roman"/>
      <w:b/>
      <w:bCs/>
      <w:caps/>
      <w:kern w:val="0"/>
      <w:szCs w:val="28"/>
      <w:lang w:eastAsia="pl-PL"/>
      <w14:ligatures w14:val="none"/>
    </w:rPr>
  </w:style>
  <w:style w:type="character" w:customStyle="1" w:styleId="Styl3Znak">
    <w:name w:val="Styl3 Znak"/>
    <w:basedOn w:val="AkapitzlistZnak"/>
    <w:link w:val="Styl3"/>
    <w:rsid w:val="00D556C8"/>
    <w:rPr>
      <w:rFonts w:ascii="Arial" w:eastAsia="Times New Roman" w:hAnsi="Arial" w:cs="Times New Roman"/>
      <w:b/>
      <w:bCs/>
      <w:caps/>
      <w:kern w:val="0"/>
      <w:szCs w:val="28"/>
      <w:lang w:eastAsia="pl-PL"/>
      <w14:ligatures w14:val="none"/>
    </w:rPr>
  </w:style>
  <w:style w:type="paragraph" w:customStyle="1" w:styleId="Styl4">
    <w:name w:val="Styl4"/>
    <w:basedOn w:val="Akapitzlist"/>
    <w:link w:val="Styl4Znak"/>
    <w:qFormat/>
    <w:rsid w:val="00D556C8"/>
    <w:pPr>
      <w:spacing w:after="0" w:line="360" w:lineRule="auto"/>
      <w:ind w:left="1066" w:hanging="357"/>
      <w:jc w:val="both"/>
    </w:pPr>
    <w:rPr>
      <w:rFonts w:eastAsia="Times New Roman"/>
      <w:b/>
      <w:kern w:val="0"/>
      <w:lang w:eastAsia="pl-PL"/>
      <w14:ligatures w14:val="none"/>
    </w:rPr>
  </w:style>
  <w:style w:type="character" w:customStyle="1" w:styleId="Styl4Znak">
    <w:name w:val="Styl4 Znak"/>
    <w:basedOn w:val="AkapitzlistZnak"/>
    <w:link w:val="Styl4"/>
    <w:rsid w:val="00D556C8"/>
    <w:rPr>
      <w:rFonts w:eastAsia="Times New Roman"/>
      <w:b/>
      <w:kern w:val="0"/>
      <w:lang w:eastAsia="pl-PL"/>
      <w14:ligatures w14:val="none"/>
    </w:rPr>
  </w:style>
  <w:style w:type="paragraph" w:customStyle="1" w:styleId="punkty">
    <w:name w:val="punkty"/>
    <w:basedOn w:val="Akapitzlist"/>
    <w:link w:val="punktyZnak"/>
    <w:qFormat/>
    <w:rsid w:val="00B35562"/>
    <w:pPr>
      <w:numPr>
        <w:numId w:val="2"/>
      </w:numPr>
      <w:tabs>
        <w:tab w:val="clear" w:pos="720"/>
      </w:tabs>
      <w:spacing w:after="0" w:line="360" w:lineRule="auto"/>
      <w:ind w:left="1066" w:hanging="357"/>
      <w:jc w:val="both"/>
    </w:pPr>
    <w:rPr>
      <w:rFonts w:ascii="Arial" w:eastAsia="Times New Roman" w:hAnsi="Arial" w:cs="Arial"/>
      <w:bCs/>
      <w:i/>
      <w:kern w:val="0"/>
      <w:sz w:val="20"/>
      <w:szCs w:val="20"/>
      <w:lang w:eastAsia="pl-PL"/>
      <w14:ligatures w14:val="none"/>
    </w:rPr>
  </w:style>
  <w:style w:type="character" w:customStyle="1" w:styleId="punktyZnak">
    <w:name w:val="punkty Znak"/>
    <w:basedOn w:val="AkapitzlistZnak"/>
    <w:link w:val="punkty"/>
    <w:rsid w:val="00B35562"/>
    <w:rPr>
      <w:rFonts w:ascii="Arial" w:eastAsia="Times New Roman" w:hAnsi="Arial" w:cs="Arial"/>
      <w:bCs/>
      <w:i/>
      <w:kern w:val="0"/>
      <w:sz w:val="20"/>
      <w:szCs w:val="20"/>
      <w:lang w:eastAsia="pl-PL"/>
      <w14:ligatures w14:val="none"/>
    </w:rPr>
  </w:style>
  <w:style w:type="paragraph" w:customStyle="1" w:styleId="nagowek">
    <w:name w:val="nagłowek"/>
    <w:basedOn w:val="Akapitzlist"/>
    <w:link w:val="nagowekZnak"/>
    <w:qFormat/>
    <w:rsid w:val="00B35562"/>
    <w:pPr>
      <w:keepNext/>
      <w:keepLines/>
      <w:pageBreakBefore/>
      <w:numPr>
        <w:numId w:val="15"/>
      </w:numPr>
      <w:spacing w:before="240" w:after="120" w:line="240" w:lineRule="auto"/>
      <w:jc w:val="both"/>
      <w:outlineLvl w:val="0"/>
    </w:pPr>
    <w:rPr>
      <w:rFonts w:ascii="Arial" w:eastAsia="Times New Roman" w:hAnsi="Arial" w:cs="Arial"/>
      <w:b/>
      <w:bCs/>
      <w:caps/>
      <w:kern w:val="0"/>
      <w:lang w:eastAsia="pl-PL"/>
      <w14:ligatures w14:val="none"/>
    </w:rPr>
  </w:style>
  <w:style w:type="character" w:customStyle="1" w:styleId="nagowekZnak">
    <w:name w:val="nagłowek Znak"/>
    <w:basedOn w:val="AkapitzlistZnak"/>
    <w:link w:val="nagowek"/>
    <w:rsid w:val="00B35562"/>
    <w:rPr>
      <w:rFonts w:ascii="Arial" w:eastAsia="Times New Roman" w:hAnsi="Arial" w:cs="Arial"/>
      <w:b/>
      <w:bCs/>
      <w:caps/>
      <w:kern w:val="0"/>
      <w:lang w:eastAsia="pl-PL"/>
      <w14:ligatures w14:val="none"/>
    </w:rPr>
  </w:style>
  <w:style w:type="paragraph" w:customStyle="1" w:styleId="normalny0">
    <w:name w:val="normalny"/>
    <w:basedOn w:val="Normalny"/>
    <w:link w:val="normalnyZnak"/>
    <w:autoRedefine/>
    <w:qFormat/>
    <w:rsid w:val="000167D6"/>
    <w:pPr>
      <w:spacing w:after="0" w:line="360" w:lineRule="auto"/>
      <w:jc w:val="both"/>
    </w:pPr>
    <w:rPr>
      <w:rFonts w:ascii="Arial" w:eastAsia="Times New Roman" w:hAnsi="Arial" w:cs="Arial"/>
      <w:kern w:val="0"/>
      <w:sz w:val="20"/>
      <w:szCs w:val="20"/>
      <w:lang w:eastAsia="pl-PL"/>
      <w14:ligatures w14:val="none"/>
    </w:rPr>
  </w:style>
  <w:style w:type="character" w:customStyle="1" w:styleId="normalnyZnak">
    <w:name w:val="normalny Znak"/>
    <w:basedOn w:val="Domylnaczcionkaakapitu"/>
    <w:link w:val="normalny0"/>
    <w:rsid w:val="000167D6"/>
    <w:rPr>
      <w:rFonts w:ascii="Arial" w:eastAsia="Times New Roman" w:hAnsi="Arial" w:cs="Arial"/>
      <w:kern w:val="0"/>
      <w:sz w:val="20"/>
      <w:szCs w:val="20"/>
      <w:lang w:eastAsia="pl-PL"/>
      <w14:ligatures w14:val="none"/>
    </w:rPr>
  </w:style>
  <w:style w:type="paragraph" w:styleId="Tekstprzypisudolnego">
    <w:name w:val="footnote text"/>
    <w:basedOn w:val="Normalny"/>
    <w:link w:val="TekstprzypisudolnegoZnak"/>
    <w:uiPriority w:val="99"/>
    <w:semiHidden/>
    <w:unhideWhenUsed/>
    <w:rsid w:val="008650AA"/>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8650AA"/>
    <w:rPr>
      <w:sz w:val="20"/>
      <w:szCs w:val="20"/>
    </w:rPr>
  </w:style>
  <w:style w:type="character" w:styleId="Odwoanieprzypisudolnego">
    <w:name w:val="footnote reference"/>
    <w:basedOn w:val="Domylnaczcionkaakapitu"/>
    <w:uiPriority w:val="99"/>
    <w:semiHidden/>
    <w:unhideWhenUsed/>
    <w:rsid w:val="008650AA"/>
    <w:rPr>
      <w:vertAlign w:val="superscript"/>
    </w:rPr>
  </w:style>
  <w:style w:type="paragraph" w:styleId="Bibliografia">
    <w:name w:val="Bibliography"/>
    <w:basedOn w:val="Normalny"/>
    <w:next w:val="Normalny"/>
    <w:uiPriority w:val="37"/>
    <w:unhideWhenUsed/>
    <w:rsid w:val="00D7036D"/>
  </w:style>
  <w:style w:type="paragraph" w:customStyle="1" w:styleId="tekst">
    <w:name w:val="tekst"/>
    <w:basedOn w:val="Normalny"/>
    <w:link w:val="tekstZnak"/>
    <w:autoRedefine/>
    <w:qFormat/>
    <w:rsid w:val="003B40CF"/>
    <w:pPr>
      <w:spacing w:after="0" w:line="360" w:lineRule="auto"/>
      <w:ind w:firstLine="709"/>
      <w:jc w:val="both"/>
    </w:pPr>
    <w:rPr>
      <w:rFonts w:ascii="Arial" w:eastAsia="Times New Roman" w:hAnsi="Arial" w:cs="Times New Roman"/>
      <w:kern w:val="0"/>
      <w:sz w:val="20"/>
      <w:szCs w:val="22"/>
      <w:lang w:eastAsia="pl-PL"/>
      <w14:ligatures w14:val="none"/>
    </w:rPr>
  </w:style>
  <w:style w:type="character" w:customStyle="1" w:styleId="tekstZnak">
    <w:name w:val="tekst Znak"/>
    <w:basedOn w:val="Domylnaczcionkaakapitu"/>
    <w:link w:val="tekst"/>
    <w:rsid w:val="003B40CF"/>
    <w:rPr>
      <w:rFonts w:ascii="Arial" w:eastAsia="Times New Roman" w:hAnsi="Arial" w:cs="Times New Roman"/>
      <w:kern w:val="0"/>
      <w:sz w:val="20"/>
      <w:szCs w:val="22"/>
      <w:lang w:eastAsia="pl-PL"/>
      <w14:ligatures w14:val="none"/>
    </w:rPr>
  </w:style>
  <w:style w:type="table" w:styleId="Tabela-Siatka">
    <w:name w:val="Table Grid"/>
    <w:basedOn w:val="Standardowy"/>
    <w:uiPriority w:val="39"/>
    <w:rsid w:val="003B2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1">
    <w:name w:val="Plain Table 1"/>
    <w:basedOn w:val="Standardowy"/>
    <w:uiPriority w:val="41"/>
    <w:rsid w:val="003B2D3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ytyu">
    <w:name w:val="tytyuł"/>
    <w:basedOn w:val="Normalny"/>
    <w:link w:val="tytyuZnak"/>
    <w:qFormat/>
    <w:rsid w:val="003B2D37"/>
    <w:pPr>
      <w:spacing w:after="0" w:line="240" w:lineRule="auto"/>
      <w:ind w:left="-614"/>
    </w:pPr>
    <w:rPr>
      <w:rFonts w:ascii="Arial" w:eastAsia="Times New Roman" w:hAnsi="Arial" w:cs="Arial"/>
      <w:kern w:val="0"/>
      <w:sz w:val="20"/>
      <w:szCs w:val="20"/>
      <w:lang w:eastAsia="pl-PL"/>
      <w14:ligatures w14:val="none"/>
    </w:rPr>
  </w:style>
  <w:style w:type="character" w:customStyle="1" w:styleId="tytyuZnak">
    <w:name w:val="tytyuł Znak"/>
    <w:basedOn w:val="Domylnaczcionkaakapitu"/>
    <w:link w:val="tytyu"/>
    <w:rsid w:val="003B2D37"/>
    <w:rPr>
      <w:rFonts w:ascii="Arial" w:eastAsia="Times New Roman" w:hAnsi="Arial" w:cs="Arial"/>
      <w:kern w:val="0"/>
      <w:sz w:val="20"/>
      <w:szCs w:val="20"/>
      <w:lang w:eastAsia="pl-PL"/>
      <w14:ligatures w14:val="none"/>
    </w:rPr>
  </w:style>
  <w:style w:type="paragraph" w:customStyle="1" w:styleId="oznaczenia">
    <w:name w:val="oznaczenia"/>
    <w:basedOn w:val="Normalny"/>
    <w:link w:val="oznaczeniaZnak"/>
    <w:qFormat/>
    <w:rsid w:val="0056772A"/>
    <w:pPr>
      <w:tabs>
        <w:tab w:val="left" w:pos="709"/>
        <w:tab w:val="left" w:pos="1134"/>
      </w:tabs>
      <w:spacing w:after="0" w:line="360" w:lineRule="auto"/>
      <w:ind w:left="360"/>
    </w:pPr>
    <w:rPr>
      <w:rFonts w:ascii="Arial" w:eastAsia="Times New Roman" w:hAnsi="Arial" w:cs="Times New Roman"/>
      <w:kern w:val="0"/>
      <w:sz w:val="20"/>
      <w:szCs w:val="22"/>
      <w:lang w:eastAsia="pl-PL"/>
      <w14:ligatures w14:val="none"/>
    </w:rPr>
  </w:style>
  <w:style w:type="character" w:customStyle="1" w:styleId="oznaczeniaZnak">
    <w:name w:val="oznaczenia Znak"/>
    <w:basedOn w:val="Domylnaczcionkaakapitu"/>
    <w:link w:val="oznaczenia"/>
    <w:rsid w:val="0056772A"/>
    <w:rPr>
      <w:rFonts w:ascii="Arial" w:eastAsia="Times New Roman" w:hAnsi="Arial" w:cs="Times New Roman"/>
      <w:kern w:val="0"/>
      <w:sz w:val="20"/>
      <w:szCs w:val="22"/>
      <w:lang w:eastAsia="pl-PL"/>
      <w14:ligatures w14:val="none"/>
    </w:rPr>
  </w:style>
  <w:style w:type="paragraph" w:customStyle="1" w:styleId="Styl5">
    <w:name w:val="Styl5"/>
    <w:basedOn w:val="oznaczenia"/>
    <w:qFormat/>
    <w:rsid w:val="00DF7C5E"/>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7467">
      <w:bodyDiv w:val="1"/>
      <w:marLeft w:val="0"/>
      <w:marRight w:val="0"/>
      <w:marTop w:val="0"/>
      <w:marBottom w:val="0"/>
      <w:divBdr>
        <w:top w:val="none" w:sz="0" w:space="0" w:color="auto"/>
        <w:left w:val="none" w:sz="0" w:space="0" w:color="auto"/>
        <w:bottom w:val="none" w:sz="0" w:space="0" w:color="auto"/>
        <w:right w:val="none" w:sz="0" w:space="0" w:color="auto"/>
      </w:divBdr>
    </w:div>
    <w:div w:id="37702110">
      <w:bodyDiv w:val="1"/>
      <w:marLeft w:val="0"/>
      <w:marRight w:val="0"/>
      <w:marTop w:val="0"/>
      <w:marBottom w:val="0"/>
      <w:divBdr>
        <w:top w:val="none" w:sz="0" w:space="0" w:color="auto"/>
        <w:left w:val="none" w:sz="0" w:space="0" w:color="auto"/>
        <w:bottom w:val="none" w:sz="0" w:space="0" w:color="auto"/>
        <w:right w:val="none" w:sz="0" w:space="0" w:color="auto"/>
      </w:divBdr>
    </w:div>
    <w:div w:id="68579824">
      <w:bodyDiv w:val="1"/>
      <w:marLeft w:val="0"/>
      <w:marRight w:val="0"/>
      <w:marTop w:val="0"/>
      <w:marBottom w:val="0"/>
      <w:divBdr>
        <w:top w:val="none" w:sz="0" w:space="0" w:color="auto"/>
        <w:left w:val="none" w:sz="0" w:space="0" w:color="auto"/>
        <w:bottom w:val="none" w:sz="0" w:space="0" w:color="auto"/>
        <w:right w:val="none" w:sz="0" w:space="0" w:color="auto"/>
      </w:divBdr>
    </w:div>
    <w:div w:id="71006001">
      <w:bodyDiv w:val="1"/>
      <w:marLeft w:val="0"/>
      <w:marRight w:val="0"/>
      <w:marTop w:val="0"/>
      <w:marBottom w:val="0"/>
      <w:divBdr>
        <w:top w:val="none" w:sz="0" w:space="0" w:color="auto"/>
        <w:left w:val="none" w:sz="0" w:space="0" w:color="auto"/>
        <w:bottom w:val="none" w:sz="0" w:space="0" w:color="auto"/>
        <w:right w:val="none" w:sz="0" w:space="0" w:color="auto"/>
      </w:divBdr>
    </w:div>
    <w:div w:id="92629464">
      <w:bodyDiv w:val="1"/>
      <w:marLeft w:val="0"/>
      <w:marRight w:val="0"/>
      <w:marTop w:val="0"/>
      <w:marBottom w:val="0"/>
      <w:divBdr>
        <w:top w:val="none" w:sz="0" w:space="0" w:color="auto"/>
        <w:left w:val="none" w:sz="0" w:space="0" w:color="auto"/>
        <w:bottom w:val="none" w:sz="0" w:space="0" w:color="auto"/>
        <w:right w:val="none" w:sz="0" w:space="0" w:color="auto"/>
      </w:divBdr>
    </w:div>
    <w:div w:id="149098703">
      <w:bodyDiv w:val="1"/>
      <w:marLeft w:val="0"/>
      <w:marRight w:val="0"/>
      <w:marTop w:val="0"/>
      <w:marBottom w:val="0"/>
      <w:divBdr>
        <w:top w:val="none" w:sz="0" w:space="0" w:color="auto"/>
        <w:left w:val="none" w:sz="0" w:space="0" w:color="auto"/>
        <w:bottom w:val="none" w:sz="0" w:space="0" w:color="auto"/>
        <w:right w:val="none" w:sz="0" w:space="0" w:color="auto"/>
      </w:divBdr>
    </w:div>
    <w:div w:id="171456656">
      <w:bodyDiv w:val="1"/>
      <w:marLeft w:val="0"/>
      <w:marRight w:val="0"/>
      <w:marTop w:val="0"/>
      <w:marBottom w:val="0"/>
      <w:divBdr>
        <w:top w:val="none" w:sz="0" w:space="0" w:color="auto"/>
        <w:left w:val="none" w:sz="0" w:space="0" w:color="auto"/>
        <w:bottom w:val="none" w:sz="0" w:space="0" w:color="auto"/>
        <w:right w:val="none" w:sz="0" w:space="0" w:color="auto"/>
      </w:divBdr>
    </w:div>
    <w:div w:id="172646117">
      <w:bodyDiv w:val="1"/>
      <w:marLeft w:val="0"/>
      <w:marRight w:val="0"/>
      <w:marTop w:val="0"/>
      <w:marBottom w:val="0"/>
      <w:divBdr>
        <w:top w:val="none" w:sz="0" w:space="0" w:color="auto"/>
        <w:left w:val="none" w:sz="0" w:space="0" w:color="auto"/>
        <w:bottom w:val="none" w:sz="0" w:space="0" w:color="auto"/>
        <w:right w:val="none" w:sz="0" w:space="0" w:color="auto"/>
      </w:divBdr>
    </w:div>
    <w:div w:id="190607176">
      <w:bodyDiv w:val="1"/>
      <w:marLeft w:val="0"/>
      <w:marRight w:val="0"/>
      <w:marTop w:val="0"/>
      <w:marBottom w:val="0"/>
      <w:divBdr>
        <w:top w:val="none" w:sz="0" w:space="0" w:color="auto"/>
        <w:left w:val="none" w:sz="0" w:space="0" w:color="auto"/>
        <w:bottom w:val="none" w:sz="0" w:space="0" w:color="auto"/>
        <w:right w:val="none" w:sz="0" w:space="0" w:color="auto"/>
      </w:divBdr>
    </w:div>
    <w:div w:id="217402590">
      <w:bodyDiv w:val="1"/>
      <w:marLeft w:val="0"/>
      <w:marRight w:val="0"/>
      <w:marTop w:val="0"/>
      <w:marBottom w:val="0"/>
      <w:divBdr>
        <w:top w:val="none" w:sz="0" w:space="0" w:color="auto"/>
        <w:left w:val="none" w:sz="0" w:space="0" w:color="auto"/>
        <w:bottom w:val="none" w:sz="0" w:space="0" w:color="auto"/>
        <w:right w:val="none" w:sz="0" w:space="0" w:color="auto"/>
      </w:divBdr>
    </w:div>
    <w:div w:id="238179881">
      <w:bodyDiv w:val="1"/>
      <w:marLeft w:val="0"/>
      <w:marRight w:val="0"/>
      <w:marTop w:val="0"/>
      <w:marBottom w:val="0"/>
      <w:divBdr>
        <w:top w:val="none" w:sz="0" w:space="0" w:color="auto"/>
        <w:left w:val="none" w:sz="0" w:space="0" w:color="auto"/>
        <w:bottom w:val="none" w:sz="0" w:space="0" w:color="auto"/>
        <w:right w:val="none" w:sz="0" w:space="0" w:color="auto"/>
      </w:divBdr>
    </w:div>
    <w:div w:id="261455022">
      <w:bodyDiv w:val="1"/>
      <w:marLeft w:val="0"/>
      <w:marRight w:val="0"/>
      <w:marTop w:val="0"/>
      <w:marBottom w:val="0"/>
      <w:divBdr>
        <w:top w:val="none" w:sz="0" w:space="0" w:color="auto"/>
        <w:left w:val="none" w:sz="0" w:space="0" w:color="auto"/>
        <w:bottom w:val="none" w:sz="0" w:space="0" w:color="auto"/>
        <w:right w:val="none" w:sz="0" w:space="0" w:color="auto"/>
      </w:divBdr>
    </w:div>
    <w:div w:id="269361770">
      <w:bodyDiv w:val="1"/>
      <w:marLeft w:val="0"/>
      <w:marRight w:val="0"/>
      <w:marTop w:val="0"/>
      <w:marBottom w:val="0"/>
      <w:divBdr>
        <w:top w:val="none" w:sz="0" w:space="0" w:color="auto"/>
        <w:left w:val="none" w:sz="0" w:space="0" w:color="auto"/>
        <w:bottom w:val="none" w:sz="0" w:space="0" w:color="auto"/>
        <w:right w:val="none" w:sz="0" w:space="0" w:color="auto"/>
      </w:divBdr>
    </w:div>
    <w:div w:id="281886205">
      <w:bodyDiv w:val="1"/>
      <w:marLeft w:val="0"/>
      <w:marRight w:val="0"/>
      <w:marTop w:val="0"/>
      <w:marBottom w:val="0"/>
      <w:divBdr>
        <w:top w:val="none" w:sz="0" w:space="0" w:color="auto"/>
        <w:left w:val="none" w:sz="0" w:space="0" w:color="auto"/>
        <w:bottom w:val="none" w:sz="0" w:space="0" w:color="auto"/>
        <w:right w:val="none" w:sz="0" w:space="0" w:color="auto"/>
      </w:divBdr>
    </w:div>
    <w:div w:id="286393725">
      <w:bodyDiv w:val="1"/>
      <w:marLeft w:val="0"/>
      <w:marRight w:val="0"/>
      <w:marTop w:val="0"/>
      <w:marBottom w:val="0"/>
      <w:divBdr>
        <w:top w:val="none" w:sz="0" w:space="0" w:color="auto"/>
        <w:left w:val="none" w:sz="0" w:space="0" w:color="auto"/>
        <w:bottom w:val="none" w:sz="0" w:space="0" w:color="auto"/>
        <w:right w:val="none" w:sz="0" w:space="0" w:color="auto"/>
      </w:divBdr>
    </w:div>
    <w:div w:id="349376462">
      <w:bodyDiv w:val="1"/>
      <w:marLeft w:val="0"/>
      <w:marRight w:val="0"/>
      <w:marTop w:val="0"/>
      <w:marBottom w:val="0"/>
      <w:divBdr>
        <w:top w:val="none" w:sz="0" w:space="0" w:color="auto"/>
        <w:left w:val="none" w:sz="0" w:space="0" w:color="auto"/>
        <w:bottom w:val="none" w:sz="0" w:space="0" w:color="auto"/>
        <w:right w:val="none" w:sz="0" w:space="0" w:color="auto"/>
      </w:divBdr>
    </w:div>
    <w:div w:id="359555129">
      <w:bodyDiv w:val="1"/>
      <w:marLeft w:val="0"/>
      <w:marRight w:val="0"/>
      <w:marTop w:val="0"/>
      <w:marBottom w:val="0"/>
      <w:divBdr>
        <w:top w:val="none" w:sz="0" w:space="0" w:color="auto"/>
        <w:left w:val="none" w:sz="0" w:space="0" w:color="auto"/>
        <w:bottom w:val="none" w:sz="0" w:space="0" w:color="auto"/>
        <w:right w:val="none" w:sz="0" w:space="0" w:color="auto"/>
      </w:divBdr>
    </w:div>
    <w:div w:id="380834387">
      <w:bodyDiv w:val="1"/>
      <w:marLeft w:val="0"/>
      <w:marRight w:val="0"/>
      <w:marTop w:val="0"/>
      <w:marBottom w:val="0"/>
      <w:divBdr>
        <w:top w:val="none" w:sz="0" w:space="0" w:color="auto"/>
        <w:left w:val="none" w:sz="0" w:space="0" w:color="auto"/>
        <w:bottom w:val="none" w:sz="0" w:space="0" w:color="auto"/>
        <w:right w:val="none" w:sz="0" w:space="0" w:color="auto"/>
      </w:divBdr>
    </w:div>
    <w:div w:id="381371341">
      <w:bodyDiv w:val="1"/>
      <w:marLeft w:val="0"/>
      <w:marRight w:val="0"/>
      <w:marTop w:val="0"/>
      <w:marBottom w:val="0"/>
      <w:divBdr>
        <w:top w:val="none" w:sz="0" w:space="0" w:color="auto"/>
        <w:left w:val="none" w:sz="0" w:space="0" w:color="auto"/>
        <w:bottom w:val="none" w:sz="0" w:space="0" w:color="auto"/>
        <w:right w:val="none" w:sz="0" w:space="0" w:color="auto"/>
      </w:divBdr>
    </w:div>
    <w:div w:id="396633852">
      <w:bodyDiv w:val="1"/>
      <w:marLeft w:val="0"/>
      <w:marRight w:val="0"/>
      <w:marTop w:val="0"/>
      <w:marBottom w:val="0"/>
      <w:divBdr>
        <w:top w:val="none" w:sz="0" w:space="0" w:color="auto"/>
        <w:left w:val="none" w:sz="0" w:space="0" w:color="auto"/>
        <w:bottom w:val="none" w:sz="0" w:space="0" w:color="auto"/>
        <w:right w:val="none" w:sz="0" w:space="0" w:color="auto"/>
      </w:divBdr>
    </w:div>
    <w:div w:id="457383606">
      <w:bodyDiv w:val="1"/>
      <w:marLeft w:val="0"/>
      <w:marRight w:val="0"/>
      <w:marTop w:val="0"/>
      <w:marBottom w:val="0"/>
      <w:divBdr>
        <w:top w:val="none" w:sz="0" w:space="0" w:color="auto"/>
        <w:left w:val="none" w:sz="0" w:space="0" w:color="auto"/>
        <w:bottom w:val="none" w:sz="0" w:space="0" w:color="auto"/>
        <w:right w:val="none" w:sz="0" w:space="0" w:color="auto"/>
      </w:divBdr>
    </w:div>
    <w:div w:id="574898508">
      <w:bodyDiv w:val="1"/>
      <w:marLeft w:val="0"/>
      <w:marRight w:val="0"/>
      <w:marTop w:val="0"/>
      <w:marBottom w:val="0"/>
      <w:divBdr>
        <w:top w:val="none" w:sz="0" w:space="0" w:color="auto"/>
        <w:left w:val="none" w:sz="0" w:space="0" w:color="auto"/>
        <w:bottom w:val="none" w:sz="0" w:space="0" w:color="auto"/>
        <w:right w:val="none" w:sz="0" w:space="0" w:color="auto"/>
      </w:divBdr>
    </w:div>
    <w:div w:id="579758432">
      <w:bodyDiv w:val="1"/>
      <w:marLeft w:val="0"/>
      <w:marRight w:val="0"/>
      <w:marTop w:val="0"/>
      <w:marBottom w:val="0"/>
      <w:divBdr>
        <w:top w:val="none" w:sz="0" w:space="0" w:color="auto"/>
        <w:left w:val="none" w:sz="0" w:space="0" w:color="auto"/>
        <w:bottom w:val="none" w:sz="0" w:space="0" w:color="auto"/>
        <w:right w:val="none" w:sz="0" w:space="0" w:color="auto"/>
      </w:divBdr>
    </w:div>
    <w:div w:id="581446975">
      <w:bodyDiv w:val="1"/>
      <w:marLeft w:val="0"/>
      <w:marRight w:val="0"/>
      <w:marTop w:val="0"/>
      <w:marBottom w:val="0"/>
      <w:divBdr>
        <w:top w:val="none" w:sz="0" w:space="0" w:color="auto"/>
        <w:left w:val="none" w:sz="0" w:space="0" w:color="auto"/>
        <w:bottom w:val="none" w:sz="0" w:space="0" w:color="auto"/>
        <w:right w:val="none" w:sz="0" w:space="0" w:color="auto"/>
      </w:divBdr>
    </w:div>
    <w:div w:id="598025099">
      <w:bodyDiv w:val="1"/>
      <w:marLeft w:val="0"/>
      <w:marRight w:val="0"/>
      <w:marTop w:val="0"/>
      <w:marBottom w:val="0"/>
      <w:divBdr>
        <w:top w:val="none" w:sz="0" w:space="0" w:color="auto"/>
        <w:left w:val="none" w:sz="0" w:space="0" w:color="auto"/>
        <w:bottom w:val="none" w:sz="0" w:space="0" w:color="auto"/>
        <w:right w:val="none" w:sz="0" w:space="0" w:color="auto"/>
      </w:divBdr>
    </w:div>
    <w:div w:id="604969634">
      <w:bodyDiv w:val="1"/>
      <w:marLeft w:val="0"/>
      <w:marRight w:val="0"/>
      <w:marTop w:val="0"/>
      <w:marBottom w:val="0"/>
      <w:divBdr>
        <w:top w:val="none" w:sz="0" w:space="0" w:color="auto"/>
        <w:left w:val="none" w:sz="0" w:space="0" w:color="auto"/>
        <w:bottom w:val="none" w:sz="0" w:space="0" w:color="auto"/>
        <w:right w:val="none" w:sz="0" w:space="0" w:color="auto"/>
      </w:divBdr>
    </w:div>
    <w:div w:id="613024195">
      <w:bodyDiv w:val="1"/>
      <w:marLeft w:val="0"/>
      <w:marRight w:val="0"/>
      <w:marTop w:val="0"/>
      <w:marBottom w:val="0"/>
      <w:divBdr>
        <w:top w:val="none" w:sz="0" w:space="0" w:color="auto"/>
        <w:left w:val="none" w:sz="0" w:space="0" w:color="auto"/>
        <w:bottom w:val="none" w:sz="0" w:space="0" w:color="auto"/>
        <w:right w:val="none" w:sz="0" w:space="0" w:color="auto"/>
      </w:divBdr>
    </w:div>
    <w:div w:id="613638953">
      <w:bodyDiv w:val="1"/>
      <w:marLeft w:val="0"/>
      <w:marRight w:val="0"/>
      <w:marTop w:val="0"/>
      <w:marBottom w:val="0"/>
      <w:divBdr>
        <w:top w:val="none" w:sz="0" w:space="0" w:color="auto"/>
        <w:left w:val="none" w:sz="0" w:space="0" w:color="auto"/>
        <w:bottom w:val="none" w:sz="0" w:space="0" w:color="auto"/>
        <w:right w:val="none" w:sz="0" w:space="0" w:color="auto"/>
      </w:divBdr>
    </w:div>
    <w:div w:id="639307438">
      <w:bodyDiv w:val="1"/>
      <w:marLeft w:val="0"/>
      <w:marRight w:val="0"/>
      <w:marTop w:val="0"/>
      <w:marBottom w:val="0"/>
      <w:divBdr>
        <w:top w:val="none" w:sz="0" w:space="0" w:color="auto"/>
        <w:left w:val="none" w:sz="0" w:space="0" w:color="auto"/>
        <w:bottom w:val="none" w:sz="0" w:space="0" w:color="auto"/>
        <w:right w:val="none" w:sz="0" w:space="0" w:color="auto"/>
      </w:divBdr>
    </w:div>
    <w:div w:id="652680393">
      <w:bodyDiv w:val="1"/>
      <w:marLeft w:val="0"/>
      <w:marRight w:val="0"/>
      <w:marTop w:val="0"/>
      <w:marBottom w:val="0"/>
      <w:divBdr>
        <w:top w:val="none" w:sz="0" w:space="0" w:color="auto"/>
        <w:left w:val="none" w:sz="0" w:space="0" w:color="auto"/>
        <w:bottom w:val="none" w:sz="0" w:space="0" w:color="auto"/>
        <w:right w:val="none" w:sz="0" w:space="0" w:color="auto"/>
      </w:divBdr>
    </w:div>
    <w:div w:id="671179991">
      <w:bodyDiv w:val="1"/>
      <w:marLeft w:val="0"/>
      <w:marRight w:val="0"/>
      <w:marTop w:val="0"/>
      <w:marBottom w:val="0"/>
      <w:divBdr>
        <w:top w:val="none" w:sz="0" w:space="0" w:color="auto"/>
        <w:left w:val="none" w:sz="0" w:space="0" w:color="auto"/>
        <w:bottom w:val="none" w:sz="0" w:space="0" w:color="auto"/>
        <w:right w:val="none" w:sz="0" w:space="0" w:color="auto"/>
      </w:divBdr>
    </w:div>
    <w:div w:id="682243528">
      <w:bodyDiv w:val="1"/>
      <w:marLeft w:val="0"/>
      <w:marRight w:val="0"/>
      <w:marTop w:val="0"/>
      <w:marBottom w:val="0"/>
      <w:divBdr>
        <w:top w:val="none" w:sz="0" w:space="0" w:color="auto"/>
        <w:left w:val="none" w:sz="0" w:space="0" w:color="auto"/>
        <w:bottom w:val="none" w:sz="0" w:space="0" w:color="auto"/>
        <w:right w:val="none" w:sz="0" w:space="0" w:color="auto"/>
      </w:divBdr>
    </w:div>
    <w:div w:id="684792185">
      <w:bodyDiv w:val="1"/>
      <w:marLeft w:val="0"/>
      <w:marRight w:val="0"/>
      <w:marTop w:val="0"/>
      <w:marBottom w:val="0"/>
      <w:divBdr>
        <w:top w:val="none" w:sz="0" w:space="0" w:color="auto"/>
        <w:left w:val="none" w:sz="0" w:space="0" w:color="auto"/>
        <w:bottom w:val="none" w:sz="0" w:space="0" w:color="auto"/>
        <w:right w:val="none" w:sz="0" w:space="0" w:color="auto"/>
      </w:divBdr>
    </w:div>
    <w:div w:id="684944782">
      <w:bodyDiv w:val="1"/>
      <w:marLeft w:val="0"/>
      <w:marRight w:val="0"/>
      <w:marTop w:val="0"/>
      <w:marBottom w:val="0"/>
      <w:divBdr>
        <w:top w:val="none" w:sz="0" w:space="0" w:color="auto"/>
        <w:left w:val="none" w:sz="0" w:space="0" w:color="auto"/>
        <w:bottom w:val="none" w:sz="0" w:space="0" w:color="auto"/>
        <w:right w:val="none" w:sz="0" w:space="0" w:color="auto"/>
      </w:divBdr>
    </w:div>
    <w:div w:id="755059865">
      <w:bodyDiv w:val="1"/>
      <w:marLeft w:val="0"/>
      <w:marRight w:val="0"/>
      <w:marTop w:val="0"/>
      <w:marBottom w:val="0"/>
      <w:divBdr>
        <w:top w:val="none" w:sz="0" w:space="0" w:color="auto"/>
        <w:left w:val="none" w:sz="0" w:space="0" w:color="auto"/>
        <w:bottom w:val="none" w:sz="0" w:space="0" w:color="auto"/>
        <w:right w:val="none" w:sz="0" w:space="0" w:color="auto"/>
      </w:divBdr>
    </w:div>
    <w:div w:id="777799601">
      <w:bodyDiv w:val="1"/>
      <w:marLeft w:val="0"/>
      <w:marRight w:val="0"/>
      <w:marTop w:val="0"/>
      <w:marBottom w:val="0"/>
      <w:divBdr>
        <w:top w:val="none" w:sz="0" w:space="0" w:color="auto"/>
        <w:left w:val="none" w:sz="0" w:space="0" w:color="auto"/>
        <w:bottom w:val="none" w:sz="0" w:space="0" w:color="auto"/>
        <w:right w:val="none" w:sz="0" w:space="0" w:color="auto"/>
      </w:divBdr>
    </w:div>
    <w:div w:id="785075870">
      <w:bodyDiv w:val="1"/>
      <w:marLeft w:val="0"/>
      <w:marRight w:val="0"/>
      <w:marTop w:val="0"/>
      <w:marBottom w:val="0"/>
      <w:divBdr>
        <w:top w:val="none" w:sz="0" w:space="0" w:color="auto"/>
        <w:left w:val="none" w:sz="0" w:space="0" w:color="auto"/>
        <w:bottom w:val="none" w:sz="0" w:space="0" w:color="auto"/>
        <w:right w:val="none" w:sz="0" w:space="0" w:color="auto"/>
      </w:divBdr>
    </w:div>
    <w:div w:id="814298452">
      <w:bodyDiv w:val="1"/>
      <w:marLeft w:val="0"/>
      <w:marRight w:val="0"/>
      <w:marTop w:val="0"/>
      <w:marBottom w:val="0"/>
      <w:divBdr>
        <w:top w:val="none" w:sz="0" w:space="0" w:color="auto"/>
        <w:left w:val="none" w:sz="0" w:space="0" w:color="auto"/>
        <w:bottom w:val="none" w:sz="0" w:space="0" w:color="auto"/>
        <w:right w:val="none" w:sz="0" w:space="0" w:color="auto"/>
      </w:divBdr>
    </w:div>
    <w:div w:id="834220230">
      <w:bodyDiv w:val="1"/>
      <w:marLeft w:val="0"/>
      <w:marRight w:val="0"/>
      <w:marTop w:val="0"/>
      <w:marBottom w:val="0"/>
      <w:divBdr>
        <w:top w:val="none" w:sz="0" w:space="0" w:color="auto"/>
        <w:left w:val="none" w:sz="0" w:space="0" w:color="auto"/>
        <w:bottom w:val="none" w:sz="0" w:space="0" w:color="auto"/>
        <w:right w:val="none" w:sz="0" w:space="0" w:color="auto"/>
      </w:divBdr>
    </w:div>
    <w:div w:id="834879303">
      <w:bodyDiv w:val="1"/>
      <w:marLeft w:val="0"/>
      <w:marRight w:val="0"/>
      <w:marTop w:val="0"/>
      <w:marBottom w:val="0"/>
      <w:divBdr>
        <w:top w:val="none" w:sz="0" w:space="0" w:color="auto"/>
        <w:left w:val="none" w:sz="0" w:space="0" w:color="auto"/>
        <w:bottom w:val="none" w:sz="0" w:space="0" w:color="auto"/>
        <w:right w:val="none" w:sz="0" w:space="0" w:color="auto"/>
      </w:divBdr>
    </w:div>
    <w:div w:id="867648124">
      <w:bodyDiv w:val="1"/>
      <w:marLeft w:val="0"/>
      <w:marRight w:val="0"/>
      <w:marTop w:val="0"/>
      <w:marBottom w:val="0"/>
      <w:divBdr>
        <w:top w:val="none" w:sz="0" w:space="0" w:color="auto"/>
        <w:left w:val="none" w:sz="0" w:space="0" w:color="auto"/>
        <w:bottom w:val="none" w:sz="0" w:space="0" w:color="auto"/>
        <w:right w:val="none" w:sz="0" w:space="0" w:color="auto"/>
      </w:divBdr>
    </w:div>
    <w:div w:id="880871158">
      <w:bodyDiv w:val="1"/>
      <w:marLeft w:val="0"/>
      <w:marRight w:val="0"/>
      <w:marTop w:val="0"/>
      <w:marBottom w:val="0"/>
      <w:divBdr>
        <w:top w:val="none" w:sz="0" w:space="0" w:color="auto"/>
        <w:left w:val="none" w:sz="0" w:space="0" w:color="auto"/>
        <w:bottom w:val="none" w:sz="0" w:space="0" w:color="auto"/>
        <w:right w:val="none" w:sz="0" w:space="0" w:color="auto"/>
      </w:divBdr>
    </w:div>
    <w:div w:id="928462995">
      <w:bodyDiv w:val="1"/>
      <w:marLeft w:val="0"/>
      <w:marRight w:val="0"/>
      <w:marTop w:val="0"/>
      <w:marBottom w:val="0"/>
      <w:divBdr>
        <w:top w:val="none" w:sz="0" w:space="0" w:color="auto"/>
        <w:left w:val="none" w:sz="0" w:space="0" w:color="auto"/>
        <w:bottom w:val="none" w:sz="0" w:space="0" w:color="auto"/>
        <w:right w:val="none" w:sz="0" w:space="0" w:color="auto"/>
      </w:divBdr>
    </w:div>
    <w:div w:id="960376679">
      <w:bodyDiv w:val="1"/>
      <w:marLeft w:val="0"/>
      <w:marRight w:val="0"/>
      <w:marTop w:val="0"/>
      <w:marBottom w:val="0"/>
      <w:divBdr>
        <w:top w:val="none" w:sz="0" w:space="0" w:color="auto"/>
        <w:left w:val="none" w:sz="0" w:space="0" w:color="auto"/>
        <w:bottom w:val="none" w:sz="0" w:space="0" w:color="auto"/>
        <w:right w:val="none" w:sz="0" w:space="0" w:color="auto"/>
      </w:divBdr>
    </w:div>
    <w:div w:id="1034386629">
      <w:bodyDiv w:val="1"/>
      <w:marLeft w:val="0"/>
      <w:marRight w:val="0"/>
      <w:marTop w:val="0"/>
      <w:marBottom w:val="0"/>
      <w:divBdr>
        <w:top w:val="none" w:sz="0" w:space="0" w:color="auto"/>
        <w:left w:val="none" w:sz="0" w:space="0" w:color="auto"/>
        <w:bottom w:val="none" w:sz="0" w:space="0" w:color="auto"/>
        <w:right w:val="none" w:sz="0" w:space="0" w:color="auto"/>
      </w:divBdr>
    </w:div>
    <w:div w:id="1062219285">
      <w:bodyDiv w:val="1"/>
      <w:marLeft w:val="0"/>
      <w:marRight w:val="0"/>
      <w:marTop w:val="0"/>
      <w:marBottom w:val="0"/>
      <w:divBdr>
        <w:top w:val="none" w:sz="0" w:space="0" w:color="auto"/>
        <w:left w:val="none" w:sz="0" w:space="0" w:color="auto"/>
        <w:bottom w:val="none" w:sz="0" w:space="0" w:color="auto"/>
        <w:right w:val="none" w:sz="0" w:space="0" w:color="auto"/>
      </w:divBdr>
    </w:div>
    <w:div w:id="1085342863">
      <w:bodyDiv w:val="1"/>
      <w:marLeft w:val="0"/>
      <w:marRight w:val="0"/>
      <w:marTop w:val="0"/>
      <w:marBottom w:val="0"/>
      <w:divBdr>
        <w:top w:val="none" w:sz="0" w:space="0" w:color="auto"/>
        <w:left w:val="none" w:sz="0" w:space="0" w:color="auto"/>
        <w:bottom w:val="none" w:sz="0" w:space="0" w:color="auto"/>
        <w:right w:val="none" w:sz="0" w:space="0" w:color="auto"/>
      </w:divBdr>
    </w:div>
    <w:div w:id="1115715864">
      <w:bodyDiv w:val="1"/>
      <w:marLeft w:val="0"/>
      <w:marRight w:val="0"/>
      <w:marTop w:val="0"/>
      <w:marBottom w:val="0"/>
      <w:divBdr>
        <w:top w:val="none" w:sz="0" w:space="0" w:color="auto"/>
        <w:left w:val="none" w:sz="0" w:space="0" w:color="auto"/>
        <w:bottom w:val="none" w:sz="0" w:space="0" w:color="auto"/>
        <w:right w:val="none" w:sz="0" w:space="0" w:color="auto"/>
      </w:divBdr>
    </w:div>
    <w:div w:id="1118447076">
      <w:bodyDiv w:val="1"/>
      <w:marLeft w:val="0"/>
      <w:marRight w:val="0"/>
      <w:marTop w:val="0"/>
      <w:marBottom w:val="0"/>
      <w:divBdr>
        <w:top w:val="none" w:sz="0" w:space="0" w:color="auto"/>
        <w:left w:val="none" w:sz="0" w:space="0" w:color="auto"/>
        <w:bottom w:val="none" w:sz="0" w:space="0" w:color="auto"/>
        <w:right w:val="none" w:sz="0" w:space="0" w:color="auto"/>
      </w:divBdr>
    </w:div>
    <w:div w:id="1119687789">
      <w:bodyDiv w:val="1"/>
      <w:marLeft w:val="0"/>
      <w:marRight w:val="0"/>
      <w:marTop w:val="0"/>
      <w:marBottom w:val="0"/>
      <w:divBdr>
        <w:top w:val="none" w:sz="0" w:space="0" w:color="auto"/>
        <w:left w:val="none" w:sz="0" w:space="0" w:color="auto"/>
        <w:bottom w:val="none" w:sz="0" w:space="0" w:color="auto"/>
        <w:right w:val="none" w:sz="0" w:space="0" w:color="auto"/>
      </w:divBdr>
    </w:div>
    <w:div w:id="1123812769">
      <w:bodyDiv w:val="1"/>
      <w:marLeft w:val="0"/>
      <w:marRight w:val="0"/>
      <w:marTop w:val="0"/>
      <w:marBottom w:val="0"/>
      <w:divBdr>
        <w:top w:val="none" w:sz="0" w:space="0" w:color="auto"/>
        <w:left w:val="none" w:sz="0" w:space="0" w:color="auto"/>
        <w:bottom w:val="none" w:sz="0" w:space="0" w:color="auto"/>
        <w:right w:val="none" w:sz="0" w:space="0" w:color="auto"/>
      </w:divBdr>
    </w:div>
    <w:div w:id="1147741116">
      <w:bodyDiv w:val="1"/>
      <w:marLeft w:val="0"/>
      <w:marRight w:val="0"/>
      <w:marTop w:val="0"/>
      <w:marBottom w:val="0"/>
      <w:divBdr>
        <w:top w:val="none" w:sz="0" w:space="0" w:color="auto"/>
        <w:left w:val="none" w:sz="0" w:space="0" w:color="auto"/>
        <w:bottom w:val="none" w:sz="0" w:space="0" w:color="auto"/>
        <w:right w:val="none" w:sz="0" w:space="0" w:color="auto"/>
      </w:divBdr>
    </w:div>
    <w:div w:id="1171794285">
      <w:bodyDiv w:val="1"/>
      <w:marLeft w:val="0"/>
      <w:marRight w:val="0"/>
      <w:marTop w:val="0"/>
      <w:marBottom w:val="0"/>
      <w:divBdr>
        <w:top w:val="none" w:sz="0" w:space="0" w:color="auto"/>
        <w:left w:val="none" w:sz="0" w:space="0" w:color="auto"/>
        <w:bottom w:val="none" w:sz="0" w:space="0" w:color="auto"/>
        <w:right w:val="none" w:sz="0" w:space="0" w:color="auto"/>
      </w:divBdr>
    </w:div>
    <w:div w:id="1173179485">
      <w:bodyDiv w:val="1"/>
      <w:marLeft w:val="0"/>
      <w:marRight w:val="0"/>
      <w:marTop w:val="0"/>
      <w:marBottom w:val="0"/>
      <w:divBdr>
        <w:top w:val="none" w:sz="0" w:space="0" w:color="auto"/>
        <w:left w:val="none" w:sz="0" w:space="0" w:color="auto"/>
        <w:bottom w:val="none" w:sz="0" w:space="0" w:color="auto"/>
        <w:right w:val="none" w:sz="0" w:space="0" w:color="auto"/>
      </w:divBdr>
    </w:div>
    <w:div w:id="1199200041">
      <w:bodyDiv w:val="1"/>
      <w:marLeft w:val="0"/>
      <w:marRight w:val="0"/>
      <w:marTop w:val="0"/>
      <w:marBottom w:val="0"/>
      <w:divBdr>
        <w:top w:val="none" w:sz="0" w:space="0" w:color="auto"/>
        <w:left w:val="none" w:sz="0" w:space="0" w:color="auto"/>
        <w:bottom w:val="none" w:sz="0" w:space="0" w:color="auto"/>
        <w:right w:val="none" w:sz="0" w:space="0" w:color="auto"/>
      </w:divBdr>
    </w:div>
    <w:div w:id="1218052973">
      <w:bodyDiv w:val="1"/>
      <w:marLeft w:val="0"/>
      <w:marRight w:val="0"/>
      <w:marTop w:val="0"/>
      <w:marBottom w:val="0"/>
      <w:divBdr>
        <w:top w:val="none" w:sz="0" w:space="0" w:color="auto"/>
        <w:left w:val="none" w:sz="0" w:space="0" w:color="auto"/>
        <w:bottom w:val="none" w:sz="0" w:space="0" w:color="auto"/>
        <w:right w:val="none" w:sz="0" w:space="0" w:color="auto"/>
      </w:divBdr>
    </w:div>
    <w:div w:id="1230000302">
      <w:bodyDiv w:val="1"/>
      <w:marLeft w:val="0"/>
      <w:marRight w:val="0"/>
      <w:marTop w:val="0"/>
      <w:marBottom w:val="0"/>
      <w:divBdr>
        <w:top w:val="none" w:sz="0" w:space="0" w:color="auto"/>
        <w:left w:val="none" w:sz="0" w:space="0" w:color="auto"/>
        <w:bottom w:val="none" w:sz="0" w:space="0" w:color="auto"/>
        <w:right w:val="none" w:sz="0" w:space="0" w:color="auto"/>
      </w:divBdr>
    </w:div>
    <w:div w:id="1235432035">
      <w:bodyDiv w:val="1"/>
      <w:marLeft w:val="0"/>
      <w:marRight w:val="0"/>
      <w:marTop w:val="0"/>
      <w:marBottom w:val="0"/>
      <w:divBdr>
        <w:top w:val="none" w:sz="0" w:space="0" w:color="auto"/>
        <w:left w:val="none" w:sz="0" w:space="0" w:color="auto"/>
        <w:bottom w:val="none" w:sz="0" w:space="0" w:color="auto"/>
        <w:right w:val="none" w:sz="0" w:space="0" w:color="auto"/>
      </w:divBdr>
    </w:div>
    <w:div w:id="1238130729">
      <w:bodyDiv w:val="1"/>
      <w:marLeft w:val="0"/>
      <w:marRight w:val="0"/>
      <w:marTop w:val="0"/>
      <w:marBottom w:val="0"/>
      <w:divBdr>
        <w:top w:val="none" w:sz="0" w:space="0" w:color="auto"/>
        <w:left w:val="none" w:sz="0" w:space="0" w:color="auto"/>
        <w:bottom w:val="none" w:sz="0" w:space="0" w:color="auto"/>
        <w:right w:val="none" w:sz="0" w:space="0" w:color="auto"/>
      </w:divBdr>
    </w:div>
    <w:div w:id="1266502269">
      <w:bodyDiv w:val="1"/>
      <w:marLeft w:val="0"/>
      <w:marRight w:val="0"/>
      <w:marTop w:val="0"/>
      <w:marBottom w:val="0"/>
      <w:divBdr>
        <w:top w:val="none" w:sz="0" w:space="0" w:color="auto"/>
        <w:left w:val="none" w:sz="0" w:space="0" w:color="auto"/>
        <w:bottom w:val="none" w:sz="0" w:space="0" w:color="auto"/>
        <w:right w:val="none" w:sz="0" w:space="0" w:color="auto"/>
      </w:divBdr>
    </w:div>
    <w:div w:id="1309550071">
      <w:bodyDiv w:val="1"/>
      <w:marLeft w:val="0"/>
      <w:marRight w:val="0"/>
      <w:marTop w:val="0"/>
      <w:marBottom w:val="0"/>
      <w:divBdr>
        <w:top w:val="none" w:sz="0" w:space="0" w:color="auto"/>
        <w:left w:val="none" w:sz="0" w:space="0" w:color="auto"/>
        <w:bottom w:val="none" w:sz="0" w:space="0" w:color="auto"/>
        <w:right w:val="none" w:sz="0" w:space="0" w:color="auto"/>
      </w:divBdr>
    </w:div>
    <w:div w:id="1315717019">
      <w:bodyDiv w:val="1"/>
      <w:marLeft w:val="0"/>
      <w:marRight w:val="0"/>
      <w:marTop w:val="0"/>
      <w:marBottom w:val="0"/>
      <w:divBdr>
        <w:top w:val="none" w:sz="0" w:space="0" w:color="auto"/>
        <w:left w:val="none" w:sz="0" w:space="0" w:color="auto"/>
        <w:bottom w:val="none" w:sz="0" w:space="0" w:color="auto"/>
        <w:right w:val="none" w:sz="0" w:space="0" w:color="auto"/>
      </w:divBdr>
    </w:div>
    <w:div w:id="1317683255">
      <w:bodyDiv w:val="1"/>
      <w:marLeft w:val="0"/>
      <w:marRight w:val="0"/>
      <w:marTop w:val="0"/>
      <w:marBottom w:val="0"/>
      <w:divBdr>
        <w:top w:val="none" w:sz="0" w:space="0" w:color="auto"/>
        <w:left w:val="none" w:sz="0" w:space="0" w:color="auto"/>
        <w:bottom w:val="none" w:sz="0" w:space="0" w:color="auto"/>
        <w:right w:val="none" w:sz="0" w:space="0" w:color="auto"/>
      </w:divBdr>
    </w:div>
    <w:div w:id="1326011928">
      <w:bodyDiv w:val="1"/>
      <w:marLeft w:val="0"/>
      <w:marRight w:val="0"/>
      <w:marTop w:val="0"/>
      <w:marBottom w:val="0"/>
      <w:divBdr>
        <w:top w:val="none" w:sz="0" w:space="0" w:color="auto"/>
        <w:left w:val="none" w:sz="0" w:space="0" w:color="auto"/>
        <w:bottom w:val="none" w:sz="0" w:space="0" w:color="auto"/>
        <w:right w:val="none" w:sz="0" w:space="0" w:color="auto"/>
      </w:divBdr>
    </w:div>
    <w:div w:id="1333726621">
      <w:bodyDiv w:val="1"/>
      <w:marLeft w:val="0"/>
      <w:marRight w:val="0"/>
      <w:marTop w:val="0"/>
      <w:marBottom w:val="0"/>
      <w:divBdr>
        <w:top w:val="none" w:sz="0" w:space="0" w:color="auto"/>
        <w:left w:val="none" w:sz="0" w:space="0" w:color="auto"/>
        <w:bottom w:val="none" w:sz="0" w:space="0" w:color="auto"/>
        <w:right w:val="none" w:sz="0" w:space="0" w:color="auto"/>
      </w:divBdr>
    </w:div>
    <w:div w:id="1351953691">
      <w:bodyDiv w:val="1"/>
      <w:marLeft w:val="0"/>
      <w:marRight w:val="0"/>
      <w:marTop w:val="0"/>
      <w:marBottom w:val="0"/>
      <w:divBdr>
        <w:top w:val="none" w:sz="0" w:space="0" w:color="auto"/>
        <w:left w:val="none" w:sz="0" w:space="0" w:color="auto"/>
        <w:bottom w:val="none" w:sz="0" w:space="0" w:color="auto"/>
        <w:right w:val="none" w:sz="0" w:space="0" w:color="auto"/>
      </w:divBdr>
    </w:div>
    <w:div w:id="1352074443">
      <w:bodyDiv w:val="1"/>
      <w:marLeft w:val="0"/>
      <w:marRight w:val="0"/>
      <w:marTop w:val="0"/>
      <w:marBottom w:val="0"/>
      <w:divBdr>
        <w:top w:val="none" w:sz="0" w:space="0" w:color="auto"/>
        <w:left w:val="none" w:sz="0" w:space="0" w:color="auto"/>
        <w:bottom w:val="none" w:sz="0" w:space="0" w:color="auto"/>
        <w:right w:val="none" w:sz="0" w:space="0" w:color="auto"/>
      </w:divBdr>
    </w:div>
    <w:div w:id="1372149181">
      <w:bodyDiv w:val="1"/>
      <w:marLeft w:val="0"/>
      <w:marRight w:val="0"/>
      <w:marTop w:val="0"/>
      <w:marBottom w:val="0"/>
      <w:divBdr>
        <w:top w:val="none" w:sz="0" w:space="0" w:color="auto"/>
        <w:left w:val="none" w:sz="0" w:space="0" w:color="auto"/>
        <w:bottom w:val="none" w:sz="0" w:space="0" w:color="auto"/>
        <w:right w:val="none" w:sz="0" w:space="0" w:color="auto"/>
      </w:divBdr>
    </w:div>
    <w:div w:id="1404180966">
      <w:bodyDiv w:val="1"/>
      <w:marLeft w:val="0"/>
      <w:marRight w:val="0"/>
      <w:marTop w:val="0"/>
      <w:marBottom w:val="0"/>
      <w:divBdr>
        <w:top w:val="none" w:sz="0" w:space="0" w:color="auto"/>
        <w:left w:val="none" w:sz="0" w:space="0" w:color="auto"/>
        <w:bottom w:val="none" w:sz="0" w:space="0" w:color="auto"/>
        <w:right w:val="none" w:sz="0" w:space="0" w:color="auto"/>
      </w:divBdr>
    </w:div>
    <w:div w:id="1475676666">
      <w:bodyDiv w:val="1"/>
      <w:marLeft w:val="0"/>
      <w:marRight w:val="0"/>
      <w:marTop w:val="0"/>
      <w:marBottom w:val="0"/>
      <w:divBdr>
        <w:top w:val="none" w:sz="0" w:space="0" w:color="auto"/>
        <w:left w:val="none" w:sz="0" w:space="0" w:color="auto"/>
        <w:bottom w:val="none" w:sz="0" w:space="0" w:color="auto"/>
        <w:right w:val="none" w:sz="0" w:space="0" w:color="auto"/>
      </w:divBdr>
    </w:div>
    <w:div w:id="1489053043">
      <w:bodyDiv w:val="1"/>
      <w:marLeft w:val="0"/>
      <w:marRight w:val="0"/>
      <w:marTop w:val="0"/>
      <w:marBottom w:val="0"/>
      <w:divBdr>
        <w:top w:val="none" w:sz="0" w:space="0" w:color="auto"/>
        <w:left w:val="none" w:sz="0" w:space="0" w:color="auto"/>
        <w:bottom w:val="none" w:sz="0" w:space="0" w:color="auto"/>
        <w:right w:val="none" w:sz="0" w:space="0" w:color="auto"/>
      </w:divBdr>
    </w:div>
    <w:div w:id="1528253062">
      <w:bodyDiv w:val="1"/>
      <w:marLeft w:val="0"/>
      <w:marRight w:val="0"/>
      <w:marTop w:val="0"/>
      <w:marBottom w:val="0"/>
      <w:divBdr>
        <w:top w:val="none" w:sz="0" w:space="0" w:color="auto"/>
        <w:left w:val="none" w:sz="0" w:space="0" w:color="auto"/>
        <w:bottom w:val="none" w:sz="0" w:space="0" w:color="auto"/>
        <w:right w:val="none" w:sz="0" w:space="0" w:color="auto"/>
      </w:divBdr>
    </w:div>
    <w:div w:id="1550723782">
      <w:bodyDiv w:val="1"/>
      <w:marLeft w:val="0"/>
      <w:marRight w:val="0"/>
      <w:marTop w:val="0"/>
      <w:marBottom w:val="0"/>
      <w:divBdr>
        <w:top w:val="none" w:sz="0" w:space="0" w:color="auto"/>
        <w:left w:val="none" w:sz="0" w:space="0" w:color="auto"/>
        <w:bottom w:val="none" w:sz="0" w:space="0" w:color="auto"/>
        <w:right w:val="none" w:sz="0" w:space="0" w:color="auto"/>
      </w:divBdr>
    </w:div>
    <w:div w:id="1627857395">
      <w:bodyDiv w:val="1"/>
      <w:marLeft w:val="0"/>
      <w:marRight w:val="0"/>
      <w:marTop w:val="0"/>
      <w:marBottom w:val="0"/>
      <w:divBdr>
        <w:top w:val="none" w:sz="0" w:space="0" w:color="auto"/>
        <w:left w:val="none" w:sz="0" w:space="0" w:color="auto"/>
        <w:bottom w:val="none" w:sz="0" w:space="0" w:color="auto"/>
        <w:right w:val="none" w:sz="0" w:space="0" w:color="auto"/>
      </w:divBdr>
    </w:div>
    <w:div w:id="1657371853">
      <w:bodyDiv w:val="1"/>
      <w:marLeft w:val="0"/>
      <w:marRight w:val="0"/>
      <w:marTop w:val="0"/>
      <w:marBottom w:val="0"/>
      <w:divBdr>
        <w:top w:val="none" w:sz="0" w:space="0" w:color="auto"/>
        <w:left w:val="none" w:sz="0" w:space="0" w:color="auto"/>
        <w:bottom w:val="none" w:sz="0" w:space="0" w:color="auto"/>
        <w:right w:val="none" w:sz="0" w:space="0" w:color="auto"/>
      </w:divBdr>
    </w:div>
    <w:div w:id="1658457063">
      <w:bodyDiv w:val="1"/>
      <w:marLeft w:val="0"/>
      <w:marRight w:val="0"/>
      <w:marTop w:val="0"/>
      <w:marBottom w:val="0"/>
      <w:divBdr>
        <w:top w:val="none" w:sz="0" w:space="0" w:color="auto"/>
        <w:left w:val="none" w:sz="0" w:space="0" w:color="auto"/>
        <w:bottom w:val="none" w:sz="0" w:space="0" w:color="auto"/>
        <w:right w:val="none" w:sz="0" w:space="0" w:color="auto"/>
      </w:divBdr>
    </w:div>
    <w:div w:id="1669868399">
      <w:bodyDiv w:val="1"/>
      <w:marLeft w:val="0"/>
      <w:marRight w:val="0"/>
      <w:marTop w:val="0"/>
      <w:marBottom w:val="0"/>
      <w:divBdr>
        <w:top w:val="none" w:sz="0" w:space="0" w:color="auto"/>
        <w:left w:val="none" w:sz="0" w:space="0" w:color="auto"/>
        <w:bottom w:val="none" w:sz="0" w:space="0" w:color="auto"/>
        <w:right w:val="none" w:sz="0" w:space="0" w:color="auto"/>
      </w:divBdr>
    </w:div>
    <w:div w:id="1714305254">
      <w:bodyDiv w:val="1"/>
      <w:marLeft w:val="0"/>
      <w:marRight w:val="0"/>
      <w:marTop w:val="0"/>
      <w:marBottom w:val="0"/>
      <w:divBdr>
        <w:top w:val="none" w:sz="0" w:space="0" w:color="auto"/>
        <w:left w:val="none" w:sz="0" w:space="0" w:color="auto"/>
        <w:bottom w:val="none" w:sz="0" w:space="0" w:color="auto"/>
        <w:right w:val="none" w:sz="0" w:space="0" w:color="auto"/>
      </w:divBdr>
    </w:div>
    <w:div w:id="1718627822">
      <w:bodyDiv w:val="1"/>
      <w:marLeft w:val="0"/>
      <w:marRight w:val="0"/>
      <w:marTop w:val="0"/>
      <w:marBottom w:val="0"/>
      <w:divBdr>
        <w:top w:val="none" w:sz="0" w:space="0" w:color="auto"/>
        <w:left w:val="none" w:sz="0" w:space="0" w:color="auto"/>
        <w:bottom w:val="none" w:sz="0" w:space="0" w:color="auto"/>
        <w:right w:val="none" w:sz="0" w:space="0" w:color="auto"/>
      </w:divBdr>
    </w:div>
    <w:div w:id="1794054544">
      <w:bodyDiv w:val="1"/>
      <w:marLeft w:val="0"/>
      <w:marRight w:val="0"/>
      <w:marTop w:val="0"/>
      <w:marBottom w:val="0"/>
      <w:divBdr>
        <w:top w:val="none" w:sz="0" w:space="0" w:color="auto"/>
        <w:left w:val="none" w:sz="0" w:space="0" w:color="auto"/>
        <w:bottom w:val="none" w:sz="0" w:space="0" w:color="auto"/>
        <w:right w:val="none" w:sz="0" w:space="0" w:color="auto"/>
      </w:divBdr>
    </w:div>
    <w:div w:id="1800032093">
      <w:bodyDiv w:val="1"/>
      <w:marLeft w:val="0"/>
      <w:marRight w:val="0"/>
      <w:marTop w:val="0"/>
      <w:marBottom w:val="0"/>
      <w:divBdr>
        <w:top w:val="none" w:sz="0" w:space="0" w:color="auto"/>
        <w:left w:val="none" w:sz="0" w:space="0" w:color="auto"/>
        <w:bottom w:val="none" w:sz="0" w:space="0" w:color="auto"/>
        <w:right w:val="none" w:sz="0" w:space="0" w:color="auto"/>
      </w:divBdr>
    </w:div>
    <w:div w:id="1841044342">
      <w:bodyDiv w:val="1"/>
      <w:marLeft w:val="0"/>
      <w:marRight w:val="0"/>
      <w:marTop w:val="0"/>
      <w:marBottom w:val="0"/>
      <w:divBdr>
        <w:top w:val="none" w:sz="0" w:space="0" w:color="auto"/>
        <w:left w:val="none" w:sz="0" w:space="0" w:color="auto"/>
        <w:bottom w:val="none" w:sz="0" w:space="0" w:color="auto"/>
        <w:right w:val="none" w:sz="0" w:space="0" w:color="auto"/>
      </w:divBdr>
    </w:div>
    <w:div w:id="1883596796">
      <w:bodyDiv w:val="1"/>
      <w:marLeft w:val="0"/>
      <w:marRight w:val="0"/>
      <w:marTop w:val="0"/>
      <w:marBottom w:val="0"/>
      <w:divBdr>
        <w:top w:val="none" w:sz="0" w:space="0" w:color="auto"/>
        <w:left w:val="none" w:sz="0" w:space="0" w:color="auto"/>
        <w:bottom w:val="none" w:sz="0" w:space="0" w:color="auto"/>
        <w:right w:val="none" w:sz="0" w:space="0" w:color="auto"/>
      </w:divBdr>
    </w:div>
    <w:div w:id="1886794999">
      <w:bodyDiv w:val="1"/>
      <w:marLeft w:val="0"/>
      <w:marRight w:val="0"/>
      <w:marTop w:val="0"/>
      <w:marBottom w:val="0"/>
      <w:divBdr>
        <w:top w:val="none" w:sz="0" w:space="0" w:color="auto"/>
        <w:left w:val="none" w:sz="0" w:space="0" w:color="auto"/>
        <w:bottom w:val="none" w:sz="0" w:space="0" w:color="auto"/>
        <w:right w:val="none" w:sz="0" w:space="0" w:color="auto"/>
      </w:divBdr>
    </w:div>
    <w:div w:id="1907909037">
      <w:bodyDiv w:val="1"/>
      <w:marLeft w:val="0"/>
      <w:marRight w:val="0"/>
      <w:marTop w:val="0"/>
      <w:marBottom w:val="0"/>
      <w:divBdr>
        <w:top w:val="none" w:sz="0" w:space="0" w:color="auto"/>
        <w:left w:val="none" w:sz="0" w:space="0" w:color="auto"/>
        <w:bottom w:val="none" w:sz="0" w:space="0" w:color="auto"/>
        <w:right w:val="none" w:sz="0" w:space="0" w:color="auto"/>
      </w:divBdr>
    </w:div>
    <w:div w:id="1977638050">
      <w:bodyDiv w:val="1"/>
      <w:marLeft w:val="0"/>
      <w:marRight w:val="0"/>
      <w:marTop w:val="0"/>
      <w:marBottom w:val="0"/>
      <w:divBdr>
        <w:top w:val="none" w:sz="0" w:space="0" w:color="auto"/>
        <w:left w:val="none" w:sz="0" w:space="0" w:color="auto"/>
        <w:bottom w:val="none" w:sz="0" w:space="0" w:color="auto"/>
        <w:right w:val="none" w:sz="0" w:space="0" w:color="auto"/>
      </w:divBdr>
    </w:div>
    <w:div w:id="1984692861">
      <w:bodyDiv w:val="1"/>
      <w:marLeft w:val="0"/>
      <w:marRight w:val="0"/>
      <w:marTop w:val="0"/>
      <w:marBottom w:val="0"/>
      <w:divBdr>
        <w:top w:val="none" w:sz="0" w:space="0" w:color="auto"/>
        <w:left w:val="none" w:sz="0" w:space="0" w:color="auto"/>
        <w:bottom w:val="none" w:sz="0" w:space="0" w:color="auto"/>
        <w:right w:val="none" w:sz="0" w:space="0" w:color="auto"/>
      </w:divBdr>
    </w:div>
    <w:div w:id="1991471331">
      <w:bodyDiv w:val="1"/>
      <w:marLeft w:val="0"/>
      <w:marRight w:val="0"/>
      <w:marTop w:val="0"/>
      <w:marBottom w:val="0"/>
      <w:divBdr>
        <w:top w:val="none" w:sz="0" w:space="0" w:color="auto"/>
        <w:left w:val="none" w:sz="0" w:space="0" w:color="auto"/>
        <w:bottom w:val="none" w:sz="0" w:space="0" w:color="auto"/>
        <w:right w:val="none" w:sz="0" w:space="0" w:color="auto"/>
      </w:divBdr>
    </w:div>
    <w:div w:id="2036728347">
      <w:bodyDiv w:val="1"/>
      <w:marLeft w:val="0"/>
      <w:marRight w:val="0"/>
      <w:marTop w:val="0"/>
      <w:marBottom w:val="0"/>
      <w:divBdr>
        <w:top w:val="none" w:sz="0" w:space="0" w:color="auto"/>
        <w:left w:val="none" w:sz="0" w:space="0" w:color="auto"/>
        <w:bottom w:val="none" w:sz="0" w:space="0" w:color="auto"/>
        <w:right w:val="none" w:sz="0" w:space="0" w:color="auto"/>
      </w:divBdr>
    </w:div>
    <w:div w:id="2050758996">
      <w:bodyDiv w:val="1"/>
      <w:marLeft w:val="0"/>
      <w:marRight w:val="0"/>
      <w:marTop w:val="0"/>
      <w:marBottom w:val="0"/>
      <w:divBdr>
        <w:top w:val="none" w:sz="0" w:space="0" w:color="auto"/>
        <w:left w:val="none" w:sz="0" w:space="0" w:color="auto"/>
        <w:bottom w:val="none" w:sz="0" w:space="0" w:color="auto"/>
        <w:right w:val="none" w:sz="0" w:space="0" w:color="auto"/>
      </w:divBdr>
    </w:div>
    <w:div w:id="2059547147">
      <w:bodyDiv w:val="1"/>
      <w:marLeft w:val="0"/>
      <w:marRight w:val="0"/>
      <w:marTop w:val="0"/>
      <w:marBottom w:val="0"/>
      <w:divBdr>
        <w:top w:val="none" w:sz="0" w:space="0" w:color="auto"/>
        <w:left w:val="none" w:sz="0" w:space="0" w:color="auto"/>
        <w:bottom w:val="none" w:sz="0" w:space="0" w:color="auto"/>
        <w:right w:val="none" w:sz="0" w:space="0" w:color="auto"/>
      </w:divBdr>
    </w:div>
    <w:div w:id="2092116581">
      <w:bodyDiv w:val="1"/>
      <w:marLeft w:val="0"/>
      <w:marRight w:val="0"/>
      <w:marTop w:val="0"/>
      <w:marBottom w:val="0"/>
      <w:divBdr>
        <w:top w:val="none" w:sz="0" w:space="0" w:color="auto"/>
        <w:left w:val="none" w:sz="0" w:space="0" w:color="auto"/>
        <w:bottom w:val="none" w:sz="0" w:space="0" w:color="auto"/>
        <w:right w:val="none" w:sz="0" w:space="0" w:color="auto"/>
      </w:divBdr>
    </w:div>
    <w:div w:id="2109697246">
      <w:bodyDiv w:val="1"/>
      <w:marLeft w:val="0"/>
      <w:marRight w:val="0"/>
      <w:marTop w:val="0"/>
      <w:marBottom w:val="0"/>
      <w:divBdr>
        <w:top w:val="none" w:sz="0" w:space="0" w:color="auto"/>
        <w:left w:val="none" w:sz="0" w:space="0" w:color="auto"/>
        <w:bottom w:val="none" w:sz="0" w:space="0" w:color="auto"/>
        <w:right w:val="none" w:sz="0" w:space="0" w:color="auto"/>
      </w:divBdr>
    </w:div>
    <w:div w:id="2138377555">
      <w:bodyDiv w:val="1"/>
      <w:marLeft w:val="0"/>
      <w:marRight w:val="0"/>
      <w:marTop w:val="0"/>
      <w:marBottom w:val="0"/>
      <w:divBdr>
        <w:top w:val="none" w:sz="0" w:space="0" w:color="auto"/>
        <w:left w:val="none" w:sz="0" w:space="0" w:color="auto"/>
        <w:bottom w:val="none" w:sz="0" w:space="0" w:color="auto"/>
        <w:right w:val="none" w:sz="0" w:space="0" w:color="auto"/>
      </w:divBdr>
    </w:div>
    <w:div w:id="2138378754">
      <w:bodyDiv w:val="1"/>
      <w:marLeft w:val="0"/>
      <w:marRight w:val="0"/>
      <w:marTop w:val="0"/>
      <w:marBottom w:val="0"/>
      <w:divBdr>
        <w:top w:val="none" w:sz="0" w:space="0" w:color="auto"/>
        <w:left w:val="none" w:sz="0" w:space="0" w:color="auto"/>
        <w:bottom w:val="none" w:sz="0" w:space="0" w:color="auto"/>
        <w:right w:val="none" w:sz="0" w:space="0" w:color="auto"/>
      </w:divBdr>
    </w:div>
    <w:div w:id="214580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wordml://75.png" TargetMode="Externa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Nar25</b:Tag>
    <b:SourceType>Report</b:SourceType>
    <b:Guid>{1FD4C9D3-6087-42F4-B196-C470190A2420}</b:Guid>
    <b:Title>Raport o stabilności systemu finansowego. Grudzień 2025 r.</b:Title>
    <b:Year>2025</b:Year>
    <b:Author>
      <b:Author>
        <b:Corporate>Narodowy Bank Polski</b:Corporate>
      </b:Author>
    </b:Author>
    <b:Publisher>Narodowy Bank Polski</b:Publisher>
    <b:URL>https://nbp.pl/wp-content/uploads/2025/12/Raport-o-stabilnosci-systemu-finansowego.-Grudzien-2025-r.pdf</b:URL>
    <b:RefOrder>3</b:RefOrder>
  </b:Source>
  <b:Source>
    <b:Tag>Bod24</b:Tag>
    <b:SourceType>ArticleInAPeriodical</b:SourceType>
    <b:Guid>{947167A1-A756-4BFA-A091-F4E4B005597F}</b:Guid>
    <b:Title>Constructing Bayesian tangency portfolios under short-selling restrictions</b:Title>
    <b:Year>2024</b:Year>
    <b:Author>
      <b:Author>
        <b:NameList>
          <b:Person>
            <b:Last>Bodnar</b:Last>
            <b:First>Olha</b:First>
          </b:Person>
          <b:Person>
            <b:Last>Bodnar</b:Last>
            <b:First>Taras</b:First>
          </b:Person>
          <b:Person>
            <b:Last>Niklasson</b:Last>
            <b:First>Victor</b:First>
          </b:Person>
        </b:NameList>
      </b:Author>
    </b:Author>
    <b:PeriodicalTitle>Finance Research Letters</b:PeriodicalTitle>
    <b:Volume>62</b:Volume>
    <b:DOI>10.1016/j.frl.2024.105065</b:DOI>
    <b:URL>https://www.sciencedirect.com/science/article/pii/S1544612324000953</b:URL>
    <b:RefOrder>4</b:RefOrder>
  </b:Source>
  <b:Source>
    <b:Tag>Nar251</b:Tag>
    <b:SourceType>Report</b:SourceType>
    <b:Guid>{EEADAE54-5AB6-4B57-9B19-3DAE0AC7AC9A}</b:Guid>
    <b:Title>Raport o stabilności systemu finansowego. Czerwiec 2025</b:Title>
    <b:Year>2025</b:Year>
    <b:Author>
      <b:Author>
        <b:Corporate>Narodowy Bank Polski</b:Corporate>
      </b:Author>
    </b:Author>
    <b:URL>https://nbp.pl/wp-content/uploads/2025/06/Raport-o-stabilnosci-systemu-finansowego.-Czerwiec-2025-r.pdf</b:URL>
    <b:RefOrder>11</b:RefOrder>
  </b:Source>
  <b:Source>
    <b:Tag>Gie25</b:Tag>
    <b:SourceType>Report</b:SourceType>
    <b:Guid>{676A4AB0-C386-494A-8FA6-673A6A5F5A9D}</b:Guid>
    <b:Author>
      <b:Author>
        <b:Corporate>Giełda Papierów Wartościowych w Warszawie S.A.</b:Corporate>
      </b:Author>
    </b:Author>
    <b:Title>Szczegółowe Zasady Obrotu Giełdowego (GPW WATS)</b:Title>
    <b:Year>2025</b:Year>
    <b:URL>https://www.gpw.pl/pub/GPW/files/PDF/regulacje/Szczegolowe_Zasady_Obrotu_Gieldowego_GPW_WATS.pdf</b:URL>
    <b:RefOrder>7</b:RefOrder>
  </b:Source>
  <b:Source>
    <b:Tag>Kra24</b:Tag>
    <b:SourceType>Report</b:SourceType>
    <b:Guid>{F7D9FAFD-26B0-4FDA-BD57-E7A8394B4722}</b:Guid>
    <b:Author>
      <b:Author>
        <b:Corporate>Krajowy Depozyt Papierów Wartościowych</b:Corporate>
      </b:Author>
    </b:Author>
    <b:Title>Detailed Rules of Operation (consolidated text effective as of 16 September 2024)</b:Title>
    <b:Year>2024</b:Year>
    <b:URL>https://www.kdpw.pl/uploads/user_files/regulacje/kdpw-dro-16-09-2024.pdf</b:URL>
    <b:RefOrder>6</b:RefOrder>
  </b:Source>
  <b:Source>
    <b:Tag>Pet25</b:Tag>
    <b:SourceType>DocumentFromInternetSite</b:SourceType>
    <b:Guid>{8E80BF31-77C7-4B9E-AF4A-9AECCFD41C70}</b:Guid>
    <b:Author>
      <b:Author>
        <b:NameList>
          <b:Person>
            <b:Last>Peterson</b:Last>
            <b:First>Brian</b:First>
            <b:Middle>G.</b:Middle>
          </b:Person>
          <b:Person>
            <b:Last>Carl</b:Last>
            <b:First>Peter</b:First>
          </b:Person>
          <b:Person>
            <b:Last>Boudt</b:Last>
            <b:First>Kris</b:First>
          </b:Person>
        </b:NameList>
      </b:Author>
    </b:Author>
    <b:Title>PerformanceAnalytics: Econometric Tools for Performance and Risk Analysis (R package) – Reference manual</b:Title>
    <b:Year>2025</b:Year>
    <b:URL>https://cran.r-project.org/web/packages/PerformanceAnalytics/PerformanceAnalytics.pdf</b:URL>
    <b:RefOrder>5</b:RefOrder>
  </b:Source>
  <b:Source>
    <b:Tag>Rya25</b:Tag>
    <b:SourceType>DocumentFromInternetSite</b:SourceType>
    <b:Guid>{804DB6B3-E81A-49BE-9692-DBCF5CF0266A}</b:Guid>
    <b:Author>
      <b:Author>
        <b:NameList>
          <b:Person>
            <b:Last>Ryan</b:Last>
            <b:First>Jeffrey</b:First>
            <b:Middle>A.</b:Middle>
          </b:Person>
          <b:Person>
            <b:Last>Ulrich</b:Last>
            <b:First>Joshua</b:First>
            <b:Middle>M.</b:Middle>
          </b:Person>
        </b:NameList>
      </b:Author>
    </b:Author>
    <b:Title>quantmod: Quantitative Financial Modelling Framework (R package) – Reference manual</b:Title>
    <b:Year>2025</b:Year>
    <b:URL>https://cran.r-project.org/web/packages/quantmod/quantmod.pdf</b:URL>
    <b:RefOrder>8</b:RefOrder>
  </b:Source>
  <b:Source>
    <b:Tag>Rya</b:Tag>
    <b:SourceType>DocumentFromInternetSite</b:SourceType>
    <b:Guid>{3FB74EF8-45F7-42F7-82F3-D99DF718A0EA}</b:Guid>
    <b:Author>
      <b:Author>
        <b:NameList>
          <b:Person>
            <b:Last>Ryan</b:Last>
            <b:First>Jeffrey</b:First>
            <b:Middle>A.</b:Middle>
          </b:Person>
          <b:Person>
            <b:Last>Ulrich</b:Last>
            <b:First>Joshua</b:First>
            <b:Middle>M.</b:Middle>
          </b:Person>
        </b:NameList>
      </b:Author>
    </b:Author>
    <b:Title>xts: eXtensible Time Series (R package) – Reference manual</b:Title>
    <b:URL>https://cran.r-project.org/web/packages/xts/xts.pdf</b:URL>
    <b:RefOrder>10</b:RefOrder>
  </b:Source>
  <b:Source>
    <b:Tag>Sto26</b:Tag>
    <b:SourceType>DocumentFromInternetSite</b:SourceType>
    <b:Guid>{E1A56D53-AC18-47B2-9191-E3A03FFE6A1A}</b:Guid>
    <b:Author>
      <b:Author>
        <b:Corporate>Stooq</b:Corporate>
      </b:Author>
    </b:Author>
    <b:Title>Bezpłatne historyczne dane giełdowe</b:Title>
    <b:Year>2026</b:Year>
    <b:URL>https://stooq.pl/db/h/</b:URL>
    <b:RefOrder>9</b:RefOrder>
  </b:Source>
  <b:Source>
    <b:Tag>Led20</b:Tag>
    <b:SourceType>ArticleInAPeriodical</b:SourceType>
    <b:Guid>{AF219D74-39E5-4F47-B984-D7849C46CF7A}</b:Guid>
    <b:Author>
      <b:Author>
        <b:NameList>
          <b:Person>
            <b:Last>Ledoit</b:Last>
            <b:First>Olivier</b:First>
          </b:Person>
          <b:Person>
            <b:Last>Wolf</b:Last>
            <b:First>Michael</b:First>
          </b:Person>
        </b:NameList>
      </b:Author>
    </b:Author>
    <b:Title>Analytical nonlinear shrinkage of large-dimensional covariance matrices</b:Title>
    <b:Year>2020</b:Year>
    <b:URL>https://projecteuclid.org/journals/annals-of-statistics/volume-48/issue-5/Analytical-nonlinear-shrinkage-of-large-dimensional-covariance-matrices/10.1214/19-AOS1921.full</b:URL>
    <b:PeriodicalTitle>The Annals of Statistics</b:PeriodicalTitle>
    <b:Pages>3043–3065</b:Pages>
    <b:Volume>48</b:Volume>
    <b:Issue>5</b:Issue>
    <b:DOI>10.1214/19-AOS1921</b:DOI>
    <b:RefOrder>2</b:RefOrder>
  </b:Source>
  <b:Source xmlns:b="http://schemas.openxmlformats.org/officeDocument/2006/bibliography">
    <b:Tag>Joo21</b:Tag>
    <b:SourceType>ArticleInAPeriodical</b:SourceType>
    <b:Guid>{3B4DEB43-63F2-4E54-80C6-B7A693BA8AA0}</b:Guid>
    <b:Author>
      <b:Author>
        <b:NameList>
          <b:Person>
            <b:Last>Joo</b:Last>
            <b:First>Young</b:First>
            <b:Middle>Chul</b:Middle>
          </b:Person>
          <b:Person>
            <b:Last>Park</b:Last>
            <b:First>Sung</b:First>
            <b:Middle>Y.</b:Middle>
          </b:Person>
        </b:NameList>
      </b:Author>
    </b:Author>
    <b:Title>Optimal portfolio selection using a simple double-shrinkage selection rule</b:Title>
    <b:PeriodicalTitle>Finance Research Letters</b:PeriodicalTitle>
    <b:Year>2021</b:Year>
    <b:URL>https://www.sciencedirect.com/science/article/abs/pii/S1544612321001008</b:URL>
    <b:DOI>doi.org/10.1016/j.frl.2021.102019</b:DOI>
    <b:RefOrder>12</b:RefOrder>
  </b:Source>
  <b:Source xmlns:b="http://schemas.openxmlformats.org/officeDocument/2006/bibliography">
    <b:Tag>Liu25</b:Tag>
    <b:SourceType>ArticleInAPeriodical</b:SourceType>
    <b:Guid>{52770F2E-36EF-43E8-8402-09721FD38C78}</b:Guid>
    <b:Author>
      <b:Author>
        <b:NameList>
          <b:Person>
            <b:Last>Liu</b:Last>
            <b:First>Shuting</b:First>
          </b:Person>
          <b:Person>
            <b:Last>Zhang</b:Last>
            <b:First>Sicheng</b:First>
          </b:Person>
          <b:Person>
            <b:Last>Chen</b:Last>
            <b:First>Yun</b:First>
          </b:Person>
        </b:NameList>
      </b:Author>
    </b:Author>
    <b:Title>Exploiting mixed-frequency characteristics in parametric Mean-Expected Shortfall portfolio selection</b:Title>
    <b:PeriodicalTitle>Economic Modelling</b:PeriodicalTitle>
    <b:Year>2025</b:Year>
    <b:Volume>148</b:Volume>
    <b:URL>https://www.sciencedirect.com/science/article/abs/pii/S0264999325000677</b:URL>
    <b:DOI>doi.org/10.1016/j.econmod.2025.107072</b:DOI>
    <b:RefOrder>13</b:RefOrder>
  </b:Source>
  <b:Source>
    <b:Tag>Sal24</b:Tag>
    <b:SourceType>ArticleInAPeriodical</b:SourceType>
    <b:Guid>{72B49273-4451-4C23-880F-418E68C03739}</b:Guid>
    <b:Title>Fifty years of portfolio optimization</b:Title>
    <b:Year>2024</b:Year>
    <b:Author>
      <b:Author>
        <b:NameList>
          <b:Person>
            <b:Last>Salo</b:Last>
            <b:First>Ahti</b:First>
          </b:Person>
          <b:Person>
            <b:Last>Doumpos</b:Last>
            <b:First>Michalis</b:First>
          </b:Person>
          <b:Person>
            <b:Last>Liesiö</b:Last>
            <b:First>Juuso</b:First>
          </b:Person>
          <b:Person>
            <b:Last>Zopounidis</b:Last>
            <b:First>Constantin</b:First>
          </b:Person>
        </b:NameList>
      </b:Author>
    </b:Author>
    <b:PeriodicalTitle>European Journal of Operational Research</b:PeriodicalTitle>
    <b:Volume>318</b:Volume>
    <b:URL>https://www.sciencedirect.com/science/article/pii/S0377221723009827</b:URL>
    <b:Pages>1–18</b:Pages>
    <b:Issue>1</b:Issue>
    <b:LCID>pl-PL</b:LCID>
    <b:DOI>doi.org/10.1016/j.ejor.2023.12.031</b:DOI>
    <b:RefOrder>1</b:RefOrder>
  </b:Source>
  <b:Source>
    <b:Tag>Sha25</b:Tag>
    <b:SourceType>ArticleInAPeriodical</b:SourceType>
    <b:Guid>{8DF06E6D-4D2A-4491-81CD-A57514EA3441}</b:Guid>
    <b:Author>
      <b:Author>
        <b:NameList>
          <b:Person>
            <b:Last>Sharma</b:Last>
            <b:First>Nitika</b:First>
          </b:Person>
          <b:Person>
            <b:Last>Manohar</b:Last>
            <b:First>Sridhar</b:First>
          </b:Person>
          <b:Person>
            <b:Last>Huhmann</b:Last>
            <b:First>Bruce</b:First>
            <b:Middle>A.</b:Middle>
          </b:Person>
          <b:Person>
            <b:Last>Limbu</b:Last>
            <b:First>Yam</b:First>
            <b:Middle>B.</b:Middle>
          </b:Person>
        </b:NameList>
      </b:Author>
    </b:Author>
    <b:Title>Mapping the Literature on Short-Selling in Financial Markets: A Lexicometric Analysis</b:Title>
    <b:PeriodicalTitle>International Journal of Financial Studies</b:PeriodicalTitle>
    <b:Year>2025</b:Year>
    <b:Volume>13</b:Volume>
    <b:Issue>3</b:Issue>
    <b:URL>https://www.mdpi.com/2227-7072/13/3/135</b:URL>
    <b:DOI>doi.org/10.3390/ijfs13030135</b:DOI>
    <b:RefOrder>14</b:RefOrder>
  </b:Source>
</b:Sources>
</file>

<file path=customXml/itemProps1.xml><?xml version="1.0" encoding="utf-8"?>
<ds:datastoreItem xmlns:ds="http://schemas.openxmlformats.org/officeDocument/2006/customXml" ds:itemID="{BBEBFB38-0328-43AB-8B9D-8EE235680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3060</TotalTime>
  <Pages>30</Pages>
  <Words>6312</Words>
  <Characters>45512</Characters>
  <Application>Microsoft Office Word</Application>
  <DocSecurity>0</DocSecurity>
  <Lines>827</Lines>
  <Paragraphs>299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Vangansbeke</dc:creator>
  <cp:keywords/>
  <dc:description/>
  <cp:lastModifiedBy>Tommy Vangansbeke</cp:lastModifiedBy>
  <cp:revision>126</cp:revision>
  <dcterms:created xsi:type="dcterms:W3CDTF">2025-12-11T15:59:00Z</dcterms:created>
  <dcterms:modified xsi:type="dcterms:W3CDTF">2026-02-04T20:31:00Z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4f8ff720-7763-440c-8a03-097337b98e0d</vt:lpwstr>
  </property>
</Properties>
</file>