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Pogoda, OZE i cena prądu – analiza i prognoza zapotrzebowania na energię elektryczną w Polsce</w:t>
      </w:r>
    </w:p>
    <w:p>
      <w:pPr>
        <w:spacing w:after="0"/>
      </w:pPr>
      <w:r>
        <w:rPr>
          <w:b/>
        </w:rPr>
        <w:t>Przedmiot:</w:t>
      </w:r>
      <w:r>
        <w:t xml:space="preserve"> Metody analizy, przetwarzania i wizualizacji danych</w:t>
      </w:r>
    </w:p>
    <w:p>
      <w:pPr>
        <w:spacing w:after="0"/>
      </w:pPr>
      <w:r>
        <w:rPr>
          <w:b/>
        </w:rPr>
        <w:t>Narzędzia:</w:t>
      </w:r>
      <w:r>
        <w:t xml:space="preserve"> Python (pandas, numpy, scikit-learn, matplotlib, Streamlit, Plotly) + baza danych SQLite (SQL) + Microsoft Power BI</w:t>
      </w:r>
    </w:p>
    <w:p>
      <w:pPr>
        <w:spacing w:after="0"/>
      </w:pPr>
      <w:r>
        <w:rPr>
          <w:b/>
        </w:rPr>
        <w:t>Etap 6:</w:t>
      </w:r>
      <w:r>
        <w:t xml:space="preserve"> raport końcowy</w:t>
      </w:r>
    </w:p>
    <w:p>
      <w:r>
        <w:rPr>
          <w:b/>
        </w:rPr>
        <w:t>Projekt grupowy – skład zespołu: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4873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Imię i nazwisko</w:t>
            </w:r>
          </w:p>
        </w:tc>
        <w:tc>
          <w:tcPr>
            <w:tcW w:type="dxa" w:w="4873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Nr albumu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Dawid Klimczuk</w:t>
            </w:r>
          </w:p>
        </w:tc>
        <w:tc>
          <w:tcPr>
            <w:tcW w:type="dxa" w:w="4873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195810</w:t>
            </w:r>
          </w:p>
        </w:tc>
      </w:tr>
      <w:tr>
        <w:trPr>
          <w:cantSplit w:val="true"/>
        </w:trPr>
        <w:tc>
          <w:tcPr>
            <w:tcW w:type="dxa" w:w="4873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Maria Gosa</w:t>
            </w:r>
          </w:p>
        </w:tc>
        <w:tc>
          <w:tcPr>
            <w:tcW w:type="dxa" w:w="4873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159835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Wiktoria Dębińska</w:t>
            </w:r>
          </w:p>
        </w:tc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159859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b/>
        </w:rPr>
        <w:t>Aplikacja analityczna:</w:t>
      </w:r>
      <w:r>
        <w:t xml:space="preserve"> https://kse-pogoda-oze.streamlit.app/</w:t>
      </w:r>
    </w:p>
    <w:p>
      <w:r>
        <w:rPr>
          <w:b/>
        </w:rPr>
        <w:t>Repozytorium projektu:</w:t>
      </w:r>
      <w:r>
        <w:t xml:space="preserve"> https://github.com/DawidKlimczuk/projekt_energetyka</w:t>
      </w:r>
    </w:p>
    <w:p>
      <w:pPr>
        <w:pStyle w:val="Heading1"/>
      </w:pPr>
      <w:r>
        <w:t>Streszczenie</w:t>
      </w:r>
    </w:p>
    <w:p>
      <w:r>
        <w:t>Projekt dotyczy wpływu warunków pogodowych i rosnącego udziału odnawialnych źródeł energii (OZE) na zapotrzebowanie na moc, strukturę wytwarzania oraz hurtowe ceny energii elektrycznej w Polsce w okresie 01.01.2022 – 30.09.2026. Zintegrowano dane z czterech niezależnych instytucji (PSE, ENTSO-E, Rynek Dnia Następnego wraz z kursami NBP, Open-Meteo/ERA5) oraz kalendarz dni wolnych od pracy – łącznie ok. 1,85 mln rekordów surowych, przetworzonych do zbioru 41 615 obserwacji godzinowych i zapisanych w relacyjnej bazie danych SQLite w schemacie gwiazdy.</w:t>
      </w:r>
    </w:p>
    <w:p>
      <w:pPr>
        <w:keepNext/>
      </w:pPr>
      <w:r>
        <w:t>Najważniejsze wyniki:</w:t>
      </w:r>
    </w:p>
    <w:p>
      <w:pPr>
        <w:pStyle w:val="ListBullet"/>
        <w:spacing w:after="60"/>
      </w:pPr>
      <w:r>
        <w:t>zapotrzebowanie zależy od temperatury nieliniowo (kształt litery „U”), z minimum przy ok. 18°C; przy mrozie jest o ok. 24% wyższe niż w minimum, a w upały o ok. 6%,</w:t>
      </w:r>
    </w:p>
    <w:p>
      <w:pPr>
        <w:pStyle w:val="ListBullet"/>
        <w:spacing w:after="60"/>
      </w:pPr>
      <w:r>
        <w:t>średni udział OZE w generacji wzrósł z 19,2% (2022) do 28,4% (2025), a udział węgla spadł z 73,5% do 52,7%; wzrost wynika przede wszystkim z fotowoltaiki,</w:t>
      </w:r>
    </w:p>
    <w:p>
      <w:pPr>
        <w:pStyle w:val="ListBullet"/>
        <w:spacing w:after="60"/>
      </w:pPr>
      <w:r>
        <w:t>wyższy udział OZE obniża cenę energii (korelacja Spearmana −0,63); liczba godzin z ceną ujemną wzrosła z 0 w 2022 r. do 310 w 2025 r. i 314 w ciągu dziewięciu miesięcy 2026 r.,</w:t>
      </w:r>
    </w:p>
    <w:p>
      <w:pPr>
        <w:pStyle w:val="ListBullet"/>
        <w:spacing w:after="60"/>
      </w:pPr>
      <w:r>
        <w:t>model HistGradientBoosting prognozuje zapotrzebowanie na dobę naprzód z błędem MAPE = 2,88% (rok 2026), o połowę mniejszym niż prognoza naiwna (5,72%) i o 0,39 p.p. większym niż oficjalna prognoza PSE (2,49%),</w:t>
      </w:r>
    </w:p>
    <w:p>
      <w:pPr>
        <w:pStyle w:val="ListBullet"/>
        <w:spacing w:after="60"/>
      </w:pPr>
      <w:r>
        <w:t>klasteryzacja profili dobowych wyodrębniła cztery typy dób dla zapotrzebowania (wtorki–piątki, poniedziałki, soboty, niedziele i święta) oraz cztery sezonowe typy profili cen, wśród których szybko rośnie udział dób z głębokim minimum ceny w południe.</w:t>
      </w:r>
    </w:p>
    <w:p>
      <w:r>
        <w:t>Wszystkie hipotezy badawcze H1–H5 sformułowane w koncepcji projektu zostały potwierdzone. Wyniki udostępniono w interaktywnym raporcie Power BI oraz w aplikacji analitycznej dostępnej w przeglądarce internetowej.</w:t>
      </w:r>
    </w:p>
    <w:p>
      <w:pPr>
        <w:pStyle w:val="Heading1"/>
      </w:pPr>
      <w:r>
        <w:t>1. Cel i zakres projektu</w:t>
      </w:r>
    </w:p>
    <w:p>
      <w:pPr>
        <w:keepNext/>
      </w:pPr>
      <w:r>
        <w:t>Celem projektu było zbadanie, w jakim stopniu warunki pogodowe (temperatura, wiatr, nasłonecznienie) oraz czynniki kalendarzowe (pora dnia, dzień tygodnia, święta) kształtują zapotrzebowanie na energię elektryczną, strukturę jej wytwarzania oraz cenę hurtową w Polsce, a następnie zbudowanie modelu prognozującego zapotrzebowanie na dobę naprzód. Zakres prac odpowiada koncepcji projektu (etap 1) i obejmuje pięć pytań analitycznych: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 w:val="true"/>
        </w:trPr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Pytanie analityczne</w:t>
            </w:r>
          </w:p>
        </w:tc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Metoda</w:t>
            </w:r>
          </w:p>
        </w:tc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Rozdział</w:t>
            </w:r>
          </w:p>
        </w:tc>
      </w:tr>
      <w:tr>
        <w:trPr>
          <w:cantSplit w:val="true"/>
        </w:trPr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P1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Jak zapotrzebowanie na moc zależy od temperatury, godziny, dnia tygodnia i świąt?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korelacja, krzywa dopasowania, profile dobowe, mapa ciepła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3.1</w:t>
            </w:r>
          </w:p>
        </w:tc>
      </w:tr>
      <w:tr>
        <w:trPr>
          <w:cantSplit w:val="true"/>
        </w:trPr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P2</w:t>
            </w:r>
          </w:p>
        </w:tc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Jak zmienia się udział OZE w miksie i jak silnie produkcja z OZE zależy od pogody?</w:t>
            </w:r>
          </w:p>
        </w:tc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agregacje czasowe, wykresy warstwowe, krzywe mocy</w:t>
            </w:r>
          </w:p>
        </w:tc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3.2</w:t>
            </w:r>
          </w:p>
        </w:tc>
      </w:tr>
      <w:tr>
        <w:trPr>
          <w:cantSplit w:val="true"/>
        </w:trPr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P3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Czy wysoka produkcja z OZE obniża cenę energii i kiedy występują ceny ujemne?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korelacja, analiza przedziałów, analiza zdarzeń ekstremalnych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3.3</w:t>
            </w:r>
          </w:p>
        </w:tc>
      </w:tr>
      <w:tr>
        <w:trPr>
          <w:cantSplit w:val="true"/>
        </w:trPr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P4</w:t>
            </w:r>
          </w:p>
        </w:tc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Czy model ML prognozuje zapotrzebowanie dokładniej niż prognoza naiwna i prognoza PSE?</w:t>
            </w:r>
          </w:p>
        </w:tc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Ridge, Random Forest, HistGradientBoosting; MAPE, MAE, RMSE</w:t>
            </w:r>
          </w:p>
        </w:tc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</w:tr>
      <w:tr>
        <w:trPr>
          <w:cantSplit w:val="true"/>
        </w:trPr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P5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Jakie typowe profile dobowe zapotrzebowania i cen występują w KSE?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klasteryzacja k-średnich (K-means)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</w:tr>
    </w:tbl>
    <w:p>
      <w:pPr>
        <w:spacing w:after="40"/>
      </w:pPr>
    </w:p>
    <w:p>
      <w:r>
        <w:t>Rezultatem projektu są: relacyjna baza danych SQL, pięć notebooków Jupyter dokumentujących kolejne etapy (</w:t>
      </w:r>
      <w:r>
        <w:rPr>
          <w:rFonts w:ascii="Consolas" w:hAnsi="Consolas"/>
        </w:rPr>
        <w:t>notebooks/01–05</w:t>
      </w:r>
      <w:r>
        <w:t>), moduły Pythona realizujące przetwarzanie i analizy (</w:t>
      </w:r>
      <w:r>
        <w:rPr>
          <w:rFonts w:ascii="Consolas" w:hAnsi="Consolas"/>
        </w:rPr>
        <w:t>src/</w:t>
      </w:r>
      <w:r>
        <w:t>), raport Power BI (</w:t>
      </w:r>
      <w:r>
        <w:rPr>
          <w:rFonts w:ascii="Consolas" w:hAnsi="Consolas"/>
        </w:rPr>
        <w:t>powerbi/KSE.pbip</w:t>
      </w:r>
      <w:r>
        <w:t>) oraz aplikacja analityczna w bibliotece Streamlit. Wszystkie liczby przytoczone w raporcie pochodzą z wykonanych notebooków i są identyczne z prezentowanymi w aplikacji i raporcie Power BI, ponieważ wszystkie te elementy korzystają z tych samych funkcji i tej samej bazy danych.</w:t>
      </w:r>
    </w:p>
    <w:p>
      <w:pPr>
        <w:pStyle w:val="Heading1"/>
      </w:pPr>
      <w:r>
        <w:t>2. Dane i ich przetwarzanie</w:t>
      </w:r>
    </w:p>
    <w:p>
      <w:pPr>
        <w:pStyle w:val="Heading2"/>
      </w:pPr>
      <w:r>
        <w:t>2.1. Źródła danych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 w:val="true"/>
        </w:trPr>
        <w:tc>
          <w:tcPr>
            <w:tcW w:type="dxa" w:w="1949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49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Źródło</w:t>
            </w:r>
          </w:p>
        </w:tc>
        <w:tc>
          <w:tcPr>
            <w:tcW w:type="dxa" w:w="1949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Zawartość</w:t>
            </w:r>
          </w:p>
        </w:tc>
        <w:tc>
          <w:tcPr>
            <w:tcW w:type="dxa" w:w="1949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1949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Liczba rekordów</w:t>
            </w:r>
          </w:p>
        </w:tc>
      </w:tr>
      <w:tr>
        <w:trPr>
          <w:cantSplit w:val="true"/>
        </w:trPr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Z1</w:t>
            </w:r>
          </w:p>
        </w:tc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PSE – archiwum pse.pl (do 13.06.2024)</w:t>
            </w:r>
          </w:p>
        </w:tc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zapotrzebowanie, plan dobowy, generacja wiatr i PV</w:t>
            </w:r>
          </w:p>
        </w:tc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CSV, 1 h</w:t>
            </w:r>
          </w:p>
        </w:tc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64 437</w:t>
            </w:r>
          </w:p>
        </w:tc>
      </w:tr>
      <w:tr>
        <w:trPr>
          <w:cantSplit w:val="true"/>
        </w:trPr>
        <w:tc>
          <w:tcPr>
            <w:tcW w:type="dxa" w:w="19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Z1</w:t>
            </w:r>
          </w:p>
        </w:tc>
        <w:tc>
          <w:tcPr>
            <w:tcW w:type="dxa" w:w="19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PSE – API raporty.pse.pl (od 14.06.2024)</w:t>
            </w:r>
          </w:p>
        </w:tc>
        <w:tc>
          <w:tcPr>
            <w:tcW w:type="dxa" w:w="19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zapotrzebowanie, prognoza PSE, generacja wiatr i PV</w:t>
            </w:r>
          </w:p>
        </w:tc>
        <w:tc>
          <w:tcPr>
            <w:tcW w:type="dxa" w:w="19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JSON, 15 min</w:t>
            </w:r>
          </w:p>
        </w:tc>
        <w:tc>
          <w:tcPr>
            <w:tcW w:type="dxa" w:w="19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161 088</w:t>
            </w:r>
          </w:p>
        </w:tc>
      </w:tr>
      <w:tr>
        <w:trPr>
          <w:cantSplit w:val="true"/>
        </w:trPr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Z2</w:t>
            </w:r>
          </w:p>
        </w:tc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ENTSO-E (kopia: energy-charts.info)</w:t>
            </w:r>
          </w:p>
        </w:tc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generacja według 15 typów źródeł</w:t>
            </w:r>
          </w:p>
        </w:tc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JSON, 1 h / 15 min</w:t>
            </w:r>
          </w:p>
        </w:tc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1 109 729</w:t>
            </w:r>
          </w:p>
        </w:tc>
      </w:tr>
      <w:tr>
        <w:trPr>
          <w:cantSplit w:val="true"/>
        </w:trPr>
        <w:tc>
          <w:tcPr>
            <w:tcW w:type="dxa" w:w="19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Z3</w:t>
            </w:r>
          </w:p>
        </w:tc>
        <w:tc>
          <w:tcPr>
            <w:tcW w:type="dxa" w:w="19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RDN – PSE (cena SDAC w PLN), ENTSO-E (EUR), NBP</w:t>
            </w:r>
          </w:p>
        </w:tc>
        <w:tc>
          <w:tcPr>
            <w:tcW w:type="dxa" w:w="19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ceny dnia następnego, kurs EUR/PLN</w:t>
            </w:r>
          </w:p>
        </w:tc>
        <w:tc>
          <w:tcPr>
            <w:tcW w:type="dxa" w:w="19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JSON</w:t>
            </w:r>
          </w:p>
        </w:tc>
        <w:tc>
          <w:tcPr>
            <w:tcW w:type="dxa" w:w="19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103 245</w:t>
            </w:r>
          </w:p>
        </w:tc>
      </w:tr>
      <w:tr>
        <w:trPr>
          <w:cantSplit w:val="true"/>
        </w:trPr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Z4</w:t>
            </w:r>
          </w:p>
        </w:tc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Open-Meteo (reanaliza ERA5), 10 lokalizacji</w:t>
            </w:r>
          </w:p>
        </w:tc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temperatura, wiatr 100 m, promieniowanie, zachmurzenie</w:t>
            </w:r>
          </w:p>
        </w:tc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JSON, 1 h</w:t>
            </w:r>
          </w:p>
        </w:tc>
        <w:tc>
          <w:tcPr>
            <w:tcW w:type="dxa" w:w="19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416 400</w:t>
            </w:r>
          </w:p>
        </w:tc>
      </w:tr>
      <w:tr>
        <w:trPr>
          <w:cantSplit w:val="true"/>
        </w:trPr>
        <w:tc>
          <w:tcPr>
            <w:tcW w:type="dxa" w:w="19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Z5</w:t>
            </w:r>
          </w:p>
        </w:tc>
        <w:tc>
          <w:tcPr>
            <w:tcW w:type="dxa" w:w="19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biblioteka </w:t>
            </w:r>
            <w:r>
              <w:rPr>
                <w:rFonts w:ascii="Consolas" w:hAnsi="Consolas"/>
                <w:sz w:val="20"/>
              </w:rPr>
              <w:t>holidays</w:t>
            </w:r>
          </w:p>
        </w:tc>
        <w:tc>
          <w:tcPr>
            <w:tcW w:type="dxa" w:w="19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dni ustawowo wolne od pracy</w:t>
            </w:r>
          </w:p>
        </w:tc>
        <w:tc>
          <w:tcPr>
            <w:tcW w:type="dxa" w:w="19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generowane</w:t>
            </w:r>
          </w:p>
        </w:tc>
        <w:tc>
          <w:tcPr>
            <w:tcW w:type="dxa" w:w="19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–</w:t>
            </w:r>
          </w:p>
        </w:tc>
      </w:tr>
    </w:tbl>
    <w:p>
      <w:pPr>
        <w:spacing w:after="40"/>
      </w:pPr>
    </w:p>
    <w:p>
      <w:r>
        <w:t xml:space="preserve">Łącznie pobrano ok. 100 MB danych surowych (240 plików). Dane zapisywane są w katalogu </w:t>
      </w:r>
      <w:r>
        <w:rPr>
          <w:rFonts w:ascii="Consolas" w:hAnsi="Consolas"/>
        </w:rPr>
        <w:t>data/raw/</w:t>
      </w:r>
      <w:r>
        <w:t xml:space="preserve"> bez modyfikacji treści, a pobieranie jest wznawialne – uwzględnia limity serwerów (31 dni na zapytanie w archiwum PSE, 93 dni w API NBP, ponawianie przy kodzie 429). Dla danych PSE i cen energii konieczne było połączenie dwóch źródeł na granicy 14.06.2024 r., kiedy wraz z reformą rynku bilansującego PSE rozpoczęło publikację danych 15-minutowych w nowym API (rycina 1).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81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rod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81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1. Zakres czasowy źródeł danych</w:t>
      </w:r>
    </w:p>
    <w:p>
      <w:pPr>
        <w:pStyle w:val="Heading2"/>
      </w:pPr>
      <w:r>
        <w:t>2.2. Integracja danych</w:t>
      </w:r>
    </w:p>
    <w:p>
      <w:pPr>
        <w:keepNext/>
      </w:pPr>
      <w:r>
        <w:t>Wszystkie zbiory sprowadzono do wspólnego klucza – początku godziny w czasie UTC. Zastosowane rozwiązania:</w:t>
      </w:r>
    </w:p>
    <w:p>
      <w:pPr>
        <w:pStyle w:val="ListBullet"/>
        <w:spacing w:after="60"/>
      </w:pPr>
      <w:r>
        <w:rPr>
          <w:b/>
        </w:rPr>
        <w:t>strefy czasowe i zmiana czasu</w:t>
      </w:r>
      <w:r>
        <w:t xml:space="preserve"> – godziny doby handlowej PSE (1–24, w dobach zmiany czasu 23 lub 25, z oznaczeniem „2A” dla powtórzonej godziny) zamieniono na UTC na podstawie kolejnego numeru godziny od północy czasu lokalnego; praca w UTC eliminuje duplikaty i luki,</w:t>
      </w:r>
    </w:p>
    <w:p>
      <w:pPr>
        <w:pStyle w:val="ListBullet"/>
        <w:spacing w:after="60"/>
      </w:pPr>
      <w:r>
        <w:rPr>
          <w:b/>
        </w:rPr>
        <w:t>rozdzielczość</w:t>
      </w:r>
      <w:r>
        <w:t xml:space="preserve"> – dane 15-minutowe uśredniono do godzin (moc średnia w MW, cena w PLN/MWh); w API PSE pole </w:t>
      </w:r>
      <w:r>
        <w:rPr>
          <w:rFonts w:ascii="Consolas" w:hAnsi="Consolas"/>
        </w:rPr>
        <w:t>dtime_utc</w:t>
      </w:r>
      <w:r>
        <w:t xml:space="preserve"> oznacza koniec okresu, co uwzględniono przed agregacją,</w:t>
      </w:r>
    </w:p>
    <w:p>
      <w:pPr>
        <w:pStyle w:val="ListBullet"/>
        <w:spacing w:after="60"/>
      </w:pPr>
      <w:r>
        <w:rPr>
          <w:b/>
        </w:rPr>
        <w:t>waluty</w:t>
      </w:r>
      <w:r>
        <w:t xml:space="preserve"> – ceny w EUR/MWh sprzed 14.06.2024 r. przeliczono po średnim kursie NBP z dnia dostawy (w dni bez notowań – po ostatnim opublikowanym kursie); szereg cen nie wykazuje skoku na granicy źródeł,</w:t>
      </w:r>
    </w:p>
    <w:p>
      <w:pPr>
        <w:pStyle w:val="ListBullet"/>
        <w:spacing w:after="60"/>
      </w:pPr>
      <w:r>
        <w:rPr>
          <w:b/>
        </w:rPr>
        <w:t>pogoda</w:t>
      </w:r>
      <w:r>
        <w:t xml:space="preserve"> – wartości ogólnopolskie wyznaczono jako średnie ważone: temperaturę liczbą ludności województwa, a prędkość wiatru udziałem województwa w mocy zainstalowanej farm wiatrowych; pomiary z poszczególnych lokalizacji zachowano w osobnej tabeli faktów,</w:t>
      </w:r>
    </w:p>
    <w:p>
      <w:pPr>
        <w:pStyle w:val="ListBullet"/>
        <w:spacing w:after="60"/>
      </w:pPr>
      <w:r>
        <w:rPr>
          <w:b/>
        </w:rPr>
        <w:t>braki danych</w:t>
      </w:r>
      <w:r>
        <w:t xml:space="preserve"> – luki do 3 godzin uzupełniono interpolacją liniową; po integracji wszystkie zmienne pomiarowe są kompletne w 100%,</w:t>
      </w:r>
    </w:p>
    <w:p>
      <w:pPr>
        <w:pStyle w:val="ListBullet"/>
        <w:spacing w:after="60"/>
      </w:pPr>
      <w:r>
        <w:rPr>
          <w:b/>
        </w:rPr>
        <w:t>kalendarz</w:t>
      </w:r>
      <w:r>
        <w:t xml:space="preserve"> – typ dnia wyznaczono według priorytetu: święto → weekend → dzień pomostowy → dzień roboczy (w okresie analizy: 1179 dni roboczych, 476 weekendowych, 62 święta i 17 dni pomostowych).</w:t>
      </w:r>
    </w:p>
    <w:p>
      <w:r>
        <w:t>Poprawność integracji zweryfikowano w notebooku 02: wszystkie znaczniki czasu są unikalne, odstęp między kolejnymi godzinami wynosi zawsze 1 h, doby zmiany czasu mają 23 lub 25 godzin, a wartości zapisane w bazie są identyczne z wynikiem przetwarzania.</w:t>
      </w:r>
    </w:p>
    <w:p>
      <w:pPr>
        <w:pStyle w:val="Heading2"/>
      </w:pPr>
      <w:r>
        <w:t>2.3. Porównywalność prognozy PSE</w:t>
      </w:r>
    </w:p>
    <w:p>
      <w:r>
        <w:t xml:space="preserve">W trakcie integracji ustalono, że archiwalny raport PSE („plan dobowy”) zawiera wielkość </w:t>
      </w:r>
      <w:r>
        <w:rPr>
          <w:i/>
        </w:rPr>
        <w:t>prognozowane zapotrzebowanie sieci</w:t>
      </w:r>
      <w:r>
        <w:t>, systematycznie niższą od rzeczywistego zapotrzebowania o średnio ok. 2,3 GW (1,6–3,3 GW w poszczególnych miesiącach). Prognoza publikowana w API od 14.06.2024 r. różni się od zapotrzebowania średnio o ok. 120 MW (rycina 2). Różnica w danych archiwalnych wynika więc z innego zakresu bilansowego tej wielkości, a nie z błędu prognozy. W konsekwencji archiwalną wielkość zapisano w osobnej kolumnie, a model porównano z prognozą PSE wyłącznie na danych z 2026 r.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917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noza_p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9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2. Średnia miesięczna różnica między zapotrzebowaniem rzeczywistym a wielkością prognozowaną przez PSE</w:t>
      </w:r>
    </w:p>
    <w:p>
      <w:pPr>
        <w:pStyle w:val="Heading2"/>
      </w:pPr>
      <w:r>
        <w:t>2.4. Baza danych SQL</w:t>
      </w:r>
    </w:p>
    <w:p>
      <w:pPr>
        <w:keepNext/>
      </w:pPr>
      <w:r>
        <w:t>Dane po integracji oraz wyniki analiz zapisano w relacyjnej bazie danych SQLite (</w:t>
      </w:r>
      <w:r>
        <w:rPr>
          <w:rFonts w:ascii="Consolas" w:hAnsi="Consolas"/>
        </w:rPr>
        <w:t>data/kse.db</w:t>
      </w:r>
      <w:r>
        <w:t xml:space="preserve">, ok. 62 MB). Strukturę bazy zdefiniowano w skryptach </w:t>
      </w:r>
      <w:r>
        <w:rPr>
          <w:rFonts w:ascii="Consolas" w:hAnsi="Consolas"/>
        </w:rPr>
        <w:t>sql/schemat.sql</w:t>
      </w:r>
      <w:r>
        <w:t xml:space="preserve"> i </w:t>
      </w:r>
      <w:r>
        <w:rPr>
          <w:rFonts w:ascii="Consolas" w:hAnsi="Consolas"/>
        </w:rPr>
        <w:t>sql/widoki_powerbi.sql</w:t>
      </w:r>
      <w:r>
        <w:t>. Baza odpowiada schematowi gwiazdy: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3249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Grupa</w:t>
            </w:r>
          </w:p>
        </w:tc>
        <w:tc>
          <w:tcPr>
            <w:tcW w:type="dxa" w:w="3249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Tabele</w:t>
            </w:r>
          </w:p>
        </w:tc>
        <w:tc>
          <w:tcPr>
            <w:tcW w:type="dxa" w:w="3249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Liczba wierszy</w:t>
            </w:r>
          </w:p>
        </w:tc>
      </w:tr>
      <w:tr>
        <w:trPr>
          <w:cantSplit w:val="true"/>
        </w:trPr>
        <w:tc>
          <w:tcPr>
            <w:tcW w:type="dxa" w:w="3249"/>
          </w:tcPr>
          <w:p>
            <w:pPr>
              <w:spacing w:after="40" w:line="240" w:lineRule="auto"/>
            </w:pPr>
            <w:r>
              <w:rPr>
                <w:sz w:val="20"/>
              </w:rPr>
              <w:t>wymiary</w:t>
            </w:r>
          </w:p>
        </w:tc>
        <w:tc>
          <w:tcPr>
            <w:tcW w:type="dxa" w:w="3249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20"/>
              </w:rPr>
              <w:t>dim_kalendarz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dim_godzina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dim_czas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dim_zrodlo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dim_lokalizacja</w:t>
            </w:r>
          </w:p>
        </w:tc>
        <w:tc>
          <w:tcPr>
            <w:tcW w:type="dxa" w:w="3249"/>
          </w:tcPr>
          <w:p>
            <w:pPr>
              <w:spacing w:after="40" w:line="240" w:lineRule="auto"/>
            </w:pPr>
            <w:r>
              <w:rPr>
                <w:sz w:val="20"/>
              </w:rPr>
              <w:t>1 734 doby, 24 godziny, 41 615 godzin, 15 źródeł, 10 lokalizacji</w:t>
            </w:r>
          </w:p>
        </w:tc>
      </w:tr>
      <w:tr>
        <w:trPr>
          <w:cantSplit w:val="true"/>
        </w:trPr>
        <w:tc>
          <w:tcPr>
            <w:tcW w:type="dxa" w:w="32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fakty</w:t>
            </w:r>
          </w:p>
        </w:tc>
        <w:tc>
          <w:tcPr>
            <w:tcW w:type="dxa" w:w="3249"/>
            <w:shd w:val="clear" w:color="auto" w:fill="EEF4F7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20"/>
              </w:rPr>
              <w:t>fakt_kse_godzinowy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fakt_miks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fakt_pogoda_stacje</w:t>
            </w:r>
          </w:p>
        </w:tc>
        <w:tc>
          <w:tcPr>
            <w:tcW w:type="dxa" w:w="32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41 615; 500 125; 416 150</w:t>
            </w:r>
          </w:p>
        </w:tc>
      </w:tr>
      <w:tr>
        <w:trPr>
          <w:cantSplit w:val="true"/>
        </w:trPr>
        <w:tc>
          <w:tcPr>
            <w:tcW w:type="dxa" w:w="3249"/>
          </w:tcPr>
          <w:p>
            <w:pPr>
              <w:spacing w:after="40" w:line="240" w:lineRule="auto"/>
            </w:pPr>
            <w:r>
              <w:rPr>
                <w:sz w:val="20"/>
              </w:rPr>
              <w:t>wyniki analiz</w:t>
            </w:r>
          </w:p>
        </w:tc>
        <w:tc>
          <w:tcPr>
            <w:tcW w:type="dxa" w:w="3249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20"/>
              </w:rPr>
              <w:t>prognozy_test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metryki_modeli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walidacja_krzyzowa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waznosc_cech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symulacja_temperatury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klastry_*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jakosc_danych</w:t>
            </w:r>
          </w:p>
        </w:tc>
        <w:tc>
          <w:tcPr>
            <w:tcW w:type="dxa" w:w="3249"/>
          </w:tcPr>
          <w:p>
            <w:pPr>
              <w:spacing w:after="40" w:line="240" w:lineRule="auto"/>
            </w:pPr>
            <w:r>
              <w:rPr>
                <w:sz w:val="20"/>
              </w:rPr>
              <w:t>od 5 do 137 571</w:t>
            </w:r>
          </w:p>
        </w:tc>
      </w:tr>
      <w:tr>
        <w:trPr>
          <w:cantSplit w:val="true"/>
        </w:trPr>
        <w:tc>
          <w:tcPr>
            <w:tcW w:type="dxa" w:w="32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widoki</w:t>
            </w:r>
          </w:p>
        </w:tc>
        <w:tc>
          <w:tcPr>
            <w:tcW w:type="dxa" w:w="32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5 widoków analitycznych </w:t>
            </w:r>
            <w:r>
              <w:rPr>
                <w:rFonts w:ascii="Consolas" w:hAnsi="Consolas"/>
                <w:sz w:val="20"/>
              </w:rPr>
              <w:t>v_*</w:t>
            </w:r>
            <w:r>
              <w:rPr>
                <w:sz w:val="20"/>
              </w:rPr>
              <w:t xml:space="preserve"> (aplikacja) i 15 widoków raportowych </w:t>
            </w:r>
            <w:r>
              <w:rPr>
                <w:rFonts w:ascii="Consolas" w:hAnsi="Consolas"/>
                <w:sz w:val="20"/>
              </w:rPr>
              <w:t>pbi_*</w:t>
            </w:r>
            <w:r>
              <w:rPr>
                <w:sz w:val="20"/>
              </w:rPr>
              <w:t xml:space="preserve"> (Power BI)</w:t>
            </w:r>
          </w:p>
        </w:tc>
        <w:tc>
          <w:tcPr>
            <w:tcW w:type="dxa" w:w="32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–</w:t>
            </w:r>
          </w:p>
        </w:tc>
      </w:tr>
    </w:tbl>
    <w:p>
      <w:pPr>
        <w:spacing w:after="40"/>
      </w:pPr>
    </w:p>
    <w:p>
      <w:r>
        <w:t xml:space="preserve">Integralność danych zapewniają klucze główne, klucze obce i ograniczenia CHECK. Wspólnym kluczem czasu jest początek godziny w UTC, a tabela </w:t>
      </w:r>
      <w:r>
        <w:rPr>
          <w:rFonts w:ascii="Consolas" w:hAnsi="Consolas"/>
        </w:rPr>
        <w:t>dim_czas</w:t>
      </w:r>
      <w:r>
        <w:t xml:space="preserve"> przypisuje mu czas lokalny i datę kalendarzową. Aplikacja analityczna odczytuje dane zapytaniami SQL, a raport Power BI – za pośrednictwem sterownika ODBC.</w:t>
      </w:r>
    </w:p>
    <w:p>
      <w:pPr>
        <w:pStyle w:val="Heading1"/>
      </w:pPr>
      <w:r>
        <w:t>3. Wyniki analizy eksploracyjnej</w:t>
      </w:r>
    </w:p>
    <w:p>
      <w:r>
        <w:t xml:space="preserve">Analizę wykonano w notebooku </w:t>
      </w:r>
      <w:r>
        <w:rPr>
          <w:rFonts w:ascii="Consolas" w:hAnsi="Consolas"/>
        </w:rPr>
        <w:t>03_analiza_eksploracyjna.ipynb</w:t>
      </w:r>
      <w:r>
        <w:t xml:space="preserve"> przy użyciu funkcji modułu </w:t>
      </w:r>
      <w:r>
        <w:rPr>
          <w:rFonts w:ascii="Consolas" w:hAnsi="Consolas"/>
        </w:rPr>
        <w:t>src/analiza.py</w:t>
      </w:r>
      <w:r>
        <w:t>.</w:t>
      </w:r>
    </w:p>
    <w:p>
      <w:pPr>
        <w:pStyle w:val="Heading2"/>
      </w:pPr>
      <w:r>
        <w:t>3.1. P1 – zapotrzebowanie a temperatura i kalendarz</w:t>
      </w:r>
    </w:p>
    <w:p>
      <w:r>
        <w:t>Średnie zapotrzebowanie na moc w okresie analizy wyniosło 18 753 MW (maksimum 28 304 MW). Do średnich dobowych wartości z dni roboczych dopasowano wielomian 4. stopnia (rycina 3). Zależność ma kształt litery „U” z minimum przy 18,1°C. Przy mrozie (średnia dobowa poniżej 0°C) zapotrzebowanie jest o 24,0% wyższe niż w minimum, a w upały (powyżej 24°C) – o 6,3%. Wpływ ogrzewania jest więc w Polsce kilkukrotnie silniejszy niż wpływ klimatyzacji. Przy tej samej temperaturze zapotrzebowanie w kolejnych latach jest coraz niższe, co jest zgodne z rozwojem prosumenckich instalacji fotowoltaicznych – energia zużywana w miejscu wytworzenia nie jest widoczna w zapotrzebowaniu na moc z sieci.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40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4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3. Średnie dobowe zapotrzebowanie a średnia dobowa temperatura (dni robocze)</w:t>
      </w:r>
    </w:p>
    <w:p>
      <w:r>
        <w:t>Czynniki kalendarzowe mają wpływ porównywalny z temperaturą (rycina 4, tabela poniżej). Zapotrzebowanie wykazuje sezonowość dobową (minimum w nocy, szczyt poranny i wieczorny), tygodniową i roczną (najwyższe wartości zimą). W dni pomostowe – formalnie robocze – zapotrzebowanie jest zbliżone do weekendowego.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 w:val="true"/>
        </w:trPr>
        <w:tc>
          <w:tcPr>
            <w:tcW w:type="dxa" w:w="3249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Typ dnia</w:t>
            </w:r>
          </w:p>
        </w:tc>
        <w:tc>
          <w:tcPr>
            <w:tcW w:type="dxa" w:w="3249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Średnie zapotrzebowanie [MW]</w:t>
            </w:r>
          </w:p>
        </w:tc>
        <w:tc>
          <w:tcPr>
            <w:tcW w:type="dxa" w:w="3249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Zmiana względem dni roboczych</w:t>
            </w:r>
          </w:p>
        </w:tc>
      </w:tr>
      <w:tr>
        <w:trPr>
          <w:cantSplit w:val="true"/>
        </w:trPr>
        <w:tc>
          <w:tcPr>
            <w:tcW w:type="dxa" w:w="32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roboczy</w:t>
            </w:r>
          </w:p>
        </w:tc>
        <w:tc>
          <w:tcPr>
            <w:tcW w:type="dxa" w:w="32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19 778</w:t>
            </w:r>
          </w:p>
        </w:tc>
        <w:tc>
          <w:tcPr>
            <w:tcW w:type="dxa" w:w="32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–</w:t>
            </w:r>
          </w:p>
        </w:tc>
      </w:tr>
      <w:tr>
        <w:trPr>
          <w:cantSplit w:val="true"/>
        </w:trPr>
        <w:tc>
          <w:tcPr>
            <w:tcW w:type="dxa" w:w="32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pomostowy</w:t>
            </w:r>
          </w:p>
        </w:tc>
        <w:tc>
          <w:tcPr>
            <w:tcW w:type="dxa" w:w="32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16 868</w:t>
            </w:r>
          </w:p>
        </w:tc>
        <w:tc>
          <w:tcPr>
            <w:tcW w:type="dxa" w:w="3249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−14,7%</w:t>
            </w:r>
          </w:p>
        </w:tc>
      </w:tr>
      <w:tr>
        <w:trPr>
          <w:cantSplit w:val="true"/>
        </w:trPr>
        <w:tc>
          <w:tcPr>
            <w:tcW w:type="dxa" w:w="32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weekend</w:t>
            </w:r>
          </w:p>
        </w:tc>
        <w:tc>
          <w:tcPr>
            <w:tcW w:type="dxa" w:w="32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16 763</w:t>
            </w:r>
          </w:p>
        </w:tc>
        <w:tc>
          <w:tcPr>
            <w:tcW w:type="dxa" w:w="3249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−15,2%</w:t>
            </w:r>
          </w:p>
        </w:tc>
      </w:tr>
      <w:tr>
        <w:trPr>
          <w:cantSplit w:val="true"/>
        </w:trPr>
        <w:tc>
          <w:tcPr>
            <w:tcW w:type="dxa" w:w="32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święto</w:t>
            </w:r>
          </w:p>
        </w:tc>
        <w:tc>
          <w:tcPr>
            <w:tcW w:type="dxa" w:w="32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15 058</w:t>
            </w:r>
          </w:p>
        </w:tc>
        <w:tc>
          <w:tcPr>
            <w:tcW w:type="dxa" w:w="3249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−23,9%</w:t>
            </w:r>
          </w:p>
        </w:tc>
      </w:tr>
    </w:tbl>
    <w:p>
      <w:pPr>
        <w:spacing w:after="4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24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2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4. Średni profil dobowy zapotrzebowania według sezonu i typu dnia</w:t>
      </w:r>
    </w:p>
    <w:p>
      <w:pPr>
        <w:pStyle w:val="Heading2"/>
      </w:pPr>
      <w:r>
        <w:t>3.2. P2 – odnawialne źródła energii w miksie</w:t>
      </w:r>
    </w:p>
    <w:p>
      <w:r>
        <w:t>Struktura wytwarzania energii elektrycznej zmieniła się w okresie analizy w sposób istotny (rycina 5). Średni udział OZE w generacji wzrósł z 19,2% w 2022 r. do 28,4% w 2025 r. (30,2% w okresie styczeń–wrzesień 2026 r.), a łączny udział węgla kamiennego i brunatnego spadł z 73,5% do 52,7%. Wzrost udziału OZE wynika przede wszystkim z fotowoltaiki, której średnia generacja zwiększyła się z 1 061 MW (2022) do 2 195 MW (2025). Generacja wiatrowa pozostaje na zbliżonym poziomie (2,1–2,7 GW) i zależy głównie od warunków wietrznych danego roku. W lipcu 2026 r. w danych pojawiła się generacja z pierwszej polskiej morskiej farmy wiatrowej.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371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3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5. Średnia miesięczna generacja według grup źródeł</w:t>
      </w:r>
    </w:p>
    <w:p>
      <w:r>
        <w:t>Fotowoltaika dominuje od kwietnia do września, a energetyka wiatrowa – od października do marca, dzięki czemu oba źródła częściowo się uzupełniają (rycina 6, lewa część). Wzrost mocy w fotowoltaice zmienia przebieg zapotrzebowania netto (zapotrzebowanie pomniejszone o generację z wiatru i PV), które muszą pokryć źródła sterowalne. Latem w dni robocze zapotrzebowanie netto w godzinach 11–15 jest o 44% niższe niż w szczytach porannym i wieczornym, a spadek ten pogłębia się z roku na rok – kształt profilu odpowiada tzw. krzywej kaczki (</w:t>
      </w:r>
      <w:r>
        <w:rPr>
          <w:i/>
        </w:rPr>
        <w:t>duck curve</w:t>
      </w:r>
      <w:r>
        <w:t>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847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ze_sez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84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6. Sezonowość generacji z OZE i zapotrzebowanie netto latem w kolejnych latach</w:t>
      </w:r>
    </w:p>
    <w:p>
      <w:r>
        <w:t>Generacja z OZE jest silnie zdeterminowana pogodą: korelacja Spearmana między prędkością wiatru na wysokości 100 m a generacją wiatrową oraz między promieniowaniem słonecznym a generacją PV wynosi 0,94. Zależność generacji wiatrowej od prędkości wiatru ma kształt krzywej mocy turbiny (litera „S”), a generacja PV rośnie niemal liniowo z natężeniem promieniowania; nachylenie tej zależności zwiększa się z roku na rok wraz z przyrostem mocy zainstalowanej (rycina 7). W latach 2025–2026 generacja wiatrowa nie rośnie powyżej ok. 10–11 m/s, czego możliwą przyczyną są polecenia operatora ograniczające generację OZE w okresach nadpodaży.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137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zywe_mo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13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7. Empiryczne krzywe mocy: generacja wiatrowa i fotowoltaiczna w zależności od warunków pogodowych</w:t>
      </w:r>
    </w:p>
    <w:p>
      <w:pPr>
        <w:pStyle w:val="Heading2"/>
      </w:pPr>
      <w:r>
        <w:t>3.3. P3 – OZE a cena energii</w:t>
      </w:r>
    </w:p>
    <w:p>
      <w:r>
        <w:t xml:space="preserve">Średnia cena energii na Rynku Dnia Następnego wyniosła w okresie analizy 532 PLN/MWh, przy czym najwyższe ceny wystąpiły w czasie kryzysu energetycznego 2022 r. (średnio 783 PLN/MWh). Udział OZE w generacji jest ujemnie skorelowany z ceną (korelacja Spearmana −0,63): średnia cena spada z 777 PLN/MWh przy udziale OZE poniżej 10% do 70 PLN/MWh przy udziale 60–70% (rycina 8). Potwierdza to efekt </w:t>
      </w:r>
      <w:r>
        <w:rPr>
          <w:i/>
        </w:rPr>
        <w:t>merit order</w:t>
      </w:r>
      <w:r>
        <w:t xml:space="preserve"> – energia z OZE o zerowym koszcie zmiennym wypiera z rynku droższe źródła konwencjonalne.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553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a_o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5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8. Cena energii według udziału OZE w generacji</w:t>
      </w:r>
    </w:p>
    <w:p>
      <w:r>
        <w:t>Mapa cen w układzie godzina × miesiąc (rycina 9) pokazuje, że od wiosny do jesieni najtańsza energia występuje w godzinach południowych, a najdroższa – w szczycie wieczornym po zachodzie słońca.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4616" cy="39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4616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9. Średnia cena energii w układzie godzina × miesiąc (2024–2026)</w:t>
      </w:r>
    </w:p>
    <w:p>
      <w:pPr>
        <w:keepNext/>
      </w:pPr>
      <w:r>
        <w:t>Liczba godzin z ceną ujemną rośnie z roku na rok: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 w:val="true"/>
        </w:trPr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Rok</w:t>
            </w:r>
          </w:p>
        </w:tc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Godziny z ceną ujemną</w:t>
            </w:r>
          </w:p>
        </w:tc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Cena minimalna [PLN/MWh]</w:t>
            </w:r>
          </w:p>
        </w:tc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Średnia cena [PLN/MWh]</w:t>
            </w:r>
          </w:p>
        </w:tc>
      </w:tr>
      <w:tr>
        <w:trPr>
          <w:cantSplit w:val="true"/>
        </w:trPr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2022</w:t>
            </w:r>
          </w:p>
        </w:tc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75,71</w:t>
            </w:r>
          </w:p>
        </w:tc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782,70</w:t>
            </w:r>
          </w:p>
        </w:tc>
      </w:tr>
      <w:tr>
        <w:trPr>
          <w:cantSplit w:val="true"/>
        </w:trPr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2023</w:t>
            </w:r>
          </w:p>
        </w:tc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43</w:t>
            </w:r>
          </w:p>
        </w:tc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−59,78</w:t>
            </w:r>
          </w:p>
        </w:tc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508,64</w:t>
            </w:r>
          </w:p>
        </w:tc>
      </w:tr>
      <w:tr>
        <w:trPr>
          <w:cantSplit w:val="true"/>
        </w:trPr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2024</w:t>
            </w:r>
          </w:p>
        </w:tc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197</w:t>
            </w:r>
          </w:p>
        </w:tc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−265,14</w:t>
            </w:r>
          </w:p>
        </w:tc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414,54</w:t>
            </w:r>
          </w:p>
        </w:tc>
      </w:tr>
      <w:tr>
        <w:trPr>
          <w:cantSplit w:val="true"/>
        </w:trPr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2025</w:t>
            </w:r>
          </w:p>
        </w:tc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310</w:t>
            </w:r>
          </w:p>
        </w:tc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−567,92</w:t>
            </w:r>
          </w:p>
        </w:tc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442,06</w:t>
            </w:r>
          </w:p>
        </w:tc>
      </w:tr>
      <w:tr>
        <w:trPr>
          <w:cantSplit w:val="true"/>
        </w:trPr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2026 (do 30.09)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314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−1 998,41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503,09</w:t>
            </w:r>
          </w:p>
        </w:tc>
      </w:tr>
    </w:tbl>
    <w:p>
      <w:pPr>
        <w:spacing w:after="40"/>
      </w:pPr>
    </w:p>
    <w:p>
      <w:r>
        <w:t>Ceny ujemne występują w 72% przypadków w dni wolne od pracy (weekendy 56%, święta 14%, dni pomostowe 2%). W godzinach z ceną ujemną udział OZE wynosi średnio 54,7% (wobec 25,5% w pozostałych godzinach), generacja PV 7,2 GW (wobec 1,8 GW), a generacja wiatrowa 2,7 GW (wobec 2,4 GW). Czynnikiem decydującym o wystąpieniu cen ujemnych jest więc fotowoltaika przy obniżonym zapotrzebowaniu, a nie wiatr. Rośnie także dobowa rozpiętość cen – jej mediana wzrosła z ok. 300 PLN/MWh w 2023 r. do ok. 560 PLN/MWh w 2025 r. i ok. 690 PLN/MWh w 2026 r., co zwiększa opłacalność magazynów energii.</w:t>
      </w:r>
    </w:p>
    <w:p>
      <w:pPr>
        <w:pStyle w:val="Heading1"/>
      </w:pPr>
      <w:r>
        <w:t>4. Model prognozy zapotrzebowania (P4)</w:t>
      </w:r>
    </w:p>
    <w:p>
      <w:pPr>
        <w:pStyle w:val="Heading2"/>
      </w:pPr>
      <w:r>
        <w:t>4.1. Założenia i zmienne objaśniające</w:t>
      </w:r>
    </w:p>
    <w:p>
      <w:r>
        <w:t>Zmienną objaśnianą jest średnie godzinowe zapotrzebowanie na moc w KSE [MW], a horyzontem prognozy – doba naprzód. PSE publikuje zapotrzebowanie rzeczywiste z ok. jednodniowym opóźnieniem, więc w chwili sporządzania prognozy (doba D−1) znane są pełne dane do doby D−2. Najkrótsze opóźnienie zapotrzebowania wynosi zatem 48 h, co zapobiega wykorzystaniu informacji niedostępnej w praktyce (</w:t>
      </w:r>
      <w:r>
        <w:rPr>
          <w:i/>
        </w:rPr>
        <w:t>data leakage</w:t>
      </w:r>
      <w: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4873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Grupa</w:t>
            </w:r>
          </w:p>
        </w:tc>
        <w:tc>
          <w:tcPr>
            <w:tcW w:type="dxa" w:w="4873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Zmienne objaśniające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kalendarzowe</w:t>
            </w:r>
          </w:p>
        </w:tc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godzina doby, dzień tygodnia, miesiąc, święto, dzień pomostowy</w:t>
            </w:r>
          </w:p>
        </w:tc>
      </w:tr>
      <w:tr>
        <w:trPr>
          <w:cantSplit w:val="true"/>
        </w:trPr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pogodowe</w:t>
            </w:r>
          </w:p>
        </w:tc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temperatura, stopniogodziny grzania (HDD, próg 18°C) i chłodzenia (CDD, próg 22°C), średnia temperatura z 24 h, promieniowanie słoneczne, zachmurzenie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opóźnione</w:t>
            </w:r>
          </w:p>
        </w:tc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zapotrzebowanie sprzed 48 h i sprzed 7 dni, średnie zapotrzebowanie o tej samej godzinie w 7 znanych dobach</w:t>
            </w:r>
          </w:p>
        </w:tc>
      </w:tr>
    </w:tbl>
    <w:p>
      <w:pPr>
        <w:spacing w:after="40"/>
      </w:pPr>
    </w:p>
    <w:p>
      <w:r>
        <w:t>Porównano cztery podejścia: prognozę naiwną (wartość sprzed tygodnia), regresję liniową z regularyzacją (Ridge, ze zmiennymi kategorycznymi zakodowanymi metodą one-hot), las losowy (Random Forest) oraz gradientowe wzmacnianie drzew (HistGradientBoosting). Zbiór uczący obejmuje lata 2022–2025 (34 872 godziny), a zbiór testowy – okres 01.01–30.09.2026 (6 551 godzin), dla którego dostępna jest porównywalna prognoza PSE.</w:t>
      </w:r>
    </w:p>
    <w:p>
      <w:pPr>
        <w:pStyle w:val="Heading2"/>
      </w:pPr>
      <w:r>
        <w:t>4.2. Wyniki</w:t>
      </w:r>
    </w:p>
    <w:p>
      <w:pPr>
        <w:keepNext/>
      </w:pPr>
      <w:r>
        <w:t>W walidacji krzyżowej z podziałem chronologicznym (</w:t>
      </w:r>
      <w:r>
        <w:rPr>
          <w:rFonts w:ascii="Consolas" w:hAnsi="Consolas"/>
        </w:rPr>
        <w:t>TimeSeriesSplit</w:t>
      </w:r>
      <w:r>
        <w:t>, 5 kolejnych okresów po 90 dni) średnie MAPE wyniosło: HistGradientBoosting 3,19%, Random Forest 3,27%, regresja liniowa 4,57%, prognoza naiwna 5,56%. Ranking był stabilny we wszystkich okresach walidacyjnych. Wyniki na zbiorze testowym: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 w:val="true"/>
        </w:trPr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MAPE [%]</w:t>
            </w:r>
          </w:p>
        </w:tc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MAE [MW]</w:t>
            </w:r>
          </w:p>
        </w:tc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RMSE [MW]</w:t>
            </w:r>
          </w:p>
        </w:tc>
      </w:tr>
      <w:tr>
        <w:trPr>
          <w:cantSplit w:val="true"/>
        </w:trPr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Prognoza PSE</w:t>
            </w:r>
          </w:p>
        </w:tc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2,49</w:t>
            </w:r>
          </w:p>
        </w:tc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449</w:t>
            </w:r>
          </w:p>
        </w:tc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591</w:t>
            </w:r>
          </w:p>
        </w:tc>
      </w:tr>
      <w:tr>
        <w:trPr>
          <w:cantSplit w:val="true"/>
        </w:trPr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b/>
                <w:sz w:val="20"/>
              </w:rPr>
              <w:t>HistGradientBoosting</w:t>
            </w:r>
          </w:p>
        </w:tc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b/>
                <w:sz w:val="20"/>
              </w:rPr>
              <w:t>2,88</w:t>
            </w:r>
          </w:p>
        </w:tc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b/>
                <w:sz w:val="20"/>
              </w:rPr>
              <w:t>524</w:t>
            </w:r>
          </w:p>
        </w:tc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b/>
                <w:sz w:val="20"/>
              </w:rPr>
              <w:t>701</w:t>
            </w:r>
          </w:p>
        </w:tc>
      </w:tr>
      <w:tr>
        <w:trPr>
          <w:cantSplit w:val="true"/>
        </w:trPr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Random Forest</w:t>
            </w:r>
          </w:p>
        </w:tc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3,13</w:t>
            </w:r>
          </w:p>
        </w:tc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570</w:t>
            </w:r>
          </w:p>
        </w:tc>
        <w:tc>
          <w:tcPr>
            <w:tcW w:type="dxa" w:w="2436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780</w:t>
            </w:r>
          </w:p>
        </w:tc>
      </w:tr>
      <w:tr>
        <w:trPr>
          <w:cantSplit w:val="true"/>
        </w:trPr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Regresja liniowa (Ridge)</w:t>
            </w:r>
          </w:p>
        </w:tc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4,04</w:t>
            </w:r>
          </w:p>
        </w:tc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701</w:t>
            </w:r>
          </w:p>
        </w:tc>
        <w:tc>
          <w:tcPr>
            <w:tcW w:type="dxa" w:w="2436"/>
            <w:shd w:val="clear" w:color="auto" w:fill="EEF4F7"/>
          </w:tcPr>
          <w:p>
            <w:pPr>
              <w:keepNext/>
              <w:spacing w:after="40" w:line="240" w:lineRule="auto"/>
            </w:pPr>
            <w:r>
              <w:rPr>
                <w:sz w:val="20"/>
              </w:rPr>
              <w:t>943</w:t>
            </w:r>
          </w:p>
        </w:tc>
      </w:tr>
      <w:tr>
        <w:trPr>
          <w:cantSplit w:val="true"/>
        </w:trPr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Prognoza naiwna (tydzień wcześniej)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5,72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1 048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1 548</w:t>
            </w:r>
          </w:p>
        </w:tc>
      </w:tr>
    </w:tbl>
    <w:p>
      <w:pPr>
        <w:spacing w:after="40"/>
      </w:pPr>
    </w:p>
    <w:p>
      <w:r>
        <w:t>Najlepszy model uczenia maszynowego – HistGradientBoosting – zmniejszył błąd prognozy naiwnej o połowę i ustępuje prognozie operatora systemu o 0,39 p.p. Przewaga modeli drzewiastych nad regresją liniową wynika z nieliniowych zależności i interakcji (np. godzina × dzień tygodnia), których model liniowy nie odwzorowuje. Rycina 10 przedstawia przebieg prognoz w tygodniu wielkanocnym 2026 r. – okresie szczególnie trudnym, ponieważ cechy opóźnione pochodzą ze zwykłych dni.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187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dzi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1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10. Zapotrzebowanie rzeczywiste i prognozy w okresie 30.03–8.04.2026</w:t>
      </w:r>
    </w:p>
    <w:p>
      <w:r>
        <w:t>Struktura błędów (rycina 11) wskazuje, że prognoza PSE jest wyraźnie dokładniejsza w nocy (MAPE ok. 2% wobec ok. 3%) oraz w miesiącach zimowych, natomiast w godzinach 9–15 i w miesiącach letnich model osiąga dokładność porównywalną lub lepszą. Operator dysponuje informacjami niedostępnymi w projekcie: bieżącymi pomiarami z doby D−1, prognozami pogody o wysokiej rozdzielczości oraz informacjami o planowanej pracy dużych odbiorców. Najtrudniejsze dla wszystkich prognoz są święta (MAPE modelu 4,47%, PSE 3,81%) i dni pomostowe. Obie prognozy średnio zawyżają zapotrzebowanie w 2026 r. (PSE o ok. 185 MW, model o ok. 134 MW), co jest zgodne ze spadkowym trendem zapotrzebowania.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6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d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11. MAPE według godziny doby i miesiąca</w:t>
      </w:r>
    </w:p>
    <w:p>
      <w:pPr>
        <w:pStyle w:val="Heading2"/>
      </w:pPr>
      <w:r>
        <w:t>4.3. Ważność cech</w:t>
      </w:r>
    </w:p>
    <w:p>
      <w:r>
        <w:t>Permutacyjna ważność cech (wzrost błędu MAE po losowym przemieszaniu wartości cechy) wskazuje, że największy wpływ na prognozę mają: dzień tygodnia, zapotrzebowanie sprzed 7 dni, godzina doby, średnie zapotrzebowanie o tej samej godzinie z 7 dób oraz zapotrzebowanie sprzed 48 h (rycina 12). Cechy pogodowe mają mniejszą ważność permutacyjną, ponieważ poziom zapotrzebowania wynikający z pogody zawierają w dużej mierze cechy opóźnione (temperatura zmienia się powoli). Temperatura decyduje natomiast o zmianach prognozy przy nagłych zmianach pogody.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6422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znos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42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12. Permutacyjna ważność cech modelu HistGradientBoosting</w:t>
      </w:r>
    </w:p>
    <w:p>
      <w:pPr>
        <w:pStyle w:val="Heading2"/>
      </w:pPr>
      <w:r>
        <w:t>4.4. Symulacja wpływu temperatury (what-if)</w:t>
      </w:r>
    </w:p>
    <w:p>
      <w:r>
        <w:t>Model produkcyjny, uczony na wszystkich danych, wykorzystano do symulacji: dla każdej godziny zbioru testowego temperaturę (wraz z HDD, CDD i średnią z 24 h) zmieniano o −10…+10°C przy pozostałych cechach bez zmian (rycina 13). Spadek temperatury o 10°C zwiększa zapotrzebowanie zimą o ok. 5,4%, a wzrost temperatury o 10°C latem – o ok. 6,2%. Wpływ jest asymetryczny i odpowiada zależności w kształcie litery „U” opisanej w rozdziale 3.1. Te same wyniki prezentuje parametr symulacyjny w raporcie Power BI.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39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i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3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13. Symulowana zmiana średniego zapotrzebowania przy zmianie temperatury</w:t>
      </w:r>
    </w:p>
    <w:p>
      <w:pPr>
        <w:pStyle w:val="Heading1"/>
      </w:pPr>
      <w:r>
        <w:t>5. Klasteryzacja profili dobowych (P5)</w:t>
      </w:r>
    </w:p>
    <w:p>
      <w:r>
        <w:t>Każdą dobę opisano wektorem 24 wartości godzinowych. Aby grupować doby według kształtu przebiegu, a nie poziomu, profile zapotrzebowania podzielono przez średnią dobową, a profile cen – ze względu na występowanie wartości ujemnych – standaryzowano w obrębie doby. Liczbę klastrów dobrano na podstawie metody łokcia i współczynnika sylwetki. Najwyższą sylwetkę uzyskano dla k = 2, jednak taki podział rozdziela wyłącznie dni robocze i wolne, co jest znane z góry. Przyjęto k = 4 – sylwetka jest równa wartości dla k = 3 (0,30), a dodatkowy klaster pozwala oddzielić soboty od niedziel i świąt.</w:t>
      </w:r>
    </w:p>
    <w:p>
      <w:r>
        <w:rPr>
          <w:b/>
        </w:rPr>
        <w:t>Profile zapotrzebowania</w:t>
      </w:r>
      <w:r>
        <w:t xml:space="preserve"> utworzyły cztery wyraźnie oddzielone grupy: wtorki–piątki (936 dób), poniedziałki (261), soboty (250) oraz niedziele i święta (287) – rycina 14. Algorytm, który nie otrzymał żadnej informacji o kalendarzu, odtworzył podział według typu dnia (np. 91% dób klastra „soboty” to soboty, a klaster „niedziele i święta” zawiera także święta przypadające w dni robocze). Poniedziałki wyróżniają się głębszym nocnym minimum i wolniejszym porannym wzrostem zapotrzebowania po weekendzie.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5040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astry_z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50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14. Przeciętny profil dobowy zapotrzebowania w klastrach</w:t>
      </w:r>
    </w:p>
    <w:p>
      <w:r>
        <w:rPr>
          <w:b/>
        </w:rPr>
        <w:t>Profile cen</w:t>
      </w:r>
      <w:r>
        <w:t xml:space="preserve"> grupują się przede wszystkim według pory roku (rycina 15): zimą dominuje profil z dwoma szczytami (poranny i popołudniowy) bez spadku w południe, a wiosną i latem – profil z minimum w godzinach 11–14 i szczytem wieczornym ok. godz. 20. Liczba dób z głębokim minimum południowym rośnie z roku na rok (58 dób w 2022 r., 131 w 2025 r. i 166 w ciągu dziewięciu miesięcy 2026 r.), a liczba dób z klasycznym profilem zimowym maleje (120 w 2022 r., 70 w 2025 r.) – rycina 16. Struktura dobowa cen zmienia się więc wraz z przyrostem mocy w fotowoltaice.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884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astry_cen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8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15. Kształt profilu ceny energii w klastrach (cena standaryzowana w obrębie doby)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206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astry_kalendarz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2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16. Przynależność dób do klastrów profilu ceny w kolejnych latach</w:t>
      </w:r>
    </w:p>
    <w:p>
      <w:pPr>
        <w:pStyle w:val="Heading1"/>
      </w:pPr>
      <w:r>
        <w:t>6. Weryfikacja hipotez badawczych</w:t>
      </w:r>
    </w:p>
    <w:p>
      <w:r>
        <w:t xml:space="preserve">Hipotezy zweryfikowano automatycznie funkcją </w:t>
      </w:r>
      <w:r>
        <w:rPr>
          <w:rFonts w:ascii="Consolas" w:hAnsi="Consolas"/>
        </w:rPr>
        <w:t>weryfikuj_hipotezy()</w:t>
      </w:r>
      <w:r>
        <w:t xml:space="preserve"> na podstawie kryteriów liczbowych zapisanych w kodzie; te same wyniki prezentuje strona startowa aplikacji.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 w:val="true"/>
        </w:trPr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Hipoteza</w:t>
            </w:r>
          </w:p>
        </w:tc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Wynik</w:t>
            </w:r>
          </w:p>
        </w:tc>
        <w:tc>
          <w:tcPr>
            <w:tcW w:type="dxa" w:w="2436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Werdykt</w:t>
            </w:r>
          </w:p>
        </w:tc>
      </w:tr>
      <w:tr>
        <w:trPr>
          <w:cantSplit w:val="true"/>
        </w:trPr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H1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Nieliniowa (U) zależność zapotrzebowania od temperatury z minimum ok. 15–18°C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minimum przy 18,1°C; przy mrozie +24,0%, w upały +6,3% względem minimum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potwierdzona</w:t>
            </w:r>
          </w:p>
        </w:tc>
      </w:tr>
      <w:tr>
        <w:trPr>
          <w:cantSplit w:val="true"/>
        </w:trPr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H2</w:t>
            </w:r>
          </w:p>
        </w:tc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Sezonowość dobowa, tygodniowa i roczna; spadek zapotrzebowania netto w południe (krzywa kaczki)</w:t>
            </w:r>
          </w:p>
        </w:tc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weekend −15,2%, święta −23,9%; latem zapotrzebowanie netto w godz. 11–15 niższe o 44% niż w szczytach</w:t>
            </w:r>
          </w:p>
        </w:tc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potwierdzona</w:t>
            </w:r>
          </w:p>
        </w:tc>
      </w:tr>
      <w:tr>
        <w:trPr>
          <w:cantSplit w:val="true"/>
        </w:trPr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H3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Efekt merit order; ceny ujemne głównie w dni wolne przy wysokiej generacji z OZE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korelacja −0,63; cena 173 vs 795 PLN/MWh (10% godzin z najwyższym vs najniższym udziałem OZE); 72% z 864 godzin z ceną ujemną w dni wolne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potwierdzona</w:t>
            </w:r>
          </w:p>
        </w:tc>
      </w:tr>
      <w:tr>
        <w:trPr>
          <w:cantSplit w:val="true"/>
        </w:trPr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H4</w:t>
            </w:r>
          </w:p>
        </w:tc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Wzrost udziału OZE; PV dominuje latem, wiatr zimą</w:t>
            </w:r>
          </w:p>
        </w:tc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udział OZE 19,2% → 28,4% (2022–2025); PV latem 2 987 MW vs zimą 569 MW; wiatr zimą 3 345 MW vs latem 1 686 MW</w:t>
            </w:r>
          </w:p>
        </w:tc>
        <w:tc>
          <w:tcPr>
            <w:tcW w:type="dxa" w:w="2436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potwierdzona</w:t>
            </w:r>
          </w:p>
        </w:tc>
      </w:tr>
      <w:tr>
        <w:trPr>
          <w:cantSplit w:val="true"/>
        </w:trPr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H5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Model ML osiągnie MAPE na poziomie kilku procent, porównywalne z prognozą PSE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HistGradientBoosting 2,88% vs PSE 2,49% (+0,39 p.p.), prognoza naiwna 5,72%</w:t>
            </w:r>
          </w:p>
        </w:tc>
        <w:tc>
          <w:tcPr>
            <w:tcW w:type="dxa" w:w="2436"/>
          </w:tcPr>
          <w:p>
            <w:pPr>
              <w:spacing w:after="40" w:line="240" w:lineRule="auto"/>
            </w:pPr>
            <w:r>
              <w:rPr>
                <w:sz w:val="20"/>
              </w:rPr>
              <w:t>potwierdzona</w:t>
            </w:r>
          </w:p>
        </w:tc>
      </w:tr>
    </w:tbl>
    <w:p>
      <w:pPr>
        <w:spacing w:after="40"/>
      </w:pPr>
    </w:p>
    <w:p>
      <w:pPr>
        <w:pStyle w:val="Heading1"/>
      </w:pPr>
      <w:r>
        <w:t>7. Prezentacja wyników</w:t>
      </w:r>
    </w:p>
    <w:p>
      <w:pPr>
        <w:pStyle w:val="Heading2"/>
      </w:pPr>
      <w:r>
        <w:t>7.1. Raport Power BI</w:t>
      </w:r>
    </w:p>
    <w:p>
      <w:pPr>
        <w:keepNext/>
      </w:pPr>
      <w:r>
        <w:t>Raport Power BI (</w:t>
      </w:r>
      <w:r>
        <w:rPr>
          <w:rFonts w:ascii="Consolas" w:hAnsi="Consolas"/>
        </w:rPr>
        <w:t>powerbi/KSE.pbip</w:t>
      </w:r>
      <w:r>
        <w:t>) odczytuje dane z widoków raportowych bazy SQLite za pośrednictwem sterownika ODBC. Model danych obejmuje 16 tabel połączonych 14 relacjami w schemacie gwiazdy oraz 37 miar DAX. Raport składa się z pięciu stron:</w:t>
      </w:r>
    </w:p>
    <w:p>
      <w:pPr>
        <w:tabs>
          <w:tab w:pos="454" w:val="left"/>
        </w:tabs>
        <w:spacing w:after="60"/>
        <w:ind w:left="454" w:hanging="340"/>
      </w:pPr>
      <w:r>
        <w:t>1.</w:t>
        <w:tab/>
      </w:r>
      <w:r>
        <w:rPr>
          <w:b/>
        </w:rPr>
        <w:t>Przegląd KSE</w:t>
      </w:r>
      <w:r>
        <w:t xml:space="preserve"> – karty KPI (średnie zapotrzebowanie, udział OZE, średnia cena, liczba godzin z ceną ujemną), wykres warstwowy miksu energetycznego, fragmentatory: rok, sezon, typ dnia,</w:t>
      </w:r>
    </w:p>
    <w:p>
      <w:pPr>
        <w:tabs>
          <w:tab w:pos="454" w:val="left"/>
        </w:tabs>
        <w:spacing w:after="60"/>
        <w:ind w:left="454" w:hanging="340"/>
      </w:pPr>
      <w:r>
        <w:t>2.</w:t>
        <w:tab/>
      </w:r>
      <w:r>
        <w:rPr>
          <w:b/>
        </w:rPr>
        <w:t>Pogoda a system</w:t>
      </w:r>
      <w:r>
        <w:t xml:space="preserve"> – zapotrzebowanie a temperatura, mapa ciepła godzina × dzień tygodnia, generacja wiatrowa a prędkość wiatru, zestawienie warunków pogodowych w lokalizacjach,</w:t>
      </w:r>
    </w:p>
    <w:p>
      <w:pPr>
        <w:tabs>
          <w:tab w:pos="454" w:val="left"/>
        </w:tabs>
        <w:spacing w:after="60"/>
        <w:ind w:left="454" w:hanging="340"/>
      </w:pPr>
      <w:r>
        <w:t>3.</w:t>
        <w:tab/>
      </w:r>
      <w:r>
        <w:rPr>
          <w:b/>
        </w:rPr>
        <w:t>Rynek energii</w:t>
      </w:r>
      <w:r>
        <w:t xml:space="preserve"> – mapa ciepła cen (godzina × miesiąc), udział OZE a cena, liczba godzin z cenami ujemnymi w kolejnych latach,</w:t>
      </w:r>
    </w:p>
    <w:p>
      <w:pPr>
        <w:tabs>
          <w:tab w:pos="454" w:val="left"/>
        </w:tabs>
        <w:spacing w:after="60"/>
        <w:ind w:left="454" w:hanging="340"/>
      </w:pPr>
      <w:r>
        <w:t>4.</w:t>
        <w:tab/>
      </w:r>
      <w:r>
        <w:rPr>
          <w:b/>
        </w:rPr>
        <w:t>Prognoza zapotrzebowania</w:t>
      </w:r>
      <w:r>
        <w:t xml:space="preserve"> – porównanie wartości rzeczywistych, prognozy PSE i modelu, błędy według godziny doby, ważność cech, parametr what-if zmiany temperatury,</w:t>
      </w:r>
    </w:p>
    <w:p>
      <w:pPr>
        <w:tabs>
          <w:tab w:pos="454" w:val="left"/>
        </w:tabs>
        <w:spacing w:after="60"/>
        <w:ind w:left="454" w:hanging="340"/>
      </w:pPr>
      <w:r>
        <w:t>5.</w:t>
        <w:tab/>
      </w:r>
      <w:r>
        <w:rPr>
          <w:b/>
        </w:rPr>
        <w:t>Typowe profile dobowe</w:t>
      </w:r>
      <w:r>
        <w:t xml:space="preserve"> – wyniki klasteryzacji i porównanie miar błędu modeli.</w:t>
      </w:r>
    </w:p>
    <w:p>
      <w:r>
        <w:t>Ponieważ publikacja raportu w trybie publicznym („Publish to web”) jest zablokowana przez administratora usługi Power BI uczelni, strony raportu wraz z opisem modelu danych udostępniono także w aplikacji analitycznej.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024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i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0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17. Raport Power BI – strona „Przegląd KSE”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024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i_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0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18. Raport Power BI – strona „Prognoza zapotrzebowania” z parametrem what-if</w:t>
      </w:r>
    </w:p>
    <w:p>
      <w:pPr>
        <w:pStyle w:val="Heading2"/>
      </w:pPr>
      <w:r>
        <w:t>7.2. Aplikacja analityczna</w:t>
      </w:r>
    </w:p>
    <w:p>
      <w:r>
        <w:t>Aplikacja w języku Python (biblioteki Streamlit i Plotly) jest dostępna pod adresem https://kse-pogoda-oze.streamlit.app/ i odczytuje dane z tej samej bazy SQL. Zawiera dziesięć stron: stronę startową z weryfikacją hipotez, cztery strony analiz (przegląd KSE, pogoda a system, rynek energii, profile dobowe) z interaktywnymi filtrami, stronę modelu prognostycznego z symulacją wpływu temperatury, stronę prognozy na kolejną dobę, stronę raportu Power BI, opis danych i metodyki oraz stronę z niniejszym raportem i notebookami 01–05 (z kodem i wynikami, do przeglądania w przeglądarce i pobrania). Wszystkie elementy projektu są w ten sposób dostępne pod jednym adresem, bez konieczności instalowania oprogramowania.</w:t>
      </w:r>
    </w:p>
    <w:p>
      <w:r>
        <w:t xml:space="preserve">Strona „Prognoza na jutro” w momencie otwarcia pobiera bieżące dane PSE oraz prognozę pogody Open-Meteo dla 10 lokalizacji i wyznacza prognozę zapotrzebowania na kolejną dobę, porównywaną z opublikowaną prognozą PSE. Pozwala to ocenić model w warunkach rzeczywistego zastosowania, z prognozą pogody zamiast danych historycznych. Aplikację można także uruchomić lokalnie (plik </w:t>
      </w:r>
      <w:r>
        <w:rPr>
          <w:rFonts w:ascii="Consolas" w:hAnsi="Consolas"/>
        </w:rPr>
        <w:t>Uruchom aplikację.bat</w:t>
      </w:r>
      <w:r>
        <w:t>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ta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19. Aplikacja analityczna – strona startowa z weryfikacją hipotez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jut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514E"/>
          <w:sz w:val="19"/>
        </w:rPr>
        <w:t>Rycina 20. Aplikacja analityczna – prognoza zapotrzebowania na kolejną dobę wyznaczana z bieżących danych</w:t>
      </w:r>
    </w:p>
    <w:p>
      <w:pPr>
        <w:pStyle w:val="Heading1"/>
      </w:pPr>
      <w:r>
        <w:t>8. Wnioski i wykorzystanie wyników</w:t>
      </w:r>
    </w:p>
    <w:p>
      <w:pPr>
        <w:tabs>
          <w:tab w:pos="454" w:val="left"/>
        </w:tabs>
        <w:spacing w:after="60"/>
        <w:ind w:left="454" w:hanging="340"/>
      </w:pPr>
      <w:r>
        <w:t>1.</w:t>
        <w:tab/>
      </w:r>
      <w:r>
        <w:rPr>
          <w:b/>
        </w:rPr>
        <w:t>Pogoda i kalendarz w porównywalnym stopniu kształtują zapotrzebowanie.</w:t>
      </w:r>
      <w:r>
        <w:t xml:space="preserve"> Spadek temperatury poniżej zera zwiększa zapotrzebowanie o ok. 24%, a dzień wolny obniża je o 15–24%. W prognozowaniu konieczne jest uwzględnienie świąt i dni pomostowych – są to okresy największych błędów zarówno modelu, jak i prognozy PSE.</w:t>
      </w:r>
    </w:p>
    <w:p>
      <w:pPr>
        <w:tabs>
          <w:tab w:pos="454" w:val="left"/>
        </w:tabs>
        <w:spacing w:after="60"/>
        <w:ind w:left="454" w:hanging="340"/>
      </w:pPr>
      <w:r>
        <w:t>2.</w:t>
        <w:tab/>
      </w:r>
      <w:r>
        <w:rPr>
          <w:b/>
        </w:rPr>
        <w:t>Transformacja miksu przyspiesza dzięki fotowoltaice.</w:t>
      </w:r>
      <w:r>
        <w:t xml:space="preserve"> Średnia generacja PV podwoiła się w latach 2022–2025, a udział węgla spadł o ok. 21 p.p. Ze względu na sezonowość PV i wiatru bilansowanie systemu zależy coraz silniej od pogody.</w:t>
      </w:r>
    </w:p>
    <w:p>
      <w:pPr>
        <w:tabs>
          <w:tab w:pos="454" w:val="left"/>
        </w:tabs>
        <w:spacing w:after="60"/>
        <w:ind w:left="454" w:hanging="340"/>
      </w:pPr>
      <w:r>
        <w:t>3.</w:t>
        <w:tab/>
      </w:r>
      <w:r>
        <w:rPr>
          <w:b/>
        </w:rPr>
        <w:t>OZE obniżają ceny, ale zwiększają ich zmienność.</w:t>
      </w:r>
      <w:r>
        <w:t xml:space="preserve"> Efekt merit order jest wyraźny, a rosnąca liczba godzin z cenami ujemnymi i szybki wzrost dobowej rozpiętości cen wskazują na nadpodaż energii w godzinach południowych i niedobór elastyczności systemu.</w:t>
      </w:r>
    </w:p>
    <w:p>
      <w:pPr>
        <w:tabs>
          <w:tab w:pos="454" w:val="left"/>
        </w:tabs>
        <w:spacing w:after="60"/>
        <w:ind w:left="454" w:hanging="340"/>
      </w:pPr>
      <w:r>
        <w:t>4.</w:t>
        <w:tab/>
      </w:r>
      <w:r>
        <w:rPr>
          <w:b/>
        </w:rPr>
        <w:t>Model uczenia maszynowego osiąga dokładność bliską prognozie operatora.</w:t>
      </w:r>
      <w:r>
        <w:t xml:space="preserve"> Model oparty wyłącznie na danych publicznych osiągnął MAPE 2,88% wobec 2,49% dla prognozy PSE, a w godzinach dziennych i miesiącach letnich – dokładność porównywalną.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4873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Odbiorca</w:t>
            </w:r>
          </w:p>
        </w:tc>
        <w:tc>
          <w:tcPr>
            <w:tcW w:type="dxa" w:w="4873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Wykorzystanie wyników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Operator systemu przesyłowego</w:t>
            </w:r>
          </w:p>
        </w:tc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identyfikacja godzin ryzyka nadpodaży energii (słoneczne dni wolne), uzupełniająca prognoza zapotrzebowania</w:t>
            </w:r>
          </w:p>
        </w:tc>
      </w:tr>
      <w:tr>
        <w:trPr>
          <w:cantSplit w:val="true"/>
        </w:trPr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Sprzedawca energii</w:t>
            </w:r>
          </w:p>
        </w:tc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prognoza zapotrzebowania na dobę naprzód i zależność ceny od pogody – ograniczenie kosztów niezbilansowania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Inwestor (magazyny energii, OZE)</w:t>
            </w:r>
          </w:p>
        </w:tc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rosnąca dobowa rozpiętość cen (mediana ok. 560 PLN/MWh w 2025 r.) jako uzasadnienie inwestycji w magazyny energii</w:t>
            </w:r>
          </w:p>
        </w:tc>
      </w:tr>
      <w:tr>
        <w:trPr>
          <w:cantSplit w:val="true"/>
        </w:trPr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Odbiorca z taryfą dynamiczną</w:t>
            </w:r>
          </w:p>
        </w:tc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najtańsza energia w godzinach 11–14 w sezonie wiosenno-letnim, szczególnie w dni wolne; najdroższa w szczycie wieczornym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Instytucje polityki energetycznej</w:t>
            </w:r>
          </w:p>
        </w:tc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tempo wzrostu udziału OZE, częstość cen ujemnych, potrzeba rozwoju elastyczności systemu</w:t>
            </w:r>
          </w:p>
        </w:tc>
      </w:tr>
    </w:tbl>
    <w:p>
      <w:pPr>
        <w:spacing w:after="40"/>
      </w:pPr>
    </w:p>
    <w:p>
      <w:pPr>
        <w:pStyle w:val="Heading1"/>
      </w:pPr>
      <w:r>
        <w:t>9. Ograniczenia i możliwe kierunki rozwoju</w:t>
      </w:r>
    </w:p>
    <w:p>
      <w:pPr>
        <w:pStyle w:val="ListBullet"/>
        <w:spacing w:after="60"/>
      </w:pPr>
      <w:r>
        <w:t>W danych historycznych model korzystał z rzeczywistych wartości pogodowych (reanaliza ERA5) zamiast prognoz pogody, co nieznacznie zawyża jego dokładność; prognoza na kolejną dobę w aplikacji korzysta już z prognozy pogody.</w:t>
      </w:r>
    </w:p>
    <w:p>
      <w:pPr>
        <w:pStyle w:val="ListBullet"/>
        <w:spacing w:after="60"/>
      </w:pPr>
      <w:r>
        <w:t>Dane miksu energetycznego i cen sprzed 14.06.2024 r. pochodzą z kopii platformy ENTSO-E udostępnianej przez energy-charts.info; kod projektu umożliwia bezpośrednie pobieranie z API ENTSO-E po uzyskaniu tokenu dostępu.</w:t>
      </w:r>
    </w:p>
    <w:p>
      <w:pPr>
        <w:pStyle w:val="ListBullet"/>
        <w:spacing w:after="60"/>
      </w:pPr>
      <w:r>
        <w:t>Wartości ogólnopolskie pogody wyznaczono na podstawie 10 lokalizacji z przybliżonymi wagami; większa liczba punktów pomiarowych mogłaby poprawić odwzorowanie warunków wietrznych.</w:t>
      </w:r>
    </w:p>
    <w:p>
      <w:pPr>
        <w:pStyle w:val="ListBullet"/>
        <w:spacing w:after="60"/>
      </w:pPr>
      <w:r>
        <w:t>Możliwe kierunki rozwoju: prognoza cen energii na dobę naprzód, uwzględnienie generacji prosumenckiej, modele prognozy probabilistycznej (przedziały ufności) oraz automatyczne codzienne porównywanie prognoz modelu i PSE.</w:t>
      </w:r>
    </w:p>
    <w:p>
      <w:pPr>
        <w:pStyle w:val="Heading1"/>
      </w:pPr>
      <w:r>
        <w:t>10. Podział pracy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4873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Osoba</w:t>
            </w:r>
          </w:p>
        </w:tc>
        <w:tc>
          <w:tcPr>
            <w:tcW w:type="dxa" w:w="4873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Zakres prac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Dawid Klimczuk</w:t>
            </w:r>
          </w:p>
        </w:tc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pozyskanie danych ze wszystkich źródeł, czyszczenie i integracja, baza danych SQL, inżynieria cech, modele scikit-learn, walidacja i porównanie z prognozą PSE (P4), aplikacja analityczna</w:t>
            </w:r>
          </w:p>
        </w:tc>
      </w:tr>
      <w:tr>
        <w:trPr>
          <w:cantSplit w:val="true"/>
        </w:trPr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Maria Gosa</w:t>
            </w:r>
          </w:p>
        </w:tc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analiza eksploracyjna, statystyki opisowe, analiza korelacji, wizualizacje w Pythonie (P1–P3), klasteryzacja profili dobowych (P5)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Wiktoria Dębińska</w:t>
            </w:r>
          </w:p>
        </w:tc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model danych i raport Power BI, raport końcowy, prezentacja wyników</w:t>
            </w:r>
          </w:p>
        </w:tc>
      </w:tr>
    </w:tbl>
    <w:p>
      <w:pPr>
        <w:spacing w:after="40"/>
      </w:pPr>
    </w:p>
    <w:p>
      <w:r>
        <w:t>Wybór tematu, sformułowanie pytań analitycznych i wniosków końcowych oraz przygotowanie prezentacji były zadaniami wspólnymi.</w:t>
      </w:r>
    </w:p>
    <w:p>
      <w:pPr>
        <w:pStyle w:val="Heading1"/>
      </w:pPr>
      <w:r>
        <w:t>Źródła danych</w:t>
      </w:r>
    </w:p>
    <w:p>
      <w:pPr>
        <w:tabs>
          <w:tab w:pos="454" w:val="left"/>
        </w:tabs>
        <w:spacing w:after="60"/>
        <w:ind w:left="454" w:hanging="340"/>
      </w:pPr>
      <w:r>
        <w:t>1.</w:t>
        <w:tab/>
      </w:r>
      <w:r>
        <w:t>Polskie Sieci Elektroenergetyczne S.A. – archiwum raportów: https://www.pse.pl (raporty PL_WYK_KSE, PL_GEN_WIATR, PL_PD_GO_BILANS).</w:t>
      </w:r>
    </w:p>
    <w:p>
      <w:pPr>
        <w:tabs>
          <w:tab w:pos="454" w:val="left"/>
        </w:tabs>
        <w:spacing w:after="60"/>
        <w:ind w:left="454" w:hanging="340"/>
      </w:pPr>
      <w:r>
        <w:t>2.</w:t>
        <w:tab/>
      </w:r>
      <w:r>
        <w:t>Polskie Sieci Elektroenergetyczne S.A. – API raportów: https://api.raporty.pse.pl (kse-load, his-wlk-cal, csdac-pln).</w:t>
      </w:r>
    </w:p>
    <w:p>
      <w:pPr>
        <w:tabs>
          <w:tab w:pos="454" w:val="left"/>
        </w:tabs>
        <w:spacing w:after="60"/>
        <w:ind w:left="454" w:hanging="340"/>
      </w:pPr>
      <w:r>
        <w:t>3.</w:t>
        <w:tab/>
      </w:r>
      <w:r>
        <w:t>ENTSO-E Transparency Platform: https://transparency.entsoe.eu – dane udostępnione przez energy-charts.info (Fraunhofer ISE): https://api.energy-charts.info.</w:t>
      </w:r>
    </w:p>
    <w:p>
      <w:pPr>
        <w:tabs>
          <w:tab w:pos="454" w:val="left"/>
        </w:tabs>
        <w:spacing w:after="60"/>
        <w:ind w:left="454" w:hanging="340"/>
      </w:pPr>
      <w:r>
        <w:t>4.</w:t>
        <w:tab/>
      </w:r>
      <w:r>
        <w:t>Narodowy Bank Polski – kursy walut, tabela A: https://api.nbp.pl.</w:t>
      </w:r>
    </w:p>
    <w:p>
      <w:pPr>
        <w:tabs>
          <w:tab w:pos="454" w:val="left"/>
        </w:tabs>
        <w:spacing w:after="60"/>
        <w:ind w:left="454" w:hanging="340"/>
      </w:pPr>
      <w:r>
        <w:t>5.</w:t>
        <w:tab/>
      </w:r>
      <w:r>
        <w:t>Open-Meteo Historical Weather API (reanaliza ERA5, Copernicus/ECMWF): https://open-meteo.com.</w:t>
      </w:r>
    </w:p>
    <w:p>
      <w:pPr>
        <w:tabs>
          <w:tab w:pos="454" w:val="left"/>
        </w:tabs>
        <w:spacing w:after="60"/>
        <w:ind w:left="454" w:hanging="340"/>
      </w:pPr>
      <w:r>
        <w:t>6.</w:t>
        <w:tab/>
      </w:r>
      <w:r>
        <w:t xml:space="preserve">Biblioteka Python </w:t>
      </w:r>
      <w:r>
        <w:rPr>
          <w:rFonts w:ascii="Consolas" w:hAnsi="Consolas"/>
        </w:rPr>
        <w:t>holidays</w:t>
      </w:r>
      <w:r>
        <w:t xml:space="preserve"> – kalendarz dni ustawowo wolnych od pracy w Polsce.</w:t>
      </w:r>
    </w:p>
    <w:p>
      <w:pPr>
        <w:pStyle w:val="Heading1"/>
      </w:pPr>
      <w:r>
        <w:t>Załącznik – struktura projektu i odtworzenie wyników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 w:val="true"/>
        </w:trPr>
        <w:tc>
          <w:tcPr>
            <w:tcW w:type="dxa" w:w="4873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873"/>
            <w:shd w:val="clear" w:color="auto" w:fill="0B4F6C"/>
          </w:tcPr>
          <w:p>
            <w:pPr>
              <w:keepNext/>
              <w:spacing w:after="40" w:line="240" w:lineRule="auto"/>
            </w:pPr>
            <w:r>
              <w:rPr>
                <w:b/>
                <w:color w:val="FFFFFF"/>
                <w:sz w:val="20"/>
              </w:rPr>
              <w:t>Lokalizacja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dane surowe</w:t>
            </w:r>
          </w:p>
        </w:tc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20"/>
              </w:rPr>
              <w:t>data/raw/</w:t>
            </w:r>
          </w:p>
        </w:tc>
      </w:tr>
      <w:tr>
        <w:trPr>
          <w:cantSplit w:val="true"/>
        </w:trPr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baza danych SQLite</w:t>
            </w:r>
          </w:p>
        </w:tc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20"/>
              </w:rPr>
              <w:t>data/kse.db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schemat bazy i widoki</w:t>
            </w:r>
          </w:p>
        </w:tc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20"/>
              </w:rPr>
              <w:t>sql/schemat.sql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sql/widoki_powerbi.sql</w:t>
            </w:r>
          </w:p>
        </w:tc>
      </w:tr>
      <w:tr>
        <w:trPr>
          <w:cantSplit w:val="true"/>
        </w:trPr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notebooki etapów 2–4</w:t>
            </w:r>
          </w:p>
        </w:tc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20"/>
              </w:rPr>
              <w:t>notebooks/01_pobranie_danych.ipynb</w:t>
            </w:r>
            <w:r>
              <w:rPr>
                <w:sz w:val="20"/>
              </w:rPr>
              <w:t xml:space="preserve"> … </w:t>
            </w:r>
            <w:r>
              <w:rPr>
                <w:rFonts w:ascii="Consolas" w:hAnsi="Consolas"/>
                <w:sz w:val="20"/>
              </w:rPr>
              <w:t>05_klasteryzacja_profili.ipynb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moduły przetwarzania i analiz</w:t>
            </w:r>
          </w:p>
        </w:tc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20"/>
              </w:rPr>
              <w:t>src/</w:t>
            </w:r>
          </w:p>
        </w:tc>
      </w:tr>
      <w:tr>
        <w:trPr>
          <w:cantSplit w:val="true"/>
        </w:trPr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aplikacja analityczna</w:t>
            </w:r>
          </w:p>
        </w:tc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20"/>
              </w:rPr>
              <w:t>app/</w:t>
            </w:r>
            <w:r>
              <w:rPr>
                <w:sz w:val="20"/>
              </w:rPr>
              <w:t xml:space="preserve"> (uruchomienie: </w:t>
            </w:r>
            <w:r>
              <w:rPr>
                <w:rFonts w:ascii="Consolas" w:hAnsi="Consolas"/>
                <w:sz w:val="20"/>
              </w:rPr>
              <w:t>Uruchom aplikację.bat</w:t>
            </w:r>
            <w:r>
              <w:rPr>
                <w:sz w:val="20"/>
              </w:rPr>
              <w:t xml:space="preserve"> lub </w:t>
            </w:r>
            <w:r>
              <w:rPr>
                <w:rFonts w:ascii="Consolas" w:hAnsi="Consolas"/>
                <w:sz w:val="20"/>
              </w:rPr>
              <w:t>streamlit run app/app.py</w:t>
            </w:r>
            <w:r>
              <w:rPr>
                <w:sz w:val="20"/>
              </w:rPr>
              <w:t>)</w:t>
            </w:r>
          </w:p>
        </w:tc>
      </w:tr>
      <w:tr>
        <w:trPr>
          <w:cantSplit w:val="true"/>
        </w:trPr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sz w:val="20"/>
              </w:rPr>
              <w:t>raport Power BI</w:t>
            </w:r>
          </w:p>
        </w:tc>
        <w:tc>
          <w:tcPr>
            <w:tcW w:type="dxa" w:w="4873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20"/>
              </w:rPr>
              <w:t>powerbi/KSE.pbip</w:t>
            </w:r>
          </w:p>
        </w:tc>
      </w:tr>
      <w:tr>
        <w:trPr>
          <w:cantSplit w:val="true"/>
        </w:trPr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sz w:val="20"/>
              </w:rPr>
              <w:t>odtworzenie całego procesu</w:t>
            </w:r>
          </w:p>
        </w:tc>
        <w:tc>
          <w:tcPr>
            <w:tcW w:type="dxa" w:w="4873"/>
            <w:shd w:val="clear" w:color="auto" w:fill="EEF4F7"/>
          </w:tcPr>
          <w:p>
            <w:pPr>
              <w:spacing w:after="40" w:line="240" w:lineRule="auto"/>
            </w:pPr>
            <w:r>
              <w:rPr>
                <w:rFonts w:ascii="Consolas" w:hAnsi="Consolas"/>
                <w:sz w:val="20"/>
              </w:rPr>
              <w:t>python run_pipeline.py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/>
      <w:b/>
      <w:bCs/>
      <w:color w:val="0B4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/>
      <w:b/>
      <w:bCs/>
      <w:color w:val="0B4F6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="Calibri" w:hAnsi="Calibri"/>
      <w:b/>
      <w:color w:val="0B4F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Pogoda, OZE i cena prądu – raport końcowy</dc:title>
  <dc:subject/>
  <dc:creator>WSB</dc:creator>
  <cp:keywords/>
  <dc:description/>
  <cp:lastModifiedBy>WSB</cp:lastModifiedBy>
  <cp:revision>1</cp:revision>
  <dcterms:created xsi:type="dcterms:W3CDTF">2026-10-28T13:58:43Z</dcterms:created>
  <dcterms:modified xsi:type="dcterms:W3CDTF">2026-10-28T13:58:43Z</dcterms:modified>
  <cp:category/>
</cp:coreProperties>
</file>