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5752</w:t>
      </w:r>
    </w:p>
    <w:p>
      <w:r>
        <w:t>Sum of journal impact factors (computed): 142.918</w:t>
      </w:r>
    </w:p>
    <w:p>
      <w:r>
        <w:t>Publications (List A): 47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377</w:t>
      </w:r>
    </w:p>
    <w:p>
      <w:r>
        <w:t>Google Scholar h-index: 11</w:t>
      </w:r>
    </w:p>
    <w:p>
      <w:r>
        <w:t>Google Scholar last updated: 02.09.2026</w:t>
      </w:r>
    </w:p>
    <w:p>
      <w:pPr>
        <w:pStyle w:val="Heading1"/>
      </w:pPr>
      <w:r>
        <w:t>Peer-reviewed publications (List A)</w:t>
      </w:r>
    </w:p>
    <w:p>
      <w:r>
        <w:t>1.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2.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3.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4.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5. Siemieniuch-Tartanus, M., Tomczyk-Wrona, I., Tobolski, D. Is the walk and trot efficiency a hereditary trait in primitive Konik Polski horse? PeerJ. (MNiSW: 100.0; IF: 2.9)</w:t>
      </w:r>
    </w:p>
    <w:p>
      <w:r>
        <w:t>6.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7.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8.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9.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10.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11.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12.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13.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14.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15.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16.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17.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18.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19.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20.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21.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22.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23.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24.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25.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26.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27.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28.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29.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30.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31.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32.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33.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34.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35.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36.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37.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38.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39.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40.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41.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42.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43.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44.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45.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46.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47.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