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5892</w:t>
      </w:r>
    </w:p>
    <w:p>
      <w:r>
        <w:t>Sum of journal impact factors (computed): 145.818</w:t>
      </w:r>
    </w:p>
    <w:p>
      <w:r>
        <w:t>Publications (List A): 48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396</w:t>
      </w:r>
    </w:p>
    <w:p>
      <w:r>
        <w:t>Google Scholar h-index: 11</w:t>
      </w:r>
    </w:p>
    <w:p>
      <w:r>
        <w:t>Google Scholar last updated: 23.09.2026</w:t>
      </w:r>
    </w:p>
    <w:p>
      <w:pPr>
        <w:pStyle w:val="Heading1"/>
      </w:pPr>
      <w:r>
        <w:t>Peer-reviewed publications (List A)</w:t>
      </w:r>
    </w:p>
    <w:p>
      <w:r>
        <w:t>1. Słyszewska, M., Sadowska, A., Tobolski, D., Piotrowska-Tomala, K., Ferreira-Dias, G., Szóstek-Mioduchowska, A. The effect of macrophage secretome on equine endometrial fibroblast transcriptomic and functional characteristics. Theriogenology, 118177. (MNiSW: 140.0; IF: 2.9; DOI: 10.1016/j.theriogenology.2026.118177)</w:t>
      </w:r>
    </w:p>
    <w:p>
      <w:r>
        <w:t>2.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3.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4.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5.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6. Siemieniuch-Tartanus, M., Tomczyk-Wrona, I., Tobolski, D. Is the walk and trot efficiency a hereditary trait in primitive Konik Polski horse? PeerJ. (MNiSW: 100.0; IF: 2.9)</w:t>
      </w:r>
    </w:p>
    <w:p>
      <w:r>
        <w:t>7.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8.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9.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10.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11.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12.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13.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14.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15.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16.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17.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18.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19.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20.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21.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22.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23.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24.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25.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26.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27.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28.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29.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30.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31.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32.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33.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34.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35.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36.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37.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38.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39.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40.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41.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42.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43.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44.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45.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46.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47.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48.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