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5607</w:t>
      </w:r>
    </w:p>
    <w:p>
      <w:r>
        <w:t>Sum of journal impact factors (computed): 137.318</w:t>
      </w:r>
    </w:p>
    <w:p>
      <w:r>
        <w:t>Publications (List A): 46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332</w:t>
      </w:r>
    </w:p>
    <w:p>
      <w:r>
        <w:t>Google Scholar h-index: 10</w:t>
      </w:r>
    </w:p>
    <w:p>
      <w:r>
        <w:t>Google Scholar last updated: 30.06.2026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3.2;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Research. (MNiSW: 140.0; IF: 3.1;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Genomics. (MNiSW: 140.0; IF: 3.9)</w:t>
      </w:r>
    </w:p>
    <w:p>
      <w:r>
        <w:t>4. Siemieniuch-Tartanus, M., Tomczyk-Wrona, I., Tobolski, D. Is the walk and trot efficiency a hereditary trait in primitive Konik Polski horse? PeerJ. (MNiSW: 100.0; IF: 2.9)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Research. (MNiSW: 140.0; IF: 3.1)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Research. (MNiSW: 140.0; IF: 3.1;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5.6;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Reports. (MNiSW: 140.0; IF: 4.9;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Sciences. (MNiSW: 140.0; IF: 5.6;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Sciences. (MNiSW: 140.0; IF: 5.6;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Reports. (MNiSW: 140.0; IF: 4.9;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5.6;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2.9;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3.1;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3.1;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3.1;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1.8;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3.2;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3.1;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