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5367</w:t>
      </w:r>
    </w:p>
    <w:p>
      <w:r>
        <w:t>Sum of journal impact factors (computed): 121.818</w:t>
      </w:r>
    </w:p>
    <w:p>
      <w:r>
        <w:t>Publications (List A): 44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298</w:t>
      </w:r>
    </w:p>
    <w:p>
      <w:r>
        <w:t>Google Scholar h-index: 9</w:t>
      </w:r>
    </w:p>
    <w:p>
      <w:r>
        <w:t>Google Scholar last updated: 19.04.2026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5.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6.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7.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8.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9.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10.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11.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12.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13.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14.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15.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16.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17.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18.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19.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20.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21.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22.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23.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24.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25.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26.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27.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28.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29.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30.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31.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32.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33.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34.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35.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36.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37.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38.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39.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40.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41.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42.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43.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44.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cz. I: od 1 do 7 dnia".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