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5227</w:t>
      </w:r>
    </w:p>
    <w:p>
      <w:r>
        <w:t>Sum of journal impact factors (computed): 118.118</w:t>
      </w:r>
    </w:p>
    <w:p>
      <w:r>
        <w:t>Publications (List A): 43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291</w:t>
      </w:r>
    </w:p>
    <w:p>
      <w:r>
        <w:t>Google Scholar h-index: 9</w:t>
      </w:r>
    </w:p>
    <w:p>
      <w:r>
        <w:t>Google Scholar last updated: 29.03.2026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4.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5.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6.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7.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8.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9.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10.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11.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12.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13.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14.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15.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16.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17.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18.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19.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20.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21.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22.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23.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24.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25.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26.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27.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28.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29.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30.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31.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32.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33.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34.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35.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36.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37.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38.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39.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40.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41.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42.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43.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28–37. (MNiSW: 5.0)</w:t>
      </w:r>
    </w:p>
    <w:p>
      <w:r>
        <w:t>2. Dziekiewicz-Mrugasiewicz, M., Perzyna, M., Tobolski, D. "Brodawczyca bydła – problem nadal aktualny". Lecznica Dużych Zwierząt, 2026(1).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