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jc w:val="center"/>
      </w:pPr>
      <w:r>
        <w:rPr>
          <w:b/>
          <w:sz w:val="32"/>
        </w:rPr>
        <w:t xml:space="preserve">Project Summary</w:t>
      </w:r>
    </w:p>
    <w:p>
      <w:pPr>
        <w:jc w:val="center"/>
      </w:pPr>
      <w:r>
        <w:rPr>
          <w:sz w:val="22"/>
        </w:rPr>
        <w:t xml:space="preserve">Employment Status Prediction &amp; Unemployment Risk Profiling</w:t>
      </w:r>
    </w:p>
    <w:p>
      <w:pPr>
        <w:jc w:val="center"/>
      </w:pPr>
      <w:r>
        <w:rPr>
          <w:sz w:val="22"/>
        </w:rPr>
        <w:t xml:space="preserve">CMPS 262 Capstone | Yeol Ban and Charbel Dawlabani | Spring 2026</w:t>
      </w:r>
    </w:p>
    <w:p>
      <w:pPr>
        <w:spacing w:before="240" w:after="80"/>
      </w:pPr>
      <w:r>
        <w:rPr>
          <w:b/>
          <w:sz w:val="26"/>
        </w:rPr>
        <w:t xml:space="preserve">Overview</w:t>
      </w:r>
    </w:p>
    <w:p>
      <w:pPr>
        <w:spacing w:after="120"/>
      </w:pPr>
      <w:r>
        <w:rPr>
          <w:sz w:val="22"/>
        </w:rPr>
        <w:t xml:space="preserve">This project built a machine learning system to predict whether a U.S. labor-force participant is employed or unemployed using demographic and household information from the December 2025 Current Population Survey. The goal was both predictive and analytical: to classify employment status and identify which demographic groups face the highest unemployment risk.</w:t>
      </w:r>
    </w:p>
    <w:p>
      <w:pPr>
        <w:spacing w:before="240" w:after="80"/>
      </w:pPr>
      <w:r>
        <w:rPr>
          <w:b/>
          <w:sz w:val="26"/>
        </w:rPr>
        <w:t xml:space="preserve">Data Used</w:t>
      </w:r>
    </w:p>
    <w:p>
      <w:pPr>
        <w:spacing w:after="120"/>
      </w:pPr>
      <w:r>
        <w:rPr>
          <w:sz w:val="22"/>
        </w:rPr>
        <w:t xml:space="preserve">The team used December 2025 CPS Basic Monthly microdata with about 121,000 original records. After filtering out people under 16, individuals not in the labor force, and armed forces personnel, the final modeling dataset contained 44,544 records. The unemployment rate in this filtered sample was 3.82%, making the task a highly imbalanced classification problem.</w:t>
      </w:r>
    </w:p>
    <w:p>
      <w:pPr>
        <w:spacing w:after="120"/>
      </w:pPr>
      <w:r>
        <w:rPr>
          <w:sz w:val="22"/>
        </w:rPr>
        <w:t xml:space="preserve">Key features included age, education level, sex, race, Hispanic origin, marital status, census region, citizenship status, and family income bracket.</w:t>
      </w:r>
    </w:p>
    <w:p>
      <w:pPr>
        <w:spacing w:before="240" w:after="80"/>
      </w:pPr>
      <w:r>
        <w:rPr>
          <w:b/>
          <w:sz w:val="26"/>
        </w:rPr>
        <w:t xml:space="preserve">Exploratory Analysis</w:t>
      </w:r>
    </w:p>
    <w:p>
      <w:pPr>
        <w:spacing w:after="120"/>
      </w:pPr>
      <w:r>
        <w:rPr>
          <w:sz w:val="22"/>
        </w:rPr>
        <w:t xml:space="preserve">The exploratory analysis showed that unemployment risk is not evenly distributed. Younger workers, especially those ages 16 to 19, had much higher unemployment rates than prime-age workers. Lower education was strongly associated with unemployment, and Black and Hispanic workers also showed elevated rates relative to White and Asian workers. A major interaction effect was that young individuals with low education faced especially high unemployment risk.</w:t>
      </w:r>
    </w:p>
    <w:p>
      <w:pPr>
        <w:spacing w:before="240" w:after="80"/>
      </w:pPr>
      <w:r>
        <w:rPr>
          <w:b/>
          <w:sz w:val="26"/>
        </w:rPr>
        <w:t xml:space="preserve">Modeling Approach</w:t>
      </w:r>
    </w:p>
    <w:p>
      <w:pPr>
        <w:spacing w:after="120"/>
      </w:pPr>
      <w:r>
        <w:rPr>
          <w:sz w:val="22"/>
        </w:rPr>
        <w:t xml:space="preserve">Two supervised learning models were trained: logistic regression and random forest. Logistic regression was selected as the primary model because its coefficients are easier to interpret, which supports the project’s risk-profiling objective. Random forest was used as a comparison model to capture possible nonlinear effects. The workflow used an 80/20 stratified train-test split and 5-fold stratified cross-validation.</w:t>
      </w:r>
    </w:p>
    <w:p>
      <w:pPr>
        <w:spacing w:after="120"/>
      </w:pPr>
      <w:r>
        <w:rPr>
          <w:sz w:val="22"/>
        </w:rPr>
        <w:t xml:space="preserve">Because the dataset was imbalanced, the team also applied isotonic calibration and threshold tuning. These steps improved the reliability of predicted probabilities and produced a more useful operating point for the unemployed class than the default 0.5 threshold.</w:t>
      </w:r>
    </w:p>
    <w:p>
      <w:pPr>
        <w:spacing w:before="240" w:after="80"/>
      </w:pPr>
      <w:r>
        <w:rPr>
          <w:b/>
          <w:sz w:val="26"/>
        </w:rPr>
        <w:t xml:space="preserve">Key Results</w:t>
      </w:r>
    </w:p>
    <w:p>
      <w:pPr>
        <w:ind w:left="720" w:hanging="360"/>
      </w:pPr>
      <w:r>
        <w:rPr>
          <w:sz w:val="22"/>
        </w:rPr>
        <w:t xml:space="preserve">• The primary calibrated logistic regression model achieved an F1 score of 0.19 for the unemployed class.</w:t>
      </w:r>
    </w:p>
    <w:p>
      <w:pPr>
        <w:ind w:left="720" w:hanging="360"/>
      </w:pPr>
      <w:r>
        <w:rPr>
          <w:sz w:val="22"/>
        </w:rPr>
        <w:t xml:space="preserve">• The model reached a ROC-AUC of about 0.72, showing useful ranking performance.</w:t>
      </w:r>
    </w:p>
    <w:p>
      <w:pPr>
        <w:ind w:left="720" w:hanging="360"/>
      </w:pPr>
      <w:r>
        <w:rPr>
          <w:sz w:val="22"/>
        </w:rPr>
        <w:t xml:space="preserve">• Threshold tuning improved the minority-class F1 score substantially over the default threshold.</w:t>
      </w:r>
    </w:p>
    <w:p>
      <w:pPr>
        <w:ind w:left="720" w:hanging="360"/>
      </w:pPr>
      <w:r>
        <w:rPr>
          <w:sz w:val="22"/>
        </w:rPr>
        <w:t xml:space="preserve">• Population-weighted metrics were very close to unweighted metrics, indicating representative results.</w:t>
      </w:r>
    </w:p>
    <w:p>
      <w:pPr>
        <w:ind w:left="720" w:hanging="360"/>
      </w:pPr>
      <w:r>
        <w:rPr>
          <w:sz w:val="22"/>
        </w:rPr>
        <w:t xml:space="preserve">• Logistic regression and random forest performed similarly, suggesting the main predictive signal is largely linear and additive.</w:t>
      </w:r>
    </w:p>
    <w:p>
      <w:pPr>
        <w:spacing w:before="240" w:after="80"/>
      </w:pPr>
      <w:r>
        <w:rPr>
          <w:b/>
          <w:sz w:val="26"/>
        </w:rPr>
        <w:t xml:space="preserve">Main Risk Factors</w:t>
      </w:r>
    </w:p>
    <w:p>
      <w:pPr>
        <w:spacing w:after="120"/>
      </w:pPr>
      <w:r>
        <w:rPr>
          <w:sz w:val="22"/>
        </w:rPr>
        <w:t xml:space="preserve">The strongest drivers of unemployment risk were lower family income, lower education, younger age, and some demographic disparities that remained even after controlling for other variables. Prime working ages, higher educational attainment, and higher family income were the strongest protective factors. Overall, family income and age emerged as the most influential features.</w:t>
      </w:r>
    </w:p>
    <w:p>
      <w:pPr>
        <w:spacing w:before="240" w:after="80"/>
      </w:pPr>
      <w:r>
        <w:rPr>
          <w:b/>
          <w:sz w:val="26"/>
        </w:rPr>
        <w:t xml:space="preserve">Interpretability</w:t>
      </w:r>
    </w:p>
    <w:p>
      <w:pPr>
        <w:spacing w:after="120"/>
      </w:pPr>
      <w:r>
        <w:rPr>
          <w:sz w:val="22"/>
        </w:rPr>
        <w:t xml:space="preserve">SHAP explanations were used to interpret predictions globally and at the individual level. These explanations confirmed the ranking of important features and showed how specific characteristics pushed a person’s predicted unemployment risk upward or downward. This made the model more transparent and easier to audit.</w:t>
      </w:r>
    </w:p>
    <w:p>
      <w:pPr>
        <w:spacing w:before="240" w:after="80"/>
      </w:pPr>
      <w:r>
        <w:rPr>
          <w:b/>
          <w:sz w:val="26"/>
        </w:rPr>
        <w:t xml:space="preserve">Conclusion</w:t>
      </w:r>
    </w:p>
    <w:p>
      <w:pPr>
        <w:spacing w:after="120"/>
      </w:pPr>
      <w:r>
        <w:rPr>
          <w:sz w:val="22"/>
        </w:rPr>
        <w:t xml:space="preserve">The project demonstrated that unemployment risk can be modeled in a meaningful and interpretable way using demographic and household characteristics from CPS microdata. The resulting model is most useful for risk stratification and demographic profiling rather than high-precision individual targeting. The findings aligned well with established labor-economics patterns, especially the importance of age, education, and income.</w:t>
      </w:r>
    </w:p>
    <w:p>
      <w:pPr>
        <w:spacing w:before="240" w:after="80"/>
      </w:pPr>
      <w:r>
        <w:rPr>
          <w:b/>
          <w:sz w:val="26"/>
        </w:rPr>
        <w:t xml:space="preserve">Limitations and Future Work</w:t>
      </w:r>
    </w:p>
    <w:p>
      <w:pPr>
        <w:ind w:left="720" w:hanging="360"/>
      </w:pPr>
      <w:r>
        <w:rPr>
          <w:sz w:val="22"/>
        </w:rPr>
        <w:t xml:space="preserve">• The analysis used only one month of CPS data, so it does not capture time trends.</w:t>
      </w:r>
    </w:p>
    <w:p>
      <w:pPr>
        <w:ind w:left="720" w:hanging="360"/>
      </w:pPr>
      <w:r>
        <w:rPr>
          <w:sz w:val="22"/>
        </w:rPr>
        <w:t xml:space="preserve">• The feature set did not include industry, occupation, or local labor-market conditions.</w:t>
      </w:r>
    </w:p>
    <w:p>
      <w:pPr>
        <w:ind w:left="720" w:hanging="360"/>
      </w:pPr>
      <w:r>
        <w:rPr>
          <w:sz w:val="22"/>
        </w:rPr>
        <w:t xml:space="preserve">• The model identifies associations rather than causal effects.</w:t>
      </w:r>
    </w:p>
    <w:p>
      <w:pPr>
        <w:ind w:left="720" w:hanging="360"/>
      </w:pPr>
      <w:r>
        <w:rPr>
          <w:sz w:val="22"/>
        </w:rPr>
        <w:t xml:space="preserve">• Future work could pool multiple months of data, add richer employment features, and expand fairness analysis.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Summary</dc:title>
  <dc:subject>CMPS 262 Capstone Summary</dc:subject>
  <dc:creator>OpenAI Codex</dc:creator>
  <cp:keywords>summary, capstone, unemployment, machine learning</cp:keywords>
  <dc:description>Summary of Employment Status Prediction &amp; Unemployment Risk Profiling project.</dc:description>
  <cp:lastModifiedBy>OpenAI Codex</cp:lastModifiedBy>
  <dcterms:created xsi:type="dcterms:W3CDTF">2026-04-05T00:00:00Z</dcterms:created>
  <dcterms:modified xsi:type="dcterms:W3CDTF">2026-04-05T00:00:00Z</dcterms:modified>
</cp:coreProperties>
</file>