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FF0000"/>
          <w:sz w:val="20"/>
          <w:szCs w:val="20"/>
        </w:rPr>
      </w:pPr>
      <w:r>
        <w:rPr>
          <w:rFonts w:ascii="等线" w:hAnsi="等线" w:eastAsia="等线"/>
          <w:color w:val="FF0000"/>
          <w:sz w:val="20"/>
          <w:szCs w:val="20"/>
        </w:rPr>
        <w:t xml:space="preserve">一共 三张核心表 用户表( </w:t>
      </w:r>
      <w:r>
        <w:rPr>
          <w:rFonts w:ascii="等线" w:hAnsi="等线" w:eastAsia="等线"/>
          <w:color w:val="000000"/>
          <w:sz w:val="20"/>
          <w:szCs w:val="20"/>
        </w:rPr>
        <w:t>m_user</w:t>
      </w:r>
      <w:r>
        <w:rPr>
          <w:rFonts w:ascii="等线" w:hAnsi="等线" w:eastAsia="等线"/>
          <w:color w:val="FF0000"/>
          <w:sz w:val="20"/>
          <w:szCs w:val="20"/>
        </w:rPr>
        <w:t xml:space="preserve"> ) 股票表( </w:t>
      </w:r>
      <w:r>
        <w:rPr>
          <w:rFonts w:ascii="等线" w:hAnsi="等线" w:eastAsia="等线"/>
          <w:color w:val="000000"/>
          <w:sz w:val="20"/>
          <w:szCs w:val="20"/>
        </w:rPr>
        <w:t>m_stock</w:t>
      </w:r>
      <w:r>
        <w:rPr>
          <w:rFonts w:ascii="等线" w:hAnsi="等线" w:eastAsia="等线"/>
          <w:color w:val="FF0000"/>
          <w:sz w:val="20"/>
          <w:szCs w:val="20"/>
        </w:rPr>
        <w:t xml:space="preserve"> ) 与 重仓股基金表 ( </w:t>
      </w:r>
      <w:r>
        <w:rPr>
          <w:rFonts w:ascii="等线" w:hAnsi="等线" w:eastAsia="等线"/>
          <w:color w:val="000000"/>
          <w:sz w:val="20"/>
          <w:szCs w:val="20"/>
        </w:rPr>
        <w:t>m_fund_heavy</w:t>
      </w:r>
      <w:r>
        <w:rPr>
          <w:rFonts w:ascii="等线" w:hAnsi="等线" w:eastAsia="等线"/>
          <w:color w:val="FF0000"/>
          <w:sz w:val="20"/>
          <w:szCs w:val="20"/>
        </w:rPr>
        <w:t xml:space="preserve"> )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以及 两张可扩展表 </w:t>
      </w:r>
      <w:r>
        <w:rPr>
          <w:rFonts w:ascii="等线" w:hAnsi="等线" w:eastAsia="等线"/>
          <w:color w:val="000000"/>
          <w:sz w:val="20"/>
          <w:szCs w:val="20"/>
        </w:rPr>
        <w:t>无持仓</w:t>
      </w:r>
      <w:r>
        <w:rPr>
          <w:rFonts w:ascii="等线" w:hAnsi="等线" w:eastAsia="等线"/>
          <w:color w:val="000000"/>
          <w:sz w:val="20"/>
          <w:szCs w:val="20"/>
        </w:rPr>
        <w:t>基金</w:t>
      </w:r>
      <w:r>
        <w:rPr>
          <w:rFonts w:ascii="等线" w:hAnsi="等线" w:eastAsia="等线"/>
          <w:color w:val="000000"/>
          <w:sz w:val="20"/>
          <w:szCs w:val="20"/>
        </w:rPr>
        <w:t>信息</w:t>
      </w:r>
      <w:r>
        <w:rPr>
          <w:rFonts w:ascii="等线" w:hAnsi="等线" w:eastAsia="等线"/>
          <w:color w:val="000000"/>
          <w:sz w:val="20"/>
          <w:szCs w:val="20"/>
        </w:rPr>
        <w:t xml:space="preserve">表 ( m_fund_info ) 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  <w:r>
        <w:rPr>
          <w:rFonts w:ascii="等线" w:hAnsi="等线" w:eastAsia="等线"/>
          <w:color w:val="000000"/>
          <w:sz w:val="20"/>
          <w:szCs w:val="20"/>
        </w:rPr>
        <w:t>用户基金喜好表 ( m_user_like )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FF0000"/>
          <w:sz w:val="20"/>
          <w:szCs w:val="20"/>
        </w:rPr>
        <w:t xml:space="preserve">用户表( </w:t>
      </w:r>
      <w:r>
        <w:rPr>
          <w:rFonts w:ascii="等线" w:hAnsi="等线" w:eastAsia="等线"/>
          <w:color w:val="000000"/>
          <w:sz w:val="20"/>
          <w:szCs w:val="20"/>
        </w:rPr>
        <w:t>m_user</w:t>
      </w:r>
      <w:r>
        <w:rPr>
          <w:rFonts w:ascii="等线" w:hAnsi="等线" w:eastAsia="等线"/>
          <w:color w:val="FF0000"/>
          <w:sz w:val="20"/>
          <w:szCs w:val="20"/>
        </w:rPr>
        <w:t xml:space="preserve"> )</w:t>
      </w:r>
      <w:r>
        <w:rPr>
          <w:rFonts w:ascii="等线" w:hAnsi="等线" w:eastAsia="等线"/>
          <w:color w:val="000000"/>
          <w:sz w:val="20"/>
          <w:szCs w:val="20"/>
        </w:rPr>
        <w:t>：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use big;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CREATE TABLE m_user (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  id int(11) NOT NULL AUTO_INCREMENT,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  username varchar(20) DEFAULT NULL,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  password varchar(20) DEFAULT NULL,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  PRIMARY KEY (id),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  UNIQUE KEY username (username)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)</w:t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771900" cy="22669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FF0000"/>
          <w:sz w:val="20"/>
          <w:szCs w:val="20"/>
        </w:rPr>
      </w:pPr>
      <w:r>
        <w:rPr>
          <w:rFonts w:ascii="等线" w:hAnsi="等线" w:eastAsia="等线"/>
          <w:color w:val="FF0000"/>
          <w:sz w:val="20"/>
          <w:szCs w:val="20"/>
        </w:rPr>
        <w:t>（待继续补充……）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b w:val="true"/>
          <w:bCs w:val="true"/>
          <w:color w:val="000000"/>
          <w:sz w:val="32"/>
          <w:szCs w:val="32"/>
        </w:rPr>
      </w:pPr>
      <w:r>
        <w:rPr>
          <w:rFonts w:ascii="等线" w:hAnsi="等线" w:eastAsia="等线"/>
          <w:b w:val="true"/>
          <w:bCs w:val="true"/>
          <w:color w:val="000000"/>
          <w:sz w:val="32"/>
          <w:szCs w:val="32"/>
        </w:rPr>
        <w:t>附件：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下面是需求方的excel图片(git gui 已同步 excel文件)：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FF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股票库.xlsx</w:t>
      </w:r>
      <w:r>
        <w:rPr>
          <w:rFonts w:ascii="等线" w:hAnsi="等线" w:eastAsia="等线"/>
          <w:color w:val="FF0000"/>
          <w:sz w:val="20"/>
          <w:szCs w:val="20"/>
        </w:rPr>
        <w:t xml:space="preserve"> 股票表( </w:t>
      </w:r>
      <w:r>
        <w:rPr>
          <w:rFonts w:ascii="等线" w:hAnsi="等线" w:eastAsia="等线"/>
          <w:color w:val="000000"/>
          <w:sz w:val="20"/>
          <w:szCs w:val="20"/>
        </w:rPr>
        <w:t>m_stock</w:t>
      </w:r>
      <w:r>
        <w:rPr>
          <w:rFonts w:ascii="等线" w:hAnsi="等线" w:eastAsia="等线"/>
          <w:color w:val="FF0000"/>
          <w:sz w:val="20"/>
          <w:szCs w:val="20"/>
        </w:rPr>
        <w:t xml:space="preserve"> ) 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70049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2847975" cy="19621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FF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股票型及混合型基金（持仓搜索基金）.xlsx</w:t>
      </w:r>
      <w:r>
        <w:rPr>
          <w:rFonts w:ascii="等线" w:hAnsi="等线" w:eastAsia="等线"/>
          <w:color w:val="FF0000"/>
          <w:sz w:val="20"/>
          <w:szCs w:val="20"/>
        </w:rPr>
        <w:t xml:space="preserve">  重仓股基金表 ( </w:t>
      </w:r>
      <w:r>
        <w:rPr>
          <w:rFonts w:ascii="等线" w:hAnsi="等线" w:eastAsia="等线"/>
          <w:color w:val="000000"/>
          <w:sz w:val="20"/>
          <w:szCs w:val="20"/>
        </w:rPr>
        <w:t>m_fund_heavy</w:t>
      </w:r>
      <w:r>
        <w:rPr>
          <w:rFonts w:ascii="等线" w:hAnsi="等线" w:eastAsia="等线"/>
          <w:color w:val="FF0000"/>
          <w:sz w:val="20"/>
          <w:szCs w:val="20"/>
        </w:rPr>
        <w:t xml:space="preserve"> )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全部基金.xlsx  </w:t>
      </w:r>
      <w:r>
        <w:rPr>
          <w:rFonts w:ascii="等线" w:hAnsi="等线" w:eastAsia="等线"/>
          <w:color w:val="FF0000"/>
          <w:sz w:val="20"/>
          <w:szCs w:val="20"/>
        </w:rPr>
        <w:t>无持仓基金信息表</w:t>
      </w:r>
      <w:r>
        <w:rPr>
          <w:rFonts w:ascii="等线" w:hAnsi="等线" w:eastAsia="等线"/>
          <w:color w:val="000000"/>
          <w:sz w:val="20"/>
          <w:szCs w:val="20"/>
        </w:rPr>
        <w:t xml:space="preserve"> ( m_fund_info )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4362450" cy="25527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