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D5E4A">
      <w:pPr>
        <w:jc w:val="center"/>
        <w:rPr>
          <w:rFonts w:ascii="Times New Roman" w:hAnsi="Times New Roman" w:eastAsia="黑体"/>
          <w:kern w:val="44"/>
          <w:sz w:val="44"/>
          <w:szCs w:val="44"/>
        </w:rPr>
      </w:pPr>
      <w:r>
        <w:rPr>
          <w:rFonts w:ascii="Times New Roman" w:hAnsi="Times New Roman" w:eastAsia="黑体"/>
          <w:kern w:val="44"/>
          <w:sz w:val="44"/>
          <w:szCs w:val="44"/>
        </w:rPr>
        <w:t>Java企业级应用开发课程设计</w:t>
      </w:r>
    </w:p>
    <w:p w14:paraId="251BDCC1">
      <w:pPr>
        <w:jc w:val="center"/>
        <w:rPr>
          <w:rFonts w:ascii="Times New Roman" w:hAnsi="Times New Roman" w:eastAsia="黑体"/>
          <w:sz w:val="44"/>
          <w:szCs w:val="44"/>
        </w:rPr>
      </w:pPr>
      <w:r>
        <w:rPr>
          <w:rFonts w:ascii="Times New Roman" w:hAnsi="Times New Roman" w:eastAsia="黑体"/>
          <w:sz w:val="44"/>
          <w:szCs w:val="44"/>
        </w:rPr>
        <w:t>Java Enterprise Application Development</w:t>
      </w:r>
      <w:r>
        <w:rPr>
          <w:rFonts w:hint="eastAsia" w:ascii="Times New Roman" w:hAnsi="Times New Roman" w:eastAsia="黑体"/>
          <w:sz w:val="44"/>
          <w:szCs w:val="44"/>
        </w:rPr>
        <w:t xml:space="preserve"> Curriculum</w:t>
      </w:r>
      <w:r>
        <w:rPr>
          <w:rFonts w:ascii="Times New Roman" w:hAnsi="Times New Roman" w:eastAsia="黑体"/>
          <w:sz w:val="44"/>
          <w:szCs w:val="44"/>
        </w:rPr>
        <w:t xml:space="preserve"> </w:t>
      </w:r>
      <w:r>
        <w:rPr>
          <w:rFonts w:hint="eastAsia" w:ascii="Times New Roman" w:hAnsi="Times New Roman" w:eastAsia="黑体"/>
          <w:sz w:val="44"/>
          <w:szCs w:val="44"/>
        </w:rPr>
        <w:t>Project</w:t>
      </w:r>
    </w:p>
    <w:p w14:paraId="56D08BCD">
      <w:pPr>
        <w:rPr>
          <w:rFonts w:ascii="Times New Roman" w:hAnsi="Times New Roman" w:eastAsia="黑体"/>
          <w:b/>
          <w:sz w:val="24"/>
          <w:szCs w:val="24"/>
        </w:rPr>
      </w:pPr>
    </w:p>
    <w:p w14:paraId="1A18C80C">
      <w:pPr>
        <w:rPr>
          <w:rFonts w:ascii="Times New Roman" w:hAnsi="Times New Roman" w:eastAsia="黑体"/>
          <w:b/>
          <w:sz w:val="24"/>
          <w:szCs w:val="24"/>
        </w:rPr>
      </w:pPr>
      <w:r>
        <w:rPr>
          <w:rFonts w:hint="eastAsia" w:ascii="Times New Roman" w:hAnsi="Times New Roman" w:eastAsia="黑体"/>
          <w:b/>
          <w:sz w:val="24"/>
          <w:szCs w:val="24"/>
        </w:rPr>
        <w:t>一、课程基本信息</w:t>
      </w:r>
    </w:p>
    <w:p w14:paraId="6382BFE6">
      <w:pPr>
        <w:rPr>
          <w:rFonts w:eastAsia="黑体"/>
        </w:rPr>
      </w:pPr>
      <w:r>
        <w:rPr>
          <w:rFonts w:eastAsia="黑体"/>
        </w:rPr>
        <w:t>适用范围：</w:t>
      </w:r>
      <w:r>
        <w:rPr>
          <w:rFonts w:hint="eastAsia" w:ascii="黑体" w:hAnsi="黑体" w:eastAsia="黑体" w:cs="黑体"/>
          <w:szCs w:val="21"/>
        </w:rPr>
        <w:t>2023本科人才培养方案</w:t>
      </w:r>
    </w:p>
    <w:p w14:paraId="52301A80">
      <w:pPr>
        <w:spacing w:line="400" w:lineRule="exact"/>
        <w:rPr>
          <w:rFonts w:ascii="Times New Roman" w:hAnsi="Times New Roman" w:eastAsia="黑体"/>
        </w:rPr>
      </w:pPr>
      <w:r>
        <w:rPr>
          <w:rFonts w:eastAsia="黑体"/>
        </w:rPr>
        <w:t>课程编号：</w:t>
      </w:r>
      <w:r>
        <w:rPr>
          <w:rFonts w:ascii="Times New Roman" w:hAnsi="Times New Roman"/>
          <w:szCs w:val="21"/>
        </w:rPr>
        <w:t>23030007</w:t>
      </w:r>
      <w:r>
        <w:rPr>
          <w:rFonts w:hint="eastAsia" w:ascii="Times New Roman" w:hAnsi="Times New Roman"/>
          <w:szCs w:val="21"/>
        </w:rPr>
        <w:t>3</w:t>
      </w:r>
      <w:r>
        <w:rPr>
          <w:rFonts w:ascii="Times New Roman" w:hAnsi="Times New Roman"/>
          <w:szCs w:val="21"/>
        </w:rPr>
        <w:t>10</w:t>
      </w:r>
    </w:p>
    <w:p w14:paraId="34EC700D">
      <w:pPr>
        <w:spacing w:line="360" w:lineRule="exact"/>
        <w:rPr>
          <w:rFonts w:eastAsia="黑体"/>
        </w:rPr>
      </w:pPr>
      <w:r>
        <w:rPr>
          <w:rFonts w:hint="eastAsia" w:eastAsia="黑体"/>
        </w:rPr>
        <w:t>学</w:t>
      </w:r>
      <w:r>
        <w:rPr>
          <w:rFonts w:eastAsia="黑体"/>
        </w:rPr>
        <w:t xml:space="preserve">    </w:t>
      </w:r>
      <w:r>
        <w:rPr>
          <w:rFonts w:hint="eastAsia" w:eastAsia="黑体"/>
        </w:rPr>
        <w:t>分：</w:t>
      </w:r>
      <w:r>
        <w:rPr>
          <w:rFonts w:hint="eastAsia" w:eastAsia="黑体"/>
          <w:bCs/>
          <w:szCs w:val="21"/>
        </w:rPr>
        <w:t>1</w:t>
      </w:r>
      <w:r>
        <w:rPr>
          <w:rFonts w:hint="eastAsia"/>
        </w:rPr>
        <w:t>学分</w:t>
      </w:r>
    </w:p>
    <w:p w14:paraId="61B6C3F2">
      <w:pPr>
        <w:spacing w:line="360" w:lineRule="exact"/>
        <w:rPr>
          <w:rFonts w:hint="eastAsia" w:hAnsi="宋体"/>
          <w:szCs w:val="21"/>
        </w:rPr>
      </w:pPr>
      <w:r>
        <w:rPr>
          <w:rFonts w:hint="eastAsia" w:eastAsia="黑体"/>
        </w:rPr>
        <w:t>学</w:t>
      </w:r>
      <w:r>
        <w:rPr>
          <w:rFonts w:eastAsia="黑体"/>
        </w:rPr>
        <w:t xml:space="preserve">    </w:t>
      </w:r>
      <w:r>
        <w:rPr>
          <w:rFonts w:hint="eastAsia" w:eastAsia="黑体"/>
        </w:rPr>
        <w:t>时：</w:t>
      </w:r>
      <w:r>
        <w:rPr>
          <w:rFonts w:hint="eastAsia" w:asciiTheme="minorEastAsia" w:hAnsiTheme="minorEastAsia" w:eastAsiaTheme="minorEastAsia" w:cstheme="minorEastAsia"/>
          <w:szCs w:val="21"/>
        </w:rPr>
        <w:t>1周</w:t>
      </w:r>
    </w:p>
    <w:p w14:paraId="5993A630">
      <w:pPr>
        <w:spacing w:line="400" w:lineRule="exact"/>
        <w:rPr>
          <w:rFonts w:eastAsia="黑体"/>
        </w:rPr>
      </w:pPr>
      <w:r>
        <w:rPr>
          <w:rFonts w:hint="eastAsia" w:ascii="黑体" w:eastAsia="黑体"/>
          <w:szCs w:val="21"/>
        </w:rPr>
        <w:t>开课学期：</w:t>
      </w:r>
      <w:r>
        <w:rPr>
          <w:rFonts w:hint="eastAsia"/>
          <w:bCs/>
          <w:szCs w:val="21"/>
        </w:rPr>
        <w:t>第4学期</w:t>
      </w:r>
    </w:p>
    <w:p w14:paraId="09202F3D">
      <w:pPr>
        <w:spacing w:line="360" w:lineRule="exact"/>
        <w:rPr>
          <w:rFonts w:eastAsia="黑体"/>
        </w:rPr>
      </w:pPr>
      <w:r>
        <w:rPr>
          <w:rFonts w:hint="eastAsia" w:eastAsia="黑体"/>
        </w:rPr>
        <w:t>先修课程：</w:t>
      </w:r>
      <w:r>
        <w:rPr>
          <w:rFonts w:hint="eastAsia" w:ascii="宋体" w:hAnsi="宋体" w:cs="宋体"/>
          <w:bCs/>
          <w:szCs w:val="21"/>
        </w:rPr>
        <w:t>Java企业级应用开发</w:t>
      </w:r>
    </w:p>
    <w:p w14:paraId="7E61D7AE">
      <w:pPr>
        <w:spacing w:line="360" w:lineRule="exact"/>
        <w:rPr>
          <w:rFonts w:hint="eastAsia" w:ascii="time" w:hAnsi="time"/>
          <w:bCs/>
          <w:szCs w:val="21"/>
        </w:rPr>
      </w:pPr>
      <w:r>
        <w:rPr>
          <w:rFonts w:hint="eastAsia" w:eastAsia="黑体"/>
        </w:rPr>
        <w:t>适用专业：</w:t>
      </w:r>
      <w:r>
        <w:rPr>
          <w:rFonts w:hint="eastAsia" w:ascii="time" w:hAnsi="time"/>
          <w:bCs/>
          <w:szCs w:val="21"/>
        </w:rPr>
        <w:t>软件工程专业</w:t>
      </w:r>
      <w:r>
        <w:rPr>
          <w:rFonts w:hint="eastAsia" w:ascii="time" w:hAnsi="time"/>
          <w:bCs/>
          <w:szCs w:val="21"/>
          <w:lang w:val="en-US" w:eastAsia="zh-CN"/>
        </w:rPr>
        <w:t>专升本</w:t>
      </w:r>
      <w:r>
        <w:rPr>
          <w:rFonts w:hint="eastAsia" w:ascii="time" w:hAnsi="time"/>
          <w:bCs/>
          <w:szCs w:val="21"/>
        </w:rPr>
        <w:t>方向</w:t>
      </w:r>
    </w:p>
    <w:p w14:paraId="49D93D19">
      <w:pPr>
        <w:spacing w:line="360" w:lineRule="exact"/>
        <w:rPr>
          <w:bCs/>
          <w:szCs w:val="21"/>
        </w:rPr>
      </w:pPr>
      <w:r>
        <w:rPr>
          <w:rFonts w:hint="eastAsia" w:eastAsia="黑体"/>
        </w:rPr>
        <w:t>建议教材：</w:t>
      </w:r>
      <w:r>
        <w:rPr>
          <w:rFonts w:hint="eastAsia"/>
          <w:bCs/>
          <w:szCs w:val="21"/>
        </w:rPr>
        <w:t>迟殿委，林媛媛.</w:t>
      </w:r>
      <w:r>
        <w:rPr>
          <w:rFonts w:ascii="Verdana" w:hAnsi="Verdana"/>
          <w:szCs w:val="21"/>
          <w:shd w:val="clear" w:color="auto" w:fill="FFFFFF"/>
        </w:rPr>
        <w:t xml:space="preserve"> </w:t>
      </w:r>
      <w:r>
        <w:rPr>
          <w:bCs/>
          <w:szCs w:val="21"/>
        </w:rPr>
        <w:t>Spring Boot企业级开发实战.</w:t>
      </w:r>
      <w:r>
        <w:rPr>
          <w:rFonts w:hint="eastAsia"/>
          <w:bCs/>
          <w:szCs w:val="21"/>
        </w:rPr>
        <w:t>北京:清华大学出版社,</w:t>
      </w:r>
      <w:r>
        <w:rPr>
          <w:bCs/>
          <w:szCs w:val="21"/>
        </w:rPr>
        <w:t>20</w:t>
      </w:r>
      <w:r>
        <w:rPr>
          <w:rFonts w:hint="eastAsia"/>
          <w:bCs/>
          <w:szCs w:val="21"/>
        </w:rPr>
        <w:t>21</w:t>
      </w:r>
      <w:r>
        <w:rPr>
          <w:bCs/>
          <w:szCs w:val="21"/>
        </w:rPr>
        <w:t>.</w:t>
      </w:r>
      <w:r>
        <w:rPr>
          <w:rFonts w:hint="eastAsia"/>
        </w:rPr>
        <w:t xml:space="preserve"> </w:t>
      </w:r>
    </w:p>
    <w:p w14:paraId="79A50B6F">
      <w:pPr>
        <w:spacing w:line="360" w:lineRule="exact"/>
        <w:rPr>
          <w:rFonts w:eastAsia="黑体"/>
        </w:rPr>
      </w:pPr>
      <w:r>
        <w:rPr>
          <w:rFonts w:hint="eastAsia" w:eastAsia="黑体"/>
        </w:rPr>
        <w:t>开课单位：</w:t>
      </w:r>
      <w:r>
        <w:rPr>
          <w:rFonts w:hint="eastAsia"/>
          <w:bCs/>
          <w:szCs w:val="21"/>
        </w:rPr>
        <w:t>计算机与软件学院</w:t>
      </w:r>
    </w:p>
    <w:p w14:paraId="2BF8A71A">
      <w:pPr>
        <w:spacing w:before="156" w:beforeLines="50" w:after="156" w:afterLines="50" w:line="400" w:lineRule="exact"/>
        <w:rPr>
          <w:rFonts w:ascii="Times New Roman" w:hAnsi="Times New Roman" w:eastAsia="黑体"/>
          <w:sz w:val="24"/>
        </w:rPr>
      </w:pPr>
      <w:r>
        <w:rPr>
          <w:rFonts w:hint="eastAsia" w:eastAsia="黑体"/>
          <w:b/>
          <w:sz w:val="24"/>
        </w:rPr>
        <w:t>二、课程的性质与任务</w:t>
      </w:r>
    </w:p>
    <w:p w14:paraId="3F93F056">
      <w:pPr>
        <w:spacing w:line="400" w:lineRule="exact"/>
        <w:ind w:firstLine="422" w:firstLineChars="200"/>
        <w:rPr>
          <w:rFonts w:hint="eastAsia" w:ascii="宋体" w:hAnsi="宋体" w:cs="宋体"/>
          <w:szCs w:val="21"/>
        </w:rPr>
      </w:pPr>
      <w:r>
        <w:rPr>
          <w:rFonts w:hint="eastAsia" w:ascii="宋体" w:hAnsi="宋体" w:cs="宋体"/>
          <w:b/>
        </w:rPr>
        <w:t>课程性质：</w:t>
      </w:r>
      <w:r>
        <w:rPr>
          <w:rFonts w:hint="eastAsia" w:ascii="宋体" w:hAnsi="宋体" w:cs="宋体"/>
          <w:szCs w:val="21"/>
        </w:rPr>
        <w:t>本课程是软件工程专业</w:t>
      </w:r>
      <w:r>
        <w:rPr>
          <w:rFonts w:hint="eastAsia" w:ascii="宋体" w:hAnsi="宋体" w:cs="宋体"/>
          <w:szCs w:val="21"/>
          <w:lang w:val="en-US" w:eastAsia="zh-CN"/>
        </w:rPr>
        <w:t>专升本</w:t>
      </w:r>
      <w:bookmarkStart w:id="6" w:name="_GoBack"/>
      <w:bookmarkEnd w:id="6"/>
      <w:r>
        <w:rPr>
          <w:rFonts w:hint="eastAsia" w:ascii="宋体" w:hAnsi="宋体" w:cs="宋体"/>
          <w:szCs w:val="21"/>
        </w:rPr>
        <w:t>方向的个性化教育限选课，属集中实践课程，培养学生运用企业级开发技术分析、建模、解决复杂计算机工程问题的能力。</w:t>
      </w:r>
    </w:p>
    <w:p w14:paraId="3FC73E41">
      <w:pPr>
        <w:spacing w:line="400" w:lineRule="exact"/>
        <w:ind w:firstLine="422" w:firstLineChars="200"/>
        <w:rPr>
          <w:rFonts w:hint="eastAsia" w:ascii="宋体" w:hAnsi="宋体" w:cs="宋体"/>
        </w:rPr>
      </w:pPr>
      <w:r>
        <w:rPr>
          <w:rFonts w:hint="eastAsia" w:ascii="宋体" w:hAnsi="宋体" w:cs="宋体"/>
          <w:b/>
        </w:rPr>
        <w:t>课程任务：</w:t>
      </w:r>
      <w:r>
        <w:rPr>
          <w:rFonts w:hint="eastAsia" w:ascii="宋体" w:hAnsi="宋体" w:cs="宋体"/>
          <w:szCs w:val="21"/>
        </w:rPr>
        <w:t>本课程主要通过讲授Java企业级开发的基础知识和面向复杂问题的解决方案等的基础上，重点开展程序设计实际操作的实践教学环节，使学生理论和实践相结合。熟练掌握Java企业级应用程序的开发过程和面向不同工程实际进行的程序设计，在实际操作过程中提升概念、原理、设计和运行等专业操作与设计能力等。通过本课程的学习，学生能够针对具体的复杂计算机工程问题，设计企业级应用并编写高效程序，</w:t>
      </w:r>
      <w:r>
        <w:rPr>
          <w:rFonts w:hint="eastAsia" w:ascii="宋体" w:hAnsi="宋体" w:cs="宋体"/>
        </w:rPr>
        <w:t>使学生的实践动手能力得到真正的提升，更好的适应社会对人才的需要，</w:t>
      </w:r>
      <w:r>
        <w:rPr>
          <w:rFonts w:hint="eastAsia" w:ascii="宋体" w:hAnsi="宋体" w:cs="宋体"/>
          <w:szCs w:val="21"/>
        </w:rPr>
        <w:t>为后续的就业打下坚实基础。</w:t>
      </w:r>
    </w:p>
    <w:p w14:paraId="789D54F1">
      <w:pPr>
        <w:rPr>
          <w:rFonts w:eastAsia="黑体" w:cs="黑体"/>
          <w:b/>
          <w:sz w:val="24"/>
          <w:lang w:bidi="ar"/>
        </w:rPr>
      </w:pPr>
      <w:bookmarkStart w:id="0" w:name="_Toc11159"/>
      <w:bookmarkStart w:id="1" w:name="_Toc18657"/>
      <w:bookmarkStart w:id="2" w:name="_Toc3161"/>
      <w:r>
        <w:rPr>
          <w:rFonts w:hint="eastAsia" w:eastAsia="黑体" w:cs="黑体"/>
          <w:b/>
          <w:sz w:val="24"/>
          <w:lang w:bidi="ar"/>
        </w:rPr>
        <w:t>三、课程对毕业要求的支撑</w:t>
      </w:r>
      <w:bookmarkEnd w:id="0"/>
      <w:bookmarkEnd w:id="1"/>
      <w:bookmarkEnd w:id="2"/>
      <w:r>
        <w:rPr>
          <w:rFonts w:eastAsia="黑体" w:cs="黑体"/>
          <w:b/>
          <w:sz w:val="24"/>
          <w:lang w:bidi="ar"/>
        </w:rPr>
        <w:t>关系</w:t>
      </w:r>
    </w:p>
    <w:p w14:paraId="77E25D24">
      <w:pPr>
        <w:spacing w:line="400" w:lineRule="exact"/>
        <w:ind w:firstLine="420"/>
        <w:rPr>
          <w:rFonts w:hint="eastAsia" w:cs="宋体" w:asciiTheme="majorEastAsia" w:hAnsiTheme="majorEastAsia" w:eastAsiaTheme="majorEastAsia"/>
          <w:szCs w:val="21"/>
        </w:rPr>
      </w:pPr>
      <w:r>
        <w:rPr>
          <w:rFonts w:hint="eastAsia" w:cs="宋体"/>
          <w:szCs w:val="21"/>
          <w:lang w:bidi="ar"/>
        </w:rPr>
        <w:t>课程对毕业要求的支撑说明如表1所示。</w:t>
      </w:r>
    </w:p>
    <w:p w14:paraId="09FB0EDB">
      <w:pPr>
        <w:spacing w:after="120" w:line="400" w:lineRule="exact"/>
        <w:jc w:val="center"/>
        <w:rPr>
          <w:rFonts w:hint="eastAsia" w:cs="宋体" w:asciiTheme="majorEastAsia" w:hAnsiTheme="majorEastAsia" w:eastAsiaTheme="majorEastAsia"/>
          <w:szCs w:val="21"/>
        </w:rPr>
      </w:pPr>
      <w:r>
        <w:rPr>
          <w:rFonts w:hint="eastAsia" w:cs="宋体" w:asciiTheme="majorEastAsia" w:hAnsiTheme="majorEastAsia" w:eastAsiaTheme="majorEastAsia"/>
          <w:szCs w:val="21"/>
        </w:rPr>
        <w:t xml:space="preserve">表 </w:t>
      </w:r>
      <w:r>
        <w:rPr>
          <w:rFonts w:eastAsiaTheme="majorEastAsia"/>
          <w:szCs w:val="21"/>
        </w:rPr>
        <w:t>1</w:t>
      </w:r>
      <w:r>
        <w:rPr>
          <w:rFonts w:cs="宋体" w:asciiTheme="majorEastAsia" w:hAnsiTheme="majorEastAsia" w:eastAsiaTheme="majorEastAsia"/>
          <w:szCs w:val="21"/>
        </w:rPr>
        <w:t xml:space="preserve"> </w:t>
      </w:r>
      <w:r>
        <w:rPr>
          <w:rFonts w:hint="eastAsia" w:cs="宋体" w:asciiTheme="majorEastAsia" w:hAnsiTheme="majorEastAsia" w:eastAsiaTheme="majorEastAsia"/>
          <w:szCs w:val="21"/>
        </w:rPr>
        <w:t>课程对毕业要求的支撑关系</w:t>
      </w:r>
    </w:p>
    <w:tbl>
      <w:tblPr>
        <w:tblStyle w:val="8"/>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04"/>
        <w:gridCol w:w="2640"/>
        <w:gridCol w:w="1260"/>
      </w:tblGrid>
      <w:tr w14:paraId="4BDA5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4" w:type="dxa"/>
            <w:vAlign w:val="center"/>
          </w:tcPr>
          <w:p w14:paraId="1C596961">
            <w:pPr>
              <w:jc w:val="center"/>
              <w:rPr>
                <w:rFonts w:ascii="Times New Roman" w:hAnsi="Times New Roman"/>
                <w:b/>
                <w:bCs/>
                <w:sz w:val="18"/>
                <w:szCs w:val="18"/>
              </w:rPr>
            </w:pPr>
            <w:r>
              <w:rPr>
                <w:rFonts w:hint="eastAsia" w:ascii="Times New Roman" w:hAnsi="Times New Roman"/>
                <w:b/>
                <w:bCs/>
                <w:sz w:val="18"/>
                <w:szCs w:val="18"/>
              </w:rPr>
              <w:t>毕业要求</w:t>
            </w:r>
          </w:p>
        </w:tc>
        <w:tc>
          <w:tcPr>
            <w:tcW w:w="2640" w:type="dxa"/>
            <w:vAlign w:val="center"/>
          </w:tcPr>
          <w:p w14:paraId="47AB7042">
            <w:pPr>
              <w:jc w:val="center"/>
              <w:rPr>
                <w:rFonts w:ascii="Times New Roman" w:hAnsi="Times New Roman"/>
                <w:b/>
                <w:bCs/>
                <w:sz w:val="18"/>
                <w:szCs w:val="18"/>
              </w:rPr>
            </w:pPr>
            <w:r>
              <w:rPr>
                <w:rFonts w:hint="eastAsia" w:ascii="Times New Roman" w:hAnsi="Times New Roman"/>
                <w:b/>
                <w:bCs/>
                <w:sz w:val="18"/>
                <w:szCs w:val="18"/>
              </w:rPr>
              <w:t>观测点</w:t>
            </w:r>
          </w:p>
        </w:tc>
        <w:tc>
          <w:tcPr>
            <w:tcW w:w="1260" w:type="dxa"/>
            <w:vAlign w:val="center"/>
          </w:tcPr>
          <w:p w14:paraId="5D2ADE25">
            <w:pPr>
              <w:jc w:val="center"/>
              <w:rPr>
                <w:rFonts w:ascii="Times New Roman" w:hAnsi="Times New Roman"/>
                <w:b/>
                <w:bCs/>
                <w:sz w:val="18"/>
                <w:szCs w:val="18"/>
              </w:rPr>
            </w:pPr>
            <w:r>
              <w:rPr>
                <w:rFonts w:hint="eastAsia" w:ascii="Times New Roman" w:hAnsi="Times New Roman"/>
                <w:b/>
                <w:bCs/>
                <w:sz w:val="18"/>
                <w:szCs w:val="18"/>
              </w:rPr>
              <w:t>支撑说明</w:t>
            </w:r>
          </w:p>
        </w:tc>
      </w:tr>
      <w:tr w14:paraId="4C7A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2" w:hRule="atLeast"/>
        </w:trPr>
        <w:tc>
          <w:tcPr>
            <w:tcW w:w="4604" w:type="dxa"/>
            <w:vAlign w:val="center"/>
          </w:tcPr>
          <w:p w14:paraId="34DEA8E2">
            <w:pPr>
              <w:rPr>
                <w:b/>
                <w:bCs/>
                <w:sz w:val="18"/>
                <w:szCs w:val="18"/>
              </w:rPr>
            </w:pPr>
            <w:r>
              <w:rPr>
                <w:rFonts w:hint="eastAsia"/>
                <w:sz w:val="18"/>
                <w:szCs w:val="18"/>
              </w:rPr>
              <w:t>3.设计/开发解决方案：能够针对软件工程领域的复杂问题，设计解决方案，开发满足特定需求的软件系统、 功能模块或算法流程，并能够在设计/开发环节中体现创新意识，考虑社会、健康、安全、法律、文化以及环境等因素。</w:t>
            </w:r>
          </w:p>
        </w:tc>
        <w:tc>
          <w:tcPr>
            <w:tcW w:w="2640" w:type="dxa"/>
            <w:vAlign w:val="center"/>
          </w:tcPr>
          <w:p w14:paraId="5692A386">
            <w:pPr>
              <w:rPr>
                <w:sz w:val="18"/>
                <w:szCs w:val="18"/>
              </w:rPr>
            </w:pPr>
            <w:r>
              <w:rPr>
                <w:rFonts w:hint="eastAsia"/>
                <w:sz w:val="18"/>
                <w:szCs w:val="18"/>
              </w:rPr>
              <w:t>3-3：能够进行软件系统设计，在设计中体现创新意识。</w:t>
            </w:r>
          </w:p>
          <w:p w14:paraId="4D8DE711">
            <w:pPr>
              <w:rPr>
                <w:sz w:val="18"/>
                <w:szCs w:val="18"/>
              </w:rPr>
            </w:pPr>
          </w:p>
        </w:tc>
        <w:tc>
          <w:tcPr>
            <w:tcW w:w="1260" w:type="dxa"/>
            <w:vAlign w:val="center"/>
          </w:tcPr>
          <w:p w14:paraId="3629D8EF">
            <w:pPr>
              <w:jc w:val="center"/>
              <w:rPr>
                <w:sz w:val="18"/>
                <w:szCs w:val="18"/>
              </w:rPr>
            </w:pPr>
            <w:r>
              <w:rPr>
                <w:rFonts w:hint="eastAsia"/>
                <w:sz w:val="18"/>
                <w:szCs w:val="18"/>
              </w:rPr>
              <w:t>课程目标1</w:t>
            </w:r>
          </w:p>
        </w:tc>
      </w:tr>
      <w:tr w14:paraId="7BC02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4" w:type="dxa"/>
            <w:vAlign w:val="center"/>
          </w:tcPr>
          <w:p w14:paraId="66D22705">
            <w:pPr>
              <w:rPr>
                <w:sz w:val="18"/>
                <w:szCs w:val="18"/>
              </w:rPr>
            </w:pPr>
            <w:r>
              <w:rPr>
                <w:rFonts w:hint="eastAsia"/>
                <w:sz w:val="18"/>
                <w:szCs w:val="18"/>
              </w:rPr>
              <w:t>6.工程与社会：能够基于软件工程的实际应用场景进行合理分析，评价软件项目工程实践和复杂软件工程问题解决方案对社会、健康、安全、法律以及文化的影响，并理解应承担的责任。</w:t>
            </w:r>
          </w:p>
        </w:tc>
        <w:tc>
          <w:tcPr>
            <w:tcW w:w="2640" w:type="dxa"/>
            <w:vAlign w:val="center"/>
          </w:tcPr>
          <w:p w14:paraId="55B044AE">
            <w:pPr>
              <w:rPr>
                <w:sz w:val="18"/>
                <w:szCs w:val="18"/>
              </w:rPr>
            </w:pPr>
            <w:r>
              <w:rPr>
                <w:rFonts w:hint="eastAsia"/>
                <w:sz w:val="18"/>
                <w:szCs w:val="18"/>
              </w:rPr>
              <w:t>6-2：</w:t>
            </w:r>
            <w:r>
              <w:rPr>
                <w:rFonts w:hint="eastAsia" w:ascii="Times New Roman" w:hAnsi="Times New Roman" w:cs="Cambria"/>
                <w:sz w:val="18"/>
                <w:szCs w:val="18"/>
              </w:rPr>
              <w:t>能够根据软件工程项目的实施背景，合理分析和评价项目实践对社会、健康、安全、法律和文化的影响，以及这些制约因素对项目实施的影响，并理解应承担的责任。</w:t>
            </w:r>
          </w:p>
        </w:tc>
        <w:tc>
          <w:tcPr>
            <w:tcW w:w="1260" w:type="dxa"/>
            <w:vAlign w:val="center"/>
          </w:tcPr>
          <w:p w14:paraId="5FE6EB42">
            <w:pPr>
              <w:jc w:val="center"/>
              <w:rPr>
                <w:sz w:val="18"/>
                <w:szCs w:val="18"/>
              </w:rPr>
            </w:pPr>
            <w:r>
              <w:rPr>
                <w:rFonts w:hint="eastAsia"/>
                <w:sz w:val="18"/>
                <w:szCs w:val="18"/>
              </w:rPr>
              <w:t>课程目标2</w:t>
            </w:r>
          </w:p>
        </w:tc>
      </w:tr>
    </w:tbl>
    <w:p w14:paraId="6E36205C">
      <w:pPr>
        <w:spacing w:before="156" w:beforeLines="50" w:after="156" w:afterLines="50" w:line="400" w:lineRule="exact"/>
        <w:rPr>
          <w:rFonts w:ascii="Times New Roman" w:hAnsi="Times New Roman" w:eastAsia="黑体"/>
          <w:sz w:val="24"/>
        </w:rPr>
      </w:pPr>
      <w:r>
        <w:rPr>
          <w:rFonts w:hint="eastAsia" w:ascii="Times New Roman" w:hAnsi="Times New Roman" w:eastAsia="黑体"/>
          <w:b/>
          <w:bCs/>
          <w:sz w:val="24"/>
        </w:rPr>
        <w:t>四</w:t>
      </w:r>
      <w:r>
        <w:rPr>
          <w:rFonts w:ascii="Times New Roman" w:hAnsi="Times New Roman" w:eastAsia="黑体"/>
          <w:b/>
          <w:bCs/>
          <w:sz w:val="24"/>
        </w:rPr>
        <w:t>、</w:t>
      </w:r>
      <w:r>
        <w:rPr>
          <w:rFonts w:hint="eastAsia" w:ascii="Times New Roman" w:hAnsi="Times New Roman" w:eastAsia="黑体"/>
          <w:b/>
          <w:bCs/>
          <w:sz w:val="24"/>
        </w:rPr>
        <w:t>课程目标</w:t>
      </w:r>
    </w:p>
    <w:p w14:paraId="5D360CF6">
      <w:pPr>
        <w:pStyle w:val="4"/>
        <w:ind w:firstLine="422" w:firstLineChars="200"/>
        <w:rPr>
          <w:b/>
          <w:bCs/>
        </w:rPr>
      </w:pPr>
      <w:r>
        <w:rPr>
          <w:rFonts w:hint="eastAsia"/>
          <w:b/>
          <w:bCs/>
        </w:rPr>
        <w:t>德育目标：</w:t>
      </w:r>
      <w:r>
        <w:rPr>
          <w:rFonts w:hint="eastAsia"/>
        </w:rPr>
        <w:t>树立独立思考、分工协作、团结奋进的意识；具有不怕困难，迎难而上，勇于开拓的创新精神；发扬求真务实、辛勤劳动、甘于奉献的科学家精神。</w:t>
      </w:r>
    </w:p>
    <w:p w14:paraId="1F811F6F">
      <w:pPr>
        <w:pStyle w:val="4"/>
        <w:ind w:firstLine="422" w:firstLineChars="200"/>
      </w:pPr>
      <w:r>
        <w:rPr>
          <w:rFonts w:hint="eastAsia"/>
          <w:b/>
          <w:bCs/>
        </w:rPr>
        <w:t>课程目标1：</w:t>
      </w:r>
      <w:r>
        <w:rPr>
          <w:rFonts w:hint="eastAsia"/>
        </w:rPr>
        <w:t>根据给定的复杂工程问题，能够审清问题的已知数据和约束条件，明确问题的目标，选择合适的开发技术，设计并实现合理的企业级系统功能；（3-3）</w:t>
      </w:r>
    </w:p>
    <w:p w14:paraId="017635AE">
      <w:pPr>
        <w:pStyle w:val="4"/>
        <w:ind w:firstLine="422" w:firstLineChars="200"/>
      </w:pPr>
      <w:r>
        <w:rPr>
          <w:rFonts w:hint="eastAsia"/>
          <w:b/>
          <w:bCs/>
        </w:rPr>
        <w:t>课程目标2：</w:t>
      </w:r>
      <w:r>
        <w:rPr>
          <w:rFonts w:hint="eastAsia"/>
          <w:bCs/>
        </w:rPr>
        <w:t>能够评价</w:t>
      </w:r>
      <w:r>
        <w:rPr>
          <w:rFonts w:hint="eastAsia"/>
        </w:rPr>
        <w:t>计算机工程问题的实现方案和社会影响因素，并进行总结汇报；通过分组讨论和师生评价分析方案的优缺，制定解决方案的修改计划。（6-2）</w:t>
      </w:r>
    </w:p>
    <w:p w14:paraId="26DCC96C">
      <w:pPr>
        <w:pStyle w:val="5"/>
        <w:ind w:firstLine="0" w:firstLineChars="0"/>
        <w:rPr>
          <w:rFonts w:ascii="黑体" w:eastAsia="黑体" w:cs="宋体"/>
          <w:b/>
          <w:sz w:val="24"/>
          <w:lang w:bidi="ar"/>
        </w:rPr>
      </w:pPr>
      <w:r>
        <w:rPr>
          <w:rFonts w:hint="eastAsia" w:ascii="黑体" w:eastAsia="黑体" w:cs="宋体"/>
          <w:b/>
          <w:sz w:val="24"/>
          <w:lang w:bidi="ar"/>
        </w:rPr>
        <w:t>五、课程学习内容、学习要求与学时分配</w:t>
      </w:r>
    </w:p>
    <w:p w14:paraId="3807EA09">
      <w:pPr>
        <w:pStyle w:val="5"/>
        <w:spacing w:line="240" w:lineRule="auto"/>
        <w:rPr>
          <w:rFonts w:ascii="黑体" w:cs="宋体" w:eastAsiaTheme="majorEastAsia"/>
          <w:b/>
          <w:sz w:val="24"/>
          <w:lang w:bidi="ar"/>
        </w:rPr>
      </w:pPr>
      <w:r>
        <w:rPr>
          <w:rFonts w:cs="宋体" w:asciiTheme="majorEastAsia" w:hAnsiTheme="majorEastAsia" w:eastAsiaTheme="majorEastAsia"/>
          <w:szCs w:val="21"/>
        </w:rPr>
        <w:t xml:space="preserve"> </w:t>
      </w:r>
      <w:r>
        <w:rPr>
          <w:rFonts w:hint="eastAsia" w:cs="宋体" w:asciiTheme="majorEastAsia" w:hAnsiTheme="majorEastAsia" w:eastAsiaTheme="majorEastAsia"/>
          <w:szCs w:val="21"/>
        </w:rPr>
        <w:t>课程学习内容、要求与学时分配情况如表2所示。</w:t>
      </w:r>
    </w:p>
    <w:p w14:paraId="32099E96">
      <w:pPr>
        <w:pStyle w:val="5"/>
        <w:ind w:firstLine="0" w:firstLineChars="0"/>
        <w:jc w:val="center"/>
        <w:rPr>
          <w:rFonts w:hint="eastAsia" w:cs="宋体" w:asciiTheme="majorEastAsia" w:hAnsiTheme="majorEastAsia" w:eastAsiaTheme="majorEastAsia"/>
          <w:sz w:val="18"/>
          <w:szCs w:val="18"/>
        </w:rPr>
      </w:pPr>
      <w:r>
        <w:rPr>
          <w:rFonts w:hint="eastAsia" w:cs="宋体" w:asciiTheme="majorEastAsia" w:hAnsiTheme="majorEastAsia" w:eastAsiaTheme="majorEastAsia"/>
          <w:sz w:val="18"/>
          <w:szCs w:val="18"/>
        </w:rPr>
        <w:t>表 2</w:t>
      </w:r>
      <w:r>
        <w:rPr>
          <w:rFonts w:cs="宋体" w:asciiTheme="majorEastAsia" w:hAnsiTheme="majorEastAsia" w:eastAsiaTheme="majorEastAsia"/>
          <w:sz w:val="18"/>
          <w:szCs w:val="18"/>
        </w:rPr>
        <w:t xml:space="preserve"> </w:t>
      </w:r>
      <w:r>
        <w:rPr>
          <w:rFonts w:hint="eastAsia" w:cs="宋体" w:asciiTheme="majorEastAsia" w:hAnsiTheme="majorEastAsia" w:eastAsiaTheme="majorEastAsia"/>
          <w:sz w:val="18"/>
          <w:szCs w:val="18"/>
        </w:rPr>
        <w:t>学习内容、要求与学时分配表</w:t>
      </w:r>
    </w:p>
    <w:tbl>
      <w:tblPr>
        <w:tblStyle w:val="8"/>
        <w:tblW w:w="896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2"/>
        <w:gridCol w:w="3260"/>
        <w:gridCol w:w="1090"/>
        <w:gridCol w:w="706"/>
        <w:gridCol w:w="1258"/>
        <w:gridCol w:w="1008"/>
      </w:tblGrid>
      <w:tr w14:paraId="07150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4" w:hRule="atLeast"/>
          <w:jc w:val="center"/>
        </w:trPr>
        <w:tc>
          <w:tcPr>
            <w:tcW w:w="1642" w:type="dxa"/>
            <w:tcBorders>
              <w:top w:val="single" w:color="000000" w:sz="4" w:space="0"/>
              <w:left w:val="single" w:color="000000" w:sz="4" w:space="0"/>
              <w:bottom w:val="single" w:color="000000" w:sz="4" w:space="0"/>
              <w:right w:val="single" w:color="000000" w:sz="4" w:space="0"/>
            </w:tcBorders>
            <w:vAlign w:val="center"/>
          </w:tcPr>
          <w:p w14:paraId="353A1418">
            <w:pPr>
              <w:jc w:val="center"/>
              <w:rPr>
                <w:b/>
                <w:bCs/>
                <w:sz w:val="18"/>
                <w:szCs w:val="18"/>
              </w:rPr>
            </w:pPr>
            <w:r>
              <w:rPr>
                <w:rFonts w:hint="eastAsia"/>
                <w:b/>
                <w:bCs/>
                <w:sz w:val="18"/>
                <w:szCs w:val="18"/>
              </w:rPr>
              <w:t>课程内容</w:t>
            </w:r>
          </w:p>
        </w:tc>
        <w:tc>
          <w:tcPr>
            <w:tcW w:w="3260" w:type="dxa"/>
            <w:tcBorders>
              <w:top w:val="single" w:color="000000" w:sz="4" w:space="0"/>
              <w:left w:val="single" w:color="000000" w:sz="4" w:space="0"/>
              <w:bottom w:val="single" w:color="000000" w:sz="4" w:space="0"/>
              <w:right w:val="single" w:color="000000" w:sz="4" w:space="0"/>
            </w:tcBorders>
            <w:vAlign w:val="center"/>
          </w:tcPr>
          <w:p w14:paraId="0ED026A0">
            <w:pPr>
              <w:jc w:val="center"/>
              <w:rPr>
                <w:b/>
                <w:bCs/>
                <w:sz w:val="18"/>
                <w:szCs w:val="18"/>
              </w:rPr>
            </w:pPr>
            <w:r>
              <w:rPr>
                <w:rFonts w:hint="eastAsia"/>
                <w:b/>
                <w:bCs/>
                <w:sz w:val="18"/>
                <w:szCs w:val="18"/>
              </w:rPr>
              <w:t>学习</w:t>
            </w:r>
            <w:r>
              <w:rPr>
                <w:b/>
                <w:bCs/>
                <w:sz w:val="18"/>
                <w:szCs w:val="18"/>
              </w:rPr>
              <w:t>要求</w:t>
            </w:r>
          </w:p>
        </w:tc>
        <w:tc>
          <w:tcPr>
            <w:tcW w:w="10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52D5FEF2">
            <w:pPr>
              <w:jc w:val="center"/>
              <w:rPr>
                <w:rFonts w:ascii="Times New Roman" w:hAnsi="Times New Roman"/>
                <w:b/>
                <w:sz w:val="18"/>
                <w:szCs w:val="18"/>
              </w:rPr>
            </w:pPr>
            <w:r>
              <w:rPr>
                <w:rFonts w:hint="eastAsia" w:ascii="Times New Roman" w:hAnsi="Times New Roman"/>
                <w:b/>
                <w:sz w:val="18"/>
                <w:szCs w:val="18"/>
              </w:rPr>
              <w:t>思政元素</w:t>
            </w:r>
          </w:p>
        </w:tc>
        <w:tc>
          <w:tcPr>
            <w:tcW w:w="706"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2044C399">
            <w:pPr>
              <w:jc w:val="center"/>
              <w:rPr>
                <w:b/>
                <w:bCs/>
                <w:sz w:val="18"/>
                <w:szCs w:val="18"/>
              </w:rPr>
            </w:pPr>
            <w:r>
              <w:rPr>
                <w:rFonts w:hint="eastAsia"/>
                <w:b/>
                <w:bCs/>
                <w:sz w:val="18"/>
                <w:szCs w:val="18"/>
              </w:rPr>
              <w:t>推荐</w:t>
            </w:r>
          </w:p>
          <w:p w14:paraId="185168C6">
            <w:pPr>
              <w:jc w:val="center"/>
              <w:rPr>
                <w:b/>
                <w:bCs/>
                <w:sz w:val="18"/>
                <w:szCs w:val="18"/>
              </w:rPr>
            </w:pPr>
            <w:r>
              <w:rPr>
                <w:rFonts w:hint="eastAsia"/>
                <w:b/>
                <w:bCs/>
                <w:sz w:val="18"/>
                <w:szCs w:val="18"/>
              </w:rPr>
              <w:t>学时</w:t>
            </w:r>
          </w:p>
        </w:tc>
        <w:tc>
          <w:tcPr>
            <w:tcW w:w="1258" w:type="dxa"/>
            <w:tcBorders>
              <w:top w:val="single" w:color="000000" w:sz="4" w:space="0"/>
              <w:left w:val="single" w:color="000000" w:sz="4" w:space="0"/>
              <w:bottom w:val="single" w:color="000000" w:sz="4" w:space="0"/>
              <w:right w:val="single" w:color="000000" w:sz="4" w:space="0"/>
            </w:tcBorders>
            <w:vAlign w:val="center"/>
          </w:tcPr>
          <w:p w14:paraId="14909A81">
            <w:pPr>
              <w:jc w:val="center"/>
              <w:rPr>
                <w:b/>
                <w:bCs/>
                <w:sz w:val="18"/>
                <w:szCs w:val="18"/>
              </w:rPr>
            </w:pPr>
            <w:r>
              <w:rPr>
                <w:rFonts w:hint="eastAsia" w:ascii="Times New Roman" w:hAnsi="Times New Roman"/>
                <w:b/>
                <w:sz w:val="18"/>
                <w:szCs w:val="18"/>
              </w:rPr>
              <w:t>教学方式</w:t>
            </w:r>
          </w:p>
        </w:tc>
        <w:tc>
          <w:tcPr>
            <w:tcW w:w="1008" w:type="dxa"/>
            <w:tcBorders>
              <w:top w:val="single" w:color="000000" w:sz="4" w:space="0"/>
              <w:left w:val="single" w:color="000000" w:sz="4" w:space="0"/>
              <w:bottom w:val="single" w:color="000000" w:sz="4" w:space="0"/>
              <w:right w:val="single" w:color="000000" w:sz="4" w:space="0"/>
            </w:tcBorders>
            <w:vAlign w:val="center"/>
          </w:tcPr>
          <w:p w14:paraId="7A3559AB">
            <w:pPr>
              <w:jc w:val="center"/>
              <w:rPr>
                <w:b/>
                <w:bCs/>
                <w:sz w:val="18"/>
                <w:szCs w:val="18"/>
              </w:rPr>
            </w:pPr>
            <w:r>
              <w:rPr>
                <w:b/>
                <w:bCs/>
                <w:sz w:val="18"/>
                <w:szCs w:val="18"/>
              </w:rPr>
              <w:t>支撑课程目标</w:t>
            </w:r>
          </w:p>
        </w:tc>
      </w:tr>
      <w:tr w14:paraId="51212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72" w:hRule="atLeast"/>
          <w:jc w:val="center"/>
        </w:trPr>
        <w:tc>
          <w:tcPr>
            <w:tcW w:w="1642" w:type="dxa"/>
            <w:tcBorders>
              <w:top w:val="single" w:color="000000" w:sz="4" w:space="0"/>
              <w:left w:val="single" w:color="000000" w:sz="4" w:space="0"/>
              <w:right w:val="single" w:color="000000" w:sz="4" w:space="0"/>
            </w:tcBorders>
            <w:vAlign w:val="center"/>
          </w:tcPr>
          <w:p w14:paraId="381A079A">
            <w:pPr>
              <w:rPr>
                <w:sz w:val="18"/>
                <w:szCs w:val="18"/>
              </w:rPr>
            </w:pPr>
            <w:r>
              <w:rPr>
                <w:rFonts w:hint="eastAsia"/>
                <w:sz w:val="18"/>
                <w:szCs w:val="18"/>
              </w:rPr>
              <w:t>根据选题内容查阅技术文献资料，</w:t>
            </w:r>
            <w:r>
              <w:rPr>
                <w:rFonts w:ascii="Times New Roman" w:hAnsi="Times New Roman"/>
                <w:sz w:val="18"/>
                <w:szCs w:val="18"/>
              </w:rPr>
              <w:t>分析问题</w:t>
            </w:r>
            <w:r>
              <w:rPr>
                <w:rFonts w:hint="eastAsia" w:ascii="Times New Roman" w:hAnsi="Times New Roman"/>
                <w:sz w:val="18"/>
                <w:szCs w:val="18"/>
              </w:rPr>
              <w:t>，明确</w:t>
            </w:r>
            <w:r>
              <w:rPr>
                <w:rFonts w:ascii="Times New Roman" w:hAnsi="Times New Roman"/>
                <w:sz w:val="18"/>
                <w:szCs w:val="18"/>
              </w:rPr>
              <w:t>任务</w:t>
            </w:r>
            <w:r>
              <w:rPr>
                <w:rFonts w:hint="eastAsia"/>
                <w:sz w:val="18"/>
                <w:szCs w:val="18"/>
              </w:rPr>
              <w:t>。</w:t>
            </w:r>
          </w:p>
        </w:tc>
        <w:tc>
          <w:tcPr>
            <w:tcW w:w="3260" w:type="dxa"/>
            <w:tcBorders>
              <w:top w:val="single" w:color="000000" w:sz="4" w:space="0"/>
              <w:left w:val="single" w:color="000000" w:sz="4" w:space="0"/>
              <w:right w:val="single" w:color="000000" w:sz="4" w:space="0"/>
            </w:tcBorders>
            <w:vAlign w:val="center"/>
          </w:tcPr>
          <w:p w14:paraId="7A7B39DC">
            <w:pPr>
              <w:widowControl/>
              <w:rPr>
                <w:kern w:val="0"/>
                <w:sz w:val="18"/>
                <w:szCs w:val="18"/>
              </w:rPr>
            </w:pPr>
            <w:r>
              <w:rPr>
                <w:rFonts w:hint="eastAsia"/>
                <w:kern w:val="0"/>
                <w:sz w:val="18"/>
                <w:szCs w:val="18"/>
              </w:rPr>
              <w:t>（1）能够利用网络，对课题相关的参考文献和技术资料进行检索；</w:t>
            </w:r>
          </w:p>
          <w:p w14:paraId="1C7613E9">
            <w:pPr>
              <w:widowControl/>
              <w:rPr>
                <w:kern w:val="0"/>
                <w:sz w:val="18"/>
                <w:szCs w:val="18"/>
              </w:rPr>
            </w:pPr>
            <w:r>
              <w:rPr>
                <w:rFonts w:hint="eastAsia"/>
                <w:kern w:val="0"/>
                <w:sz w:val="18"/>
                <w:szCs w:val="18"/>
              </w:rPr>
              <w:t>（2）根据</w:t>
            </w:r>
            <w:r>
              <w:rPr>
                <w:kern w:val="0"/>
                <w:sz w:val="18"/>
                <w:szCs w:val="18"/>
              </w:rPr>
              <w:t>实训选题的要求，充分分析和理解题目，明确问题的要求，确定最终的任务。</w:t>
            </w:r>
          </w:p>
        </w:tc>
        <w:tc>
          <w:tcPr>
            <w:tcW w:w="1090" w:type="dxa"/>
            <w:tcBorders>
              <w:top w:val="single" w:color="000000" w:sz="4" w:space="0"/>
              <w:left w:val="single" w:color="000000" w:sz="4" w:space="0"/>
              <w:right w:val="single" w:color="000000" w:sz="4" w:space="0"/>
            </w:tcBorders>
            <w:vAlign w:val="center"/>
          </w:tcPr>
          <w:p w14:paraId="33E4B8E5">
            <w:pPr>
              <w:rPr>
                <w:sz w:val="18"/>
                <w:szCs w:val="18"/>
              </w:rPr>
            </w:pPr>
            <w:r>
              <w:rPr>
                <w:rFonts w:hint="eastAsia"/>
                <w:sz w:val="18"/>
                <w:szCs w:val="18"/>
              </w:rPr>
              <w:t>独立思考、</w:t>
            </w:r>
            <w:r>
              <w:rPr>
                <w:sz w:val="18"/>
                <w:szCs w:val="18"/>
              </w:rPr>
              <w:t>分工协作、创新</w:t>
            </w:r>
          </w:p>
        </w:tc>
        <w:tc>
          <w:tcPr>
            <w:tcW w:w="706" w:type="dxa"/>
            <w:tcBorders>
              <w:top w:val="single" w:color="000000" w:sz="4" w:space="0"/>
              <w:left w:val="single" w:color="000000" w:sz="4" w:space="0"/>
              <w:right w:val="single" w:color="000000" w:sz="4" w:space="0"/>
            </w:tcBorders>
            <w:vAlign w:val="center"/>
          </w:tcPr>
          <w:p w14:paraId="0F9DF470">
            <w:pPr>
              <w:jc w:val="center"/>
              <w:rPr>
                <w:sz w:val="18"/>
                <w:szCs w:val="18"/>
              </w:rPr>
            </w:pPr>
            <w:r>
              <w:rPr>
                <w:rFonts w:hint="eastAsia"/>
                <w:sz w:val="18"/>
                <w:szCs w:val="18"/>
              </w:rPr>
              <w:t>1天</w:t>
            </w:r>
          </w:p>
        </w:tc>
        <w:tc>
          <w:tcPr>
            <w:tcW w:w="1258" w:type="dxa"/>
            <w:tcBorders>
              <w:top w:val="single" w:color="000000" w:sz="4" w:space="0"/>
              <w:left w:val="single" w:color="000000" w:sz="4" w:space="0"/>
              <w:right w:val="single" w:color="000000" w:sz="4" w:space="0"/>
            </w:tcBorders>
            <w:vAlign w:val="center"/>
          </w:tcPr>
          <w:p w14:paraId="64441854">
            <w:pPr>
              <w:rPr>
                <w:sz w:val="18"/>
                <w:szCs w:val="18"/>
              </w:rPr>
            </w:pPr>
            <w:r>
              <w:rPr>
                <w:rFonts w:hint="eastAsia"/>
                <w:sz w:val="18"/>
                <w:szCs w:val="18"/>
              </w:rPr>
              <w:t>教师引领</w:t>
            </w:r>
          </w:p>
          <w:p w14:paraId="7A8AD599">
            <w:pPr>
              <w:pStyle w:val="5"/>
              <w:spacing w:line="240" w:lineRule="auto"/>
              <w:ind w:firstLine="0" w:firstLineChars="0"/>
              <w:rPr>
                <w:sz w:val="18"/>
                <w:szCs w:val="18"/>
              </w:rPr>
            </w:pPr>
            <w:r>
              <w:rPr>
                <w:rFonts w:hint="eastAsia"/>
                <w:sz w:val="18"/>
                <w:szCs w:val="18"/>
              </w:rPr>
              <w:t>调查研究</w:t>
            </w:r>
          </w:p>
          <w:p w14:paraId="5A1E9AE7">
            <w:pPr>
              <w:rPr>
                <w:sz w:val="18"/>
                <w:szCs w:val="18"/>
              </w:rPr>
            </w:pPr>
            <w:r>
              <w:rPr>
                <w:rFonts w:hint="eastAsia"/>
                <w:sz w:val="18"/>
                <w:szCs w:val="18"/>
              </w:rPr>
              <w:t>自主学习</w:t>
            </w:r>
          </w:p>
        </w:tc>
        <w:tc>
          <w:tcPr>
            <w:tcW w:w="1008" w:type="dxa"/>
            <w:tcBorders>
              <w:top w:val="single" w:color="000000" w:sz="4" w:space="0"/>
              <w:left w:val="single" w:color="000000" w:sz="4" w:space="0"/>
              <w:right w:val="single" w:color="000000" w:sz="4" w:space="0"/>
            </w:tcBorders>
            <w:vAlign w:val="center"/>
          </w:tcPr>
          <w:p w14:paraId="49E98F68">
            <w:pPr>
              <w:jc w:val="center"/>
              <w:rPr>
                <w:sz w:val="18"/>
                <w:szCs w:val="18"/>
              </w:rPr>
            </w:pPr>
            <w:r>
              <w:rPr>
                <w:rFonts w:hint="eastAsia"/>
                <w:sz w:val="18"/>
                <w:szCs w:val="18"/>
              </w:rPr>
              <w:t>1</w:t>
            </w:r>
          </w:p>
        </w:tc>
      </w:tr>
      <w:tr w14:paraId="0FC1F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69" w:hRule="atLeast"/>
          <w:jc w:val="center"/>
        </w:trPr>
        <w:tc>
          <w:tcPr>
            <w:tcW w:w="1642" w:type="dxa"/>
            <w:tcBorders>
              <w:top w:val="single" w:color="000000" w:sz="4" w:space="0"/>
              <w:left w:val="single" w:color="000000" w:sz="4" w:space="0"/>
              <w:bottom w:val="single" w:color="000000" w:sz="4" w:space="0"/>
              <w:right w:val="single" w:color="000000" w:sz="4" w:space="0"/>
            </w:tcBorders>
            <w:vAlign w:val="center"/>
          </w:tcPr>
          <w:p w14:paraId="35CAE48E">
            <w:pPr>
              <w:rPr>
                <w:sz w:val="18"/>
                <w:szCs w:val="18"/>
              </w:rPr>
            </w:pPr>
            <w:r>
              <w:rPr>
                <w:rFonts w:ascii="Times New Roman" w:hAnsi="Times New Roman"/>
                <w:sz w:val="18"/>
                <w:szCs w:val="18"/>
              </w:rPr>
              <w:t>技能实践及项目具体设计</w:t>
            </w:r>
          </w:p>
        </w:tc>
        <w:tc>
          <w:tcPr>
            <w:tcW w:w="3260" w:type="dxa"/>
            <w:tcBorders>
              <w:top w:val="single" w:color="000000" w:sz="4" w:space="0"/>
              <w:left w:val="single" w:color="000000" w:sz="4" w:space="0"/>
              <w:bottom w:val="single" w:color="000000" w:sz="4" w:space="0"/>
              <w:right w:val="single" w:color="000000" w:sz="4" w:space="0"/>
            </w:tcBorders>
            <w:vAlign w:val="center"/>
          </w:tcPr>
          <w:p w14:paraId="42C12A35">
            <w:pPr>
              <w:widowControl/>
              <w:rPr>
                <w:kern w:val="0"/>
                <w:sz w:val="18"/>
                <w:szCs w:val="18"/>
              </w:rPr>
            </w:pPr>
            <w:r>
              <w:rPr>
                <w:rFonts w:hint="eastAsia"/>
                <w:kern w:val="0"/>
                <w:sz w:val="18"/>
                <w:szCs w:val="18"/>
              </w:rPr>
              <w:t>（1）掌握项目开发所需的专业知识。</w:t>
            </w:r>
          </w:p>
          <w:p w14:paraId="35C7DB9B">
            <w:pPr>
              <w:widowControl/>
              <w:rPr>
                <w:kern w:val="0"/>
                <w:sz w:val="18"/>
                <w:szCs w:val="18"/>
              </w:rPr>
            </w:pPr>
            <w:r>
              <w:rPr>
                <w:rFonts w:hint="eastAsia"/>
                <w:kern w:val="0"/>
                <w:sz w:val="18"/>
                <w:szCs w:val="18"/>
              </w:rPr>
              <w:t>（2）根据项目需求进行分析和设计。</w:t>
            </w:r>
          </w:p>
          <w:p w14:paraId="68AF61F4">
            <w:pPr>
              <w:widowControl/>
              <w:rPr>
                <w:kern w:val="0"/>
                <w:sz w:val="18"/>
                <w:szCs w:val="18"/>
              </w:rPr>
            </w:pPr>
            <w:r>
              <w:rPr>
                <w:rFonts w:hint="eastAsia"/>
                <w:kern w:val="0"/>
                <w:sz w:val="18"/>
                <w:szCs w:val="18"/>
              </w:rPr>
              <w:t>（3）</w:t>
            </w:r>
            <w:r>
              <w:rPr>
                <w:kern w:val="0"/>
                <w:sz w:val="18"/>
                <w:szCs w:val="18"/>
              </w:rPr>
              <w:t>综合考虑</w:t>
            </w:r>
            <w:r>
              <w:rPr>
                <w:rFonts w:hint="eastAsia"/>
                <w:kern w:val="0"/>
                <w:sz w:val="18"/>
                <w:szCs w:val="18"/>
              </w:rPr>
              <w:t>各种因素，分析影响效率的因素，提出改进设想。</w:t>
            </w:r>
          </w:p>
        </w:tc>
        <w:tc>
          <w:tcPr>
            <w:tcW w:w="1090" w:type="dxa"/>
            <w:tcBorders>
              <w:top w:val="single" w:color="000000" w:sz="4" w:space="0"/>
              <w:left w:val="single" w:color="000000" w:sz="4" w:space="0"/>
              <w:bottom w:val="single" w:color="000000" w:sz="4" w:space="0"/>
              <w:right w:val="single" w:color="000000" w:sz="4" w:space="0"/>
            </w:tcBorders>
            <w:vAlign w:val="center"/>
          </w:tcPr>
          <w:p w14:paraId="4CA12D05">
            <w:pPr>
              <w:widowControl/>
              <w:rPr>
                <w:sz w:val="18"/>
                <w:szCs w:val="18"/>
              </w:rPr>
            </w:pPr>
            <w:r>
              <w:rPr>
                <w:rFonts w:hint="eastAsia"/>
                <w:sz w:val="18"/>
                <w:szCs w:val="18"/>
              </w:rPr>
              <w:t>分工协作、团结奋进、创造、创新</w:t>
            </w:r>
          </w:p>
        </w:tc>
        <w:tc>
          <w:tcPr>
            <w:tcW w:w="706" w:type="dxa"/>
            <w:tcBorders>
              <w:top w:val="single" w:color="000000" w:sz="4" w:space="0"/>
              <w:left w:val="single" w:color="000000" w:sz="4" w:space="0"/>
              <w:bottom w:val="single" w:color="000000" w:sz="4" w:space="0"/>
              <w:right w:val="single" w:color="000000" w:sz="4" w:space="0"/>
            </w:tcBorders>
            <w:vAlign w:val="center"/>
          </w:tcPr>
          <w:p w14:paraId="15A8E50D">
            <w:pPr>
              <w:jc w:val="center"/>
              <w:rPr>
                <w:sz w:val="18"/>
                <w:szCs w:val="18"/>
              </w:rPr>
            </w:pPr>
            <w:r>
              <w:rPr>
                <w:rFonts w:hint="eastAsia"/>
                <w:sz w:val="18"/>
                <w:szCs w:val="18"/>
              </w:rPr>
              <w:t>1天</w:t>
            </w:r>
          </w:p>
        </w:tc>
        <w:tc>
          <w:tcPr>
            <w:tcW w:w="1258" w:type="dxa"/>
            <w:tcBorders>
              <w:top w:val="single" w:color="000000" w:sz="4" w:space="0"/>
              <w:left w:val="single" w:color="000000" w:sz="4" w:space="0"/>
              <w:bottom w:val="single" w:color="000000" w:sz="4" w:space="0"/>
              <w:right w:val="single" w:color="000000" w:sz="4" w:space="0"/>
            </w:tcBorders>
            <w:vAlign w:val="center"/>
          </w:tcPr>
          <w:p w14:paraId="7E9676AF">
            <w:pPr>
              <w:rPr>
                <w:sz w:val="18"/>
                <w:szCs w:val="18"/>
              </w:rPr>
            </w:pPr>
            <w:r>
              <w:rPr>
                <w:rFonts w:hint="eastAsia"/>
                <w:sz w:val="18"/>
                <w:szCs w:val="18"/>
              </w:rPr>
              <w:t>教师引领</w:t>
            </w:r>
          </w:p>
          <w:p w14:paraId="2B07E1CF">
            <w:pPr>
              <w:pStyle w:val="5"/>
              <w:spacing w:line="240" w:lineRule="auto"/>
              <w:ind w:firstLine="0" w:firstLineChars="0"/>
              <w:rPr>
                <w:sz w:val="18"/>
                <w:szCs w:val="18"/>
              </w:rPr>
            </w:pPr>
            <w:r>
              <w:rPr>
                <w:rFonts w:hint="eastAsia"/>
                <w:sz w:val="18"/>
                <w:szCs w:val="18"/>
              </w:rPr>
              <w:t>调查研究</w:t>
            </w:r>
          </w:p>
          <w:p w14:paraId="3F4394E7">
            <w:pPr>
              <w:widowControl/>
              <w:rPr>
                <w:sz w:val="18"/>
                <w:szCs w:val="18"/>
              </w:rPr>
            </w:pPr>
            <w:r>
              <w:rPr>
                <w:rFonts w:hint="eastAsia"/>
                <w:sz w:val="18"/>
                <w:szCs w:val="18"/>
              </w:rPr>
              <w:t>小组讨论自主学习</w:t>
            </w:r>
          </w:p>
        </w:tc>
        <w:tc>
          <w:tcPr>
            <w:tcW w:w="1008" w:type="dxa"/>
            <w:tcBorders>
              <w:top w:val="single" w:color="000000" w:sz="4" w:space="0"/>
              <w:left w:val="single" w:color="000000" w:sz="4" w:space="0"/>
              <w:bottom w:val="single" w:color="000000" w:sz="4" w:space="0"/>
              <w:right w:val="single" w:color="000000" w:sz="4" w:space="0"/>
            </w:tcBorders>
            <w:vAlign w:val="center"/>
          </w:tcPr>
          <w:p w14:paraId="3EBC4E83">
            <w:pPr>
              <w:jc w:val="center"/>
              <w:rPr>
                <w:sz w:val="18"/>
                <w:szCs w:val="18"/>
              </w:rPr>
            </w:pPr>
            <w:r>
              <w:rPr>
                <w:rFonts w:hint="eastAsia"/>
                <w:sz w:val="18"/>
                <w:szCs w:val="18"/>
              </w:rPr>
              <w:t>1</w:t>
            </w:r>
          </w:p>
        </w:tc>
      </w:tr>
      <w:tr w14:paraId="627BF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0" w:hRule="atLeast"/>
          <w:jc w:val="center"/>
        </w:trPr>
        <w:tc>
          <w:tcPr>
            <w:tcW w:w="1642" w:type="dxa"/>
            <w:tcBorders>
              <w:top w:val="single" w:color="000000" w:sz="4" w:space="0"/>
              <w:left w:val="single" w:color="000000" w:sz="4" w:space="0"/>
              <w:bottom w:val="single" w:color="000000" w:sz="4" w:space="0"/>
              <w:right w:val="single" w:color="000000" w:sz="4" w:space="0"/>
            </w:tcBorders>
            <w:vAlign w:val="center"/>
          </w:tcPr>
          <w:p w14:paraId="02E5FFED">
            <w:pPr>
              <w:rPr>
                <w:sz w:val="18"/>
                <w:szCs w:val="18"/>
              </w:rPr>
            </w:pPr>
            <w:r>
              <w:rPr>
                <w:rFonts w:ascii="Times New Roman" w:hAnsi="Times New Roman"/>
                <w:sz w:val="18"/>
                <w:szCs w:val="18"/>
              </w:rPr>
              <w:t>程序编码、调试与测试</w:t>
            </w:r>
          </w:p>
        </w:tc>
        <w:tc>
          <w:tcPr>
            <w:tcW w:w="3260" w:type="dxa"/>
            <w:tcBorders>
              <w:top w:val="single" w:color="000000" w:sz="4" w:space="0"/>
              <w:left w:val="single" w:color="000000" w:sz="4" w:space="0"/>
              <w:bottom w:val="single" w:color="000000" w:sz="4" w:space="0"/>
              <w:right w:val="single" w:color="000000" w:sz="4" w:space="0"/>
            </w:tcBorders>
            <w:vAlign w:val="center"/>
          </w:tcPr>
          <w:p w14:paraId="04EAE44C">
            <w:pPr>
              <w:widowControl/>
              <w:rPr>
                <w:kern w:val="0"/>
                <w:sz w:val="18"/>
                <w:szCs w:val="18"/>
              </w:rPr>
            </w:pPr>
            <w:r>
              <w:rPr>
                <w:rFonts w:hint="eastAsia"/>
                <w:kern w:val="0"/>
                <w:sz w:val="18"/>
                <w:szCs w:val="18"/>
              </w:rPr>
              <w:t>（1）能够熟练操作程序开发工具；</w:t>
            </w:r>
          </w:p>
          <w:p w14:paraId="743D4EE8">
            <w:pPr>
              <w:widowControl/>
              <w:rPr>
                <w:kern w:val="0"/>
                <w:sz w:val="18"/>
                <w:szCs w:val="18"/>
              </w:rPr>
            </w:pPr>
            <w:r>
              <w:rPr>
                <w:rFonts w:hint="eastAsia"/>
                <w:kern w:val="0"/>
                <w:sz w:val="18"/>
                <w:szCs w:val="18"/>
              </w:rPr>
              <w:t>（2）按照设计方案，正确使用相应的专业知识进行工程项目开发；</w:t>
            </w:r>
          </w:p>
          <w:p w14:paraId="75B17599">
            <w:pPr>
              <w:widowControl/>
              <w:rPr>
                <w:kern w:val="0"/>
                <w:sz w:val="18"/>
                <w:szCs w:val="18"/>
              </w:rPr>
            </w:pPr>
            <w:r>
              <w:rPr>
                <w:rFonts w:hint="eastAsia"/>
                <w:kern w:val="0"/>
                <w:sz w:val="18"/>
                <w:szCs w:val="18"/>
              </w:rPr>
              <w:t>（3）进行系统测试</w:t>
            </w:r>
            <w:r>
              <w:rPr>
                <w:kern w:val="0"/>
                <w:sz w:val="18"/>
                <w:szCs w:val="18"/>
              </w:rPr>
              <w:t>。调试正确后认真整理源程序及注释，形成格式和风格良好的源程序和测试清单。</w:t>
            </w:r>
          </w:p>
        </w:tc>
        <w:tc>
          <w:tcPr>
            <w:tcW w:w="1090" w:type="dxa"/>
            <w:tcBorders>
              <w:top w:val="single" w:color="000000" w:sz="4" w:space="0"/>
              <w:left w:val="single" w:color="000000" w:sz="4" w:space="0"/>
              <w:bottom w:val="single" w:color="000000" w:sz="4" w:space="0"/>
              <w:right w:val="single" w:color="000000" w:sz="4" w:space="0"/>
            </w:tcBorders>
            <w:vAlign w:val="center"/>
          </w:tcPr>
          <w:p w14:paraId="1F6C16E1">
            <w:pPr>
              <w:rPr>
                <w:sz w:val="18"/>
                <w:szCs w:val="18"/>
              </w:rPr>
            </w:pPr>
            <w:r>
              <w:rPr>
                <w:rFonts w:hint="eastAsia"/>
                <w:sz w:val="18"/>
                <w:szCs w:val="18"/>
              </w:rPr>
              <w:t>求真务实、辛勤劳动、无私奉献</w:t>
            </w:r>
          </w:p>
        </w:tc>
        <w:tc>
          <w:tcPr>
            <w:tcW w:w="706" w:type="dxa"/>
            <w:tcBorders>
              <w:top w:val="single" w:color="000000" w:sz="4" w:space="0"/>
              <w:left w:val="single" w:color="000000" w:sz="4" w:space="0"/>
              <w:bottom w:val="single" w:color="000000" w:sz="4" w:space="0"/>
              <w:right w:val="single" w:color="000000" w:sz="4" w:space="0"/>
            </w:tcBorders>
            <w:vAlign w:val="center"/>
          </w:tcPr>
          <w:p w14:paraId="482F224F">
            <w:pPr>
              <w:jc w:val="center"/>
              <w:rPr>
                <w:sz w:val="18"/>
                <w:szCs w:val="18"/>
              </w:rPr>
            </w:pPr>
            <w:r>
              <w:rPr>
                <w:rFonts w:hint="eastAsia"/>
                <w:sz w:val="18"/>
                <w:szCs w:val="18"/>
              </w:rPr>
              <w:t>3天</w:t>
            </w:r>
          </w:p>
        </w:tc>
        <w:tc>
          <w:tcPr>
            <w:tcW w:w="1258" w:type="dxa"/>
            <w:tcBorders>
              <w:top w:val="single" w:color="000000" w:sz="4" w:space="0"/>
              <w:left w:val="single" w:color="000000" w:sz="4" w:space="0"/>
              <w:bottom w:val="single" w:color="000000" w:sz="4" w:space="0"/>
              <w:right w:val="single" w:color="000000" w:sz="4" w:space="0"/>
            </w:tcBorders>
            <w:vAlign w:val="center"/>
          </w:tcPr>
          <w:p w14:paraId="14C5ACBA">
            <w:pPr>
              <w:rPr>
                <w:sz w:val="18"/>
                <w:szCs w:val="18"/>
              </w:rPr>
            </w:pPr>
            <w:r>
              <w:rPr>
                <w:rFonts w:hint="eastAsia"/>
                <w:sz w:val="18"/>
                <w:szCs w:val="18"/>
              </w:rPr>
              <w:t>教师引领</w:t>
            </w:r>
          </w:p>
          <w:p w14:paraId="4205E753">
            <w:pPr>
              <w:rPr>
                <w:sz w:val="18"/>
                <w:szCs w:val="18"/>
              </w:rPr>
            </w:pPr>
            <w:r>
              <w:rPr>
                <w:rFonts w:hint="eastAsia"/>
                <w:sz w:val="18"/>
                <w:szCs w:val="18"/>
              </w:rPr>
              <w:t>小组讨论</w:t>
            </w:r>
          </w:p>
          <w:p w14:paraId="177C9532">
            <w:pPr>
              <w:rPr>
                <w:sz w:val="18"/>
                <w:szCs w:val="18"/>
              </w:rPr>
            </w:pPr>
            <w:r>
              <w:rPr>
                <w:rFonts w:hint="eastAsia"/>
                <w:sz w:val="18"/>
                <w:szCs w:val="18"/>
              </w:rPr>
              <w:t>自主实践</w:t>
            </w:r>
          </w:p>
          <w:p w14:paraId="37D59E5A">
            <w:pPr>
              <w:rPr>
                <w:sz w:val="18"/>
                <w:szCs w:val="18"/>
              </w:rPr>
            </w:pPr>
            <w:r>
              <w:rPr>
                <w:rFonts w:hint="eastAsia"/>
                <w:sz w:val="18"/>
                <w:szCs w:val="18"/>
              </w:rPr>
              <w:t>教师辅导答疑</w:t>
            </w:r>
          </w:p>
        </w:tc>
        <w:tc>
          <w:tcPr>
            <w:tcW w:w="1008" w:type="dxa"/>
            <w:tcBorders>
              <w:top w:val="single" w:color="000000" w:sz="4" w:space="0"/>
              <w:left w:val="single" w:color="000000" w:sz="4" w:space="0"/>
              <w:bottom w:val="single" w:color="000000" w:sz="4" w:space="0"/>
              <w:right w:val="single" w:color="000000" w:sz="4" w:space="0"/>
            </w:tcBorders>
            <w:vAlign w:val="center"/>
          </w:tcPr>
          <w:p w14:paraId="5C0ED9AA">
            <w:pPr>
              <w:jc w:val="center"/>
              <w:rPr>
                <w:sz w:val="18"/>
                <w:szCs w:val="18"/>
              </w:rPr>
            </w:pPr>
            <w:r>
              <w:rPr>
                <w:rFonts w:hint="eastAsia"/>
                <w:sz w:val="18"/>
                <w:szCs w:val="18"/>
              </w:rPr>
              <w:t>1</w:t>
            </w:r>
          </w:p>
        </w:tc>
      </w:tr>
      <w:tr w14:paraId="1128F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13" w:hRule="atLeast"/>
          <w:jc w:val="center"/>
        </w:trPr>
        <w:tc>
          <w:tcPr>
            <w:tcW w:w="1642" w:type="dxa"/>
            <w:tcBorders>
              <w:top w:val="single" w:color="000000" w:sz="4" w:space="0"/>
              <w:left w:val="single" w:color="000000" w:sz="4" w:space="0"/>
              <w:bottom w:val="single" w:color="000000" w:sz="4" w:space="0"/>
              <w:right w:val="single" w:color="000000" w:sz="4" w:space="0"/>
            </w:tcBorders>
            <w:vAlign w:val="center"/>
          </w:tcPr>
          <w:p w14:paraId="184BB0F5">
            <w:pPr>
              <w:rPr>
                <w:sz w:val="18"/>
                <w:szCs w:val="18"/>
              </w:rPr>
            </w:pPr>
            <w:r>
              <w:rPr>
                <w:rFonts w:hint="eastAsia"/>
                <w:sz w:val="18"/>
                <w:szCs w:val="18"/>
              </w:rPr>
              <w:t>撰写课程设计报告</w:t>
            </w:r>
          </w:p>
        </w:tc>
        <w:tc>
          <w:tcPr>
            <w:tcW w:w="3260" w:type="dxa"/>
            <w:tcBorders>
              <w:top w:val="single" w:color="000000" w:sz="4" w:space="0"/>
              <w:left w:val="single" w:color="000000" w:sz="4" w:space="0"/>
              <w:bottom w:val="single" w:color="000000" w:sz="4" w:space="0"/>
              <w:right w:val="single" w:color="000000" w:sz="4" w:space="0"/>
            </w:tcBorders>
            <w:vAlign w:val="center"/>
          </w:tcPr>
          <w:p w14:paraId="3BDE3C05">
            <w:pPr>
              <w:widowControl/>
              <w:rPr>
                <w:kern w:val="0"/>
                <w:sz w:val="18"/>
                <w:szCs w:val="18"/>
              </w:rPr>
            </w:pPr>
            <w:r>
              <w:rPr>
                <w:rFonts w:hint="eastAsia"/>
                <w:kern w:val="0"/>
                <w:sz w:val="18"/>
                <w:szCs w:val="18"/>
              </w:rPr>
              <w:t>按照</w:t>
            </w:r>
            <w:r>
              <w:rPr>
                <w:kern w:val="0"/>
                <w:sz w:val="18"/>
                <w:szCs w:val="18"/>
              </w:rPr>
              <w:t>规定的格式</w:t>
            </w:r>
            <w:r>
              <w:rPr>
                <w:rFonts w:hint="eastAsia"/>
                <w:kern w:val="0"/>
                <w:sz w:val="18"/>
                <w:szCs w:val="18"/>
              </w:rPr>
              <w:t>、采用合适工具，</w:t>
            </w:r>
            <w:r>
              <w:rPr>
                <w:kern w:val="0"/>
                <w:sz w:val="18"/>
                <w:szCs w:val="18"/>
              </w:rPr>
              <w:t>撰写课程实训报告。</w:t>
            </w:r>
          </w:p>
        </w:tc>
        <w:tc>
          <w:tcPr>
            <w:tcW w:w="1090" w:type="dxa"/>
            <w:tcBorders>
              <w:top w:val="single" w:color="000000" w:sz="4" w:space="0"/>
              <w:left w:val="single" w:color="000000" w:sz="4" w:space="0"/>
              <w:bottom w:val="single" w:color="000000" w:sz="4" w:space="0"/>
              <w:right w:val="single" w:color="000000" w:sz="4" w:space="0"/>
            </w:tcBorders>
            <w:vAlign w:val="center"/>
          </w:tcPr>
          <w:p w14:paraId="7B108606">
            <w:pPr>
              <w:widowControl/>
              <w:rPr>
                <w:rFonts w:ascii="Times New Roman" w:hAnsi="Times New Roman"/>
                <w:sz w:val="18"/>
                <w:szCs w:val="18"/>
              </w:rPr>
            </w:pPr>
            <w:r>
              <w:rPr>
                <w:rFonts w:hint="eastAsia" w:ascii="Times New Roman" w:hAnsi="Times New Roman"/>
                <w:sz w:val="18"/>
                <w:szCs w:val="18"/>
              </w:rPr>
              <w:t>端正态度、追求完美。</w:t>
            </w:r>
          </w:p>
        </w:tc>
        <w:tc>
          <w:tcPr>
            <w:tcW w:w="706" w:type="dxa"/>
            <w:tcBorders>
              <w:top w:val="single" w:color="000000" w:sz="4" w:space="0"/>
              <w:left w:val="single" w:color="000000" w:sz="4" w:space="0"/>
              <w:bottom w:val="single" w:color="000000" w:sz="4" w:space="0"/>
              <w:right w:val="single" w:color="000000" w:sz="4" w:space="0"/>
            </w:tcBorders>
            <w:vAlign w:val="center"/>
          </w:tcPr>
          <w:p w14:paraId="3476CDF6">
            <w:pPr>
              <w:jc w:val="center"/>
              <w:rPr>
                <w:sz w:val="18"/>
                <w:szCs w:val="18"/>
              </w:rPr>
            </w:pPr>
            <w:r>
              <w:rPr>
                <w:rFonts w:hint="eastAsia"/>
                <w:sz w:val="18"/>
                <w:szCs w:val="18"/>
              </w:rPr>
              <w:t>1天</w:t>
            </w:r>
          </w:p>
        </w:tc>
        <w:tc>
          <w:tcPr>
            <w:tcW w:w="1258" w:type="dxa"/>
            <w:tcBorders>
              <w:top w:val="single" w:color="000000" w:sz="4" w:space="0"/>
              <w:left w:val="single" w:color="000000" w:sz="4" w:space="0"/>
              <w:bottom w:val="single" w:color="000000" w:sz="4" w:space="0"/>
              <w:right w:val="single" w:color="000000" w:sz="4" w:space="0"/>
            </w:tcBorders>
            <w:vAlign w:val="center"/>
          </w:tcPr>
          <w:p w14:paraId="214EA824">
            <w:pPr>
              <w:widowControl/>
              <w:rPr>
                <w:sz w:val="18"/>
                <w:szCs w:val="18"/>
              </w:rPr>
            </w:pPr>
            <w:r>
              <w:rPr>
                <w:rFonts w:hint="eastAsia" w:ascii="Times New Roman" w:hAnsi="Times New Roman"/>
                <w:sz w:val="18"/>
                <w:szCs w:val="18"/>
              </w:rPr>
              <w:t>利用编辑、绘图等工具撰写总结报告</w:t>
            </w:r>
          </w:p>
        </w:tc>
        <w:tc>
          <w:tcPr>
            <w:tcW w:w="1008" w:type="dxa"/>
            <w:tcBorders>
              <w:top w:val="single" w:color="000000" w:sz="4" w:space="0"/>
              <w:left w:val="single" w:color="000000" w:sz="4" w:space="0"/>
              <w:bottom w:val="single" w:color="000000" w:sz="4" w:space="0"/>
              <w:right w:val="single" w:color="000000" w:sz="4" w:space="0"/>
            </w:tcBorders>
            <w:vAlign w:val="center"/>
          </w:tcPr>
          <w:p w14:paraId="6BC31C77">
            <w:pPr>
              <w:jc w:val="center"/>
              <w:rPr>
                <w:sz w:val="18"/>
                <w:szCs w:val="18"/>
              </w:rPr>
            </w:pPr>
            <w:r>
              <w:rPr>
                <w:rFonts w:hint="eastAsia"/>
                <w:sz w:val="18"/>
                <w:szCs w:val="18"/>
              </w:rPr>
              <w:t>2</w:t>
            </w:r>
          </w:p>
        </w:tc>
      </w:tr>
      <w:tr w14:paraId="56952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6" w:hRule="atLeast"/>
          <w:jc w:val="center"/>
        </w:trPr>
        <w:tc>
          <w:tcPr>
            <w:tcW w:w="1642" w:type="dxa"/>
            <w:tcBorders>
              <w:top w:val="single" w:color="000000" w:sz="4" w:space="0"/>
              <w:left w:val="single" w:color="000000" w:sz="4" w:space="0"/>
              <w:bottom w:val="single" w:color="000000" w:sz="4" w:space="0"/>
              <w:right w:val="single" w:color="000000" w:sz="4" w:space="0"/>
            </w:tcBorders>
            <w:vAlign w:val="center"/>
          </w:tcPr>
          <w:p w14:paraId="68E6232C">
            <w:pPr>
              <w:rPr>
                <w:sz w:val="18"/>
                <w:szCs w:val="18"/>
              </w:rPr>
            </w:pPr>
            <w:r>
              <w:rPr>
                <w:rFonts w:hint="eastAsia"/>
                <w:sz w:val="18"/>
                <w:szCs w:val="18"/>
              </w:rPr>
              <w:t>课程设计答辩验收</w:t>
            </w:r>
          </w:p>
        </w:tc>
        <w:tc>
          <w:tcPr>
            <w:tcW w:w="3260" w:type="dxa"/>
            <w:tcBorders>
              <w:top w:val="single" w:color="000000" w:sz="4" w:space="0"/>
              <w:left w:val="single" w:color="000000" w:sz="4" w:space="0"/>
              <w:bottom w:val="single" w:color="000000" w:sz="4" w:space="0"/>
              <w:right w:val="single" w:color="000000" w:sz="4" w:space="0"/>
            </w:tcBorders>
            <w:vAlign w:val="center"/>
          </w:tcPr>
          <w:p w14:paraId="4DA6F709">
            <w:pPr>
              <w:widowControl/>
              <w:rPr>
                <w:kern w:val="0"/>
                <w:sz w:val="18"/>
                <w:szCs w:val="18"/>
              </w:rPr>
            </w:pPr>
            <w:r>
              <w:rPr>
                <w:rFonts w:hint="eastAsia"/>
                <w:kern w:val="0"/>
                <w:sz w:val="18"/>
                <w:szCs w:val="18"/>
              </w:rPr>
              <w:t>能够顺利运行程序，演示设计结果，并正确、清晰回答教师提出的问题。</w:t>
            </w:r>
          </w:p>
        </w:tc>
        <w:tc>
          <w:tcPr>
            <w:tcW w:w="1090" w:type="dxa"/>
            <w:tcBorders>
              <w:top w:val="single" w:color="000000" w:sz="4" w:space="0"/>
              <w:left w:val="single" w:color="000000" w:sz="4" w:space="0"/>
              <w:bottom w:val="single" w:color="000000" w:sz="4" w:space="0"/>
              <w:right w:val="single" w:color="000000" w:sz="4" w:space="0"/>
            </w:tcBorders>
            <w:vAlign w:val="center"/>
          </w:tcPr>
          <w:p w14:paraId="3F928667">
            <w:pPr>
              <w:widowControl/>
              <w:rPr>
                <w:sz w:val="18"/>
                <w:szCs w:val="18"/>
              </w:rPr>
            </w:pPr>
            <w:r>
              <w:rPr>
                <w:rFonts w:hint="eastAsia"/>
                <w:sz w:val="18"/>
                <w:szCs w:val="18"/>
              </w:rPr>
              <w:t>尊重老师，团结协作，贡献智慧。</w:t>
            </w:r>
          </w:p>
        </w:tc>
        <w:tc>
          <w:tcPr>
            <w:tcW w:w="706" w:type="dxa"/>
            <w:tcBorders>
              <w:top w:val="single" w:color="000000" w:sz="4" w:space="0"/>
              <w:left w:val="single" w:color="000000" w:sz="4" w:space="0"/>
              <w:bottom w:val="single" w:color="000000" w:sz="4" w:space="0"/>
              <w:right w:val="single" w:color="000000" w:sz="4" w:space="0"/>
            </w:tcBorders>
            <w:vAlign w:val="center"/>
          </w:tcPr>
          <w:p w14:paraId="4343BF37">
            <w:pPr>
              <w:jc w:val="center"/>
              <w:rPr>
                <w:sz w:val="18"/>
                <w:szCs w:val="18"/>
              </w:rPr>
            </w:pPr>
            <w:r>
              <w:rPr>
                <w:rFonts w:hint="eastAsia"/>
                <w:sz w:val="18"/>
                <w:szCs w:val="18"/>
              </w:rPr>
              <w:t>1天</w:t>
            </w:r>
          </w:p>
        </w:tc>
        <w:tc>
          <w:tcPr>
            <w:tcW w:w="1258" w:type="dxa"/>
            <w:tcBorders>
              <w:top w:val="single" w:color="000000" w:sz="4" w:space="0"/>
              <w:left w:val="single" w:color="000000" w:sz="4" w:space="0"/>
              <w:bottom w:val="single" w:color="000000" w:sz="4" w:space="0"/>
              <w:right w:val="single" w:color="000000" w:sz="4" w:space="0"/>
            </w:tcBorders>
            <w:vAlign w:val="center"/>
          </w:tcPr>
          <w:p w14:paraId="1E0362BD">
            <w:pPr>
              <w:widowControl/>
              <w:rPr>
                <w:sz w:val="18"/>
                <w:szCs w:val="18"/>
              </w:rPr>
            </w:pPr>
            <w:r>
              <w:rPr>
                <w:rFonts w:hint="eastAsia"/>
                <w:sz w:val="18"/>
                <w:szCs w:val="18"/>
              </w:rPr>
              <w:t>答辩</w:t>
            </w:r>
          </w:p>
        </w:tc>
        <w:tc>
          <w:tcPr>
            <w:tcW w:w="1008" w:type="dxa"/>
            <w:tcBorders>
              <w:top w:val="single" w:color="000000" w:sz="4" w:space="0"/>
              <w:left w:val="single" w:color="000000" w:sz="4" w:space="0"/>
              <w:bottom w:val="single" w:color="000000" w:sz="4" w:space="0"/>
              <w:right w:val="single" w:color="000000" w:sz="4" w:space="0"/>
            </w:tcBorders>
            <w:vAlign w:val="center"/>
          </w:tcPr>
          <w:p w14:paraId="22133018">
            <w:pPr>
              <w:jc w:val="center"/>
              <w:rPr>
                <w:sz w:val="18"/>
                <w:szCs w:val="18"/>
              </w:rPr>
            </w:pPr>
            <w:r>
              <w:rPr>
                <w:rFonts w:hint="eastAsia"/>
                <w:sz w:val="18"/>
                <w:szCs w:val="18"/>
              </w:rPr>
              <w:t>2</w:t>
            </w:r>
          </w:p>
        </w:tc>
      </w:tr>
    </w:tbl>
    <w:p w14:paraId="58BDA280">
      <w:pPr>
        <w:spacing w:before="156" w:beforeLines="50" w:after="156" w:afterLines="50" w:line="400" w:lineRule="exact"/>
        <w:rPr>
          <w:rFonts w:ascii="Times New Roman" w:hAnsi="Times New Roman" w:eastAsia="黑体"/>
          <w:sz w:val="24"/>
        </w:rPr>
      </w:pPr>
      <w:r>
        <w:rPr>
          <w:rFonts w:hint="eastAsia" w:ascii="黑体" w:eastAsia="黑体" w:cs="宋体"/>
          <w:b/>
          <w:sz w:val="24"/>
          <w:lang w:bidi="ar"/>
        </w:rPr>
        <w:t>六</w:t>
      </w:r>
      <w:r>
        <w:rPr>
          <w:rFonts w:ascii="黑体" w:eastAsia="黑体" w:cs="宋体"/>
          <w:b/>
          <w:sz w:val="24"/>
          <w:lang w:bidi="ar"/>
        </w:rPr>
        <w:t>、</w:t>
      </w:r>
      <w:r>
        <w:rPr>
          <w:rFonts w:hint="eastAsia" w:ascii="黑体" w:eastAsia="黑体" w:cs="宋体"/>
          <w:b/>
          <w:sz w:val="24"/>
          <w:lang w:bidi="ar"/>
        </w:rPr>
        <w:t>课程的考核与成绩评定方式</w:t>
      </w:r>
    </w:p>
    <w:p w14:paraId="2941C065">
      <w:pPr>
        <w:spacing w:line="400" w:lineRule="exact"/>
        <w:rPr>
          <w:rFonts w:cs="宋体"/>
          <w:b/>
          <w:szCs w:val="21"/>
          <w:lang w:bidi="ar"/>
        </w:rPr>
      </w:pPr>
      <w:r>
        <w:rPr>
          <w:rFonts w:hint="eastAsia" w:cs="宋体"/>
          <w:b/>
          <w:szCs w:val="21"/>
          <w:lang w:bidi="ar"/>
        </w:rPr>
        <w:t>（一） 考核方式、成绩构成</w:t>
      </w:r>
    </w:p>
    <w:p w14:paraId="1BEC0F51">
      <w:pPr>
        <w:spacing w:line="400" w:lineRule="exact"/>
        <w:ind w:firstLine="420" w:firstLineChars="200"/>
        <w:rPr>
          <w:rFonts w:cs="宋体"/>
          <w:spacing w:val="-2"/>
          <w:szCs w:val="21"/>
          <w:lang w:bidi="ar"/>
        </w:rPr>
      </w:pPr>
      <w:r>
        <w:rPr>
          <w:rFonts w:ascii="Times New Roman" w:hAnsi="Times New Roman"/>
          <w:bCs/>
          <w:kern w:val="0"/>
          <w:szCs w:val="21"/>
        </w:rPr>
        <w:t>本课程为考查课程</w:t>
      </w:r>
      <w:r>
        <w:rPr>
          <w:rFonts w:hint="eastAsia" w:ascii="Times New Roman" w:hAnsi="Times New Roman"/>
          <w:bCs/>
          <w:kern w:val="0"/>
          <w:szCs w:val="21"/>
        </w:rPr>
        <w:t>，</w:t>
      </w:r>
      <w:r>
        <w:rPr>
          <w:rFonts w:ascii="Times New Roman" w:hAnsi="Times New Roman"/>
          <w:bCs/>
          <w:kern w:val="0"/>
          <w:szCs w:val="21"/>
        </w:rPr>
        <w:t>最终成绩由</w:t>
      </w:r>
      <w:r>
        <w:rPr>
          <w:rFonts w:hint="eastAsia"/>
          <w:bCs/>
          <w:color w:val="000000" w:themeColor="text1"/>
          <w:kern w:val="0"/>
          <w:szCs w:val="21"/>
          <w14:textFill>
            <w14:solidFill>
              <w14:schemeClr w14:val="tx1"/>
            </w14:solidFill>
          </w14:textFill>
        </w:rPr>
        <w:t>材料考核（实训报告）成绩、实践考核（答辩）成绩进行</w:t>
      </w:r>
      <w:r>
        <w:rPr>
          <w:rFonts w:ascii="Times New Roman" w:hAnsi="Times New Roman"/>
          <w:bCs/>
          <w:kern w:val="0"/>
          <w:szCs w:val="21"/>
        </w:rPr>
        <w:t>综合</w:t>
      </w:r>
      <w:r>
        <w:rPr>
          <w:rFonts w:hint="eastAsia" w:ascii="Times New Roman" w:hAnsi="Times New Roman"/>
          <w:bCs/>
          <w:kern w:val="0"/>
          <w:szCs w:val="21"/>
        </w:rPr>
        <w:t>评</w:t>
      </w:r>
      <w:r>
        <w:rPr>
          <w:rFonts w:ascii="Times New Roman" w:hAnsi="Times New Roman"/>
          <w:bCs/>
          <w:kern w:val="0"/>
          <w:szCs w:val="21"/>
        </w:rPr>
        <w:t>定</w:t>
      </w:r>
      <w:r>
        <w:rPr>
          <w:rFonts w:hint="eastAsia" w:cs="宋体"/>
          <w:szCs w:val="21"/>
        </w:rPr>
        <w:t>。如表3所示。</w:t>
      </w:r>
      <w:r>
        <w:rPr>
          <w:rFonts w:hint="eastAsia" w:ascii="Times New Roman" w:hAnsi="Times New Roman" w:cs="宋体"/>
          <w:szCs w:val="21"/>
        </w:rPr>
        <w:t>各种考核方式对课程目标中的支撑权重如</w:t>
      </w:r>
      <w:r>
        <w:rPr>
          <w:rFonts w:hint="eastAsia" w:cs="宋体"/>
          <w:szCs w:val="21"/>
        </w:rPr>
        <w:t>表4所示。</w:t>
      </w:r>
      <w:r>
        <w:rPr>
          <w:rFonts w:hint="eastAsia" w:cs="宋体"/>
          <w:spacing w:val="-2"/>
          <w:szCs w:val="21"/>
          <w:lang w:bidi="ar"/>
        </w:rPr>
        <w:t>针对不同实践内容成绩以百分记。</w:t>
      </w:r>
    </w:p>
    <w:p w14:paraId="46BF091C">
      <w:pPr>
        <w:pStyle w:val="4"/>
        <w:spacing w:before="156" w:beforeLines="50"/>
        <w:jc w:val="center"/>
        <w:rPr>
          <w:rFonts w:hint="eastAsia" w:cs="宋体" w:asciiTheme="majorEastAsia" w:hAnsiTheme="majorEastAsia" w:eastAsiaTheme="majorEastAsia"/>
          <w:szCs w:val="21"/>
        </w:rPr>
      </w:pPr>
      <w:r>
        <w:rPr>
          <w:rFonts w:hint="eastAsia" w:cs="宋体" w:asciiTheme="majorEastAsia" w:hAnsiTheme="majorEastAsia" w:eastAsiaTheme="majorEastAsia"/>
          <w:szCs w:val="21"/>
        </w:rPr>
        <w:t>表3考核方式及占比</w:t>
      </w:r>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8"/>
        <w:gridCol w:w="816"/>
        <w:gridCol w:w="2067"/>
        <w:gridCol w:w="2150"/>
        <w:gridCol w:w="673"/>
        <w:gridCol w:w="1136"/>
        <w:gridCol w:w="904"/>
      </w:tblGrid>
      <w:tr w14:paraId="402E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tcPr>
          <w:p w14:paraId="2036E13A">
            <w:pPr>
              <w:pStyle w:val="5"/>
              <w:spacing w:line="240" w:lineRule="auto"/>
              <w:ind w:firstLine="0" w:firstLineChars="0"/>
              <w:jc w:val="center"/>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成绩</w:t>
            </w:r>
          </w:p>
          <w:p w14:paraId="5C381D12">
            <w:pPr>
              <w:pStyle w:val="5"/>
              <w:spacing w:line="240" w:lineRule="auto"/>
              <w:ind w:firstLine="0" w:firstLineChars="0"/>
              <w:jc w:val="center"/>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构成</w:t>
            </w:r>
          </w:p>
        </w:tc>
        <w:tc>
          <w:tcPr>
            <w:tcW w:w="816" w:type="dxa"/>
            <w:vAlign w:val="center"/>
          </w:tcPr>
          <w:p w14:paraId="3173F72F">
            <w:pPr>
              <w:pStyle w:val="5"/>
              <w:spacing w:line="240" w:lineRule="auto"/>
              <w:ind w:firstLine="0" w:firstLineChars="0"/>
              <w:jc w:val="center"/>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比例</w:t>
            </w:r>
          </w:p>
        </w:tc>
        <w:tc>
          <w:tcPr>
            <w:tcW w:w="2072" w:type="dxa"/>
            <w:vAlign w:val="center"/>
          </w:tcPr>
          <w:p w14:paraId="2B08D4C0">
            <w:pPr>
              <w:pStyle w:val="5"/>
              <w:spacing w:line="240" w:lineRule="auto"/>
              <w:ind w:firstLine="361"/>
              <w:jc w:val="center"/>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考核环节</w:t>
            </w:r>
          </w:p>
        </w:tc>
        <w:tc>
          <w:tcPr>
            <w:tcW w:w="2155" w:type="dxa"/>
            <w:vAlign w:val="center"/>
          </w:tcPr>
          <w:p w14:paraId="541D7D42">
            <w:pPr>
              <w:pStyle w:val="5"/>
              <w:spacing w:line="240" w:lineRule="auto"/>
              <w:ind w:firstLine="361"/>
              <w:jc w:val="center"/>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考核内容</w:t>
            </w:r>
          </w:p>
        </w:tc>
        <w:tc>
          <w:tcPr>
            <w:tcW w:w="674" w:type="dxa"/>
            <w:vAlign w:val="center"/>
          </w:tcPr>
          <w:p w14:paraId="6917120F">
            <w:pPr>
              <w:pStyle w:val="5"/>
              <w:spacing w:line="240" w:lineRule="auto"/>
              <w:ind w:firstLine="0" w:firstLineChars="0"/>
              <w:jc w:val="center"/>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目标分值</w:t>
            </w:r>
          </w:p>
        </w:tc>
        <w:tc>
          <w:tcPr>
            <w:tcW w:w="1139" w:type="dxa"/>
            <w:vAlign w:val="center"/>
          </w:tcPr>
          <w:p w14:paraId="694AADE7">
            <w:pPr>
              <w:pStyle w:val="5"/>
              <w:spacing w:line="240" w:lineRule="auto"/>
              <w:ind w:firstLine="0" w:firstLineChars="0"/>
              <w:jc w:val="center"/>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课程成绩目标分值</w:t>
            </w:r>
          </w:p>
        </w:tc>
        <w:tc>
          <w:tcPr>
            <w:tcW w:w="905" w:type="dxa"/>
          </w:tcPr>
          <w:p w14:paraId="3720E7BB">
            <w:pPr>
              <w:pStyle w:val="5"/>
              <w:spacing w:line="240" w:lineRule="auto"/>
              <w:ind w:firstLine="0" w:firstLineChars="0"/>
              <w:jc w:val="center"/>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对应课程目标</w:t>
            </w:r>
          </w:p>
        </w:tc>
      </w:tr>
      <w:tr w14:paraId="0216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vMerge w:val="restart"/>
            <w:vAlign w:val="center"/>
          </w:tcPr>
          <w:p w14:paraId="5F895282">
            <w:pPr>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材料考核（实训报告）</w:t>
            </w:r>
          </w:p>
        </w:tc>
        <w:tc>
          <w:tcPr>
            <w:tcW w:w="816" w:type="dxa"/>
            <w:vMerge w:val="restart"/>
            <w:vAlign w:val="center"/>
          </w:tcPr>
          <w:p w14:paraId="7D771FFA">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50%</w:t>
            </w:r>
          </w:p>
        </w:tc>
        <w:tc>
          <w:tcPr>
            <w:tcW w:w="2072" w:type="dxa"/>
            <w:vAlign w:val="center"/>
          </w:tcPr>
          <w:p w14:paraId="5063A3FF">
            <w:pPr>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实训报告（1）——问题设计、编程实现、结果测试部分（占材料考核成绩的60分）</w:t>
            </w:r>
          </w:p>
        </w:tc>
        <w:tc>
          <w:tcPr>
            <w:tcW w:w="2155" w:type="dxa"/>
            <w:vAlign w:val="center"/>
          </w:tcPr>
          <w:p w14:paraId="032E128B">
            <w:pPr>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(1)主要考核学生针对具体计算机工程问题设计实训方案及编程实现和测试结果的能力；</w:t>
            </w:r>
          </w:p>
          <w:p w14:paraId="5EDE1E32">
            <w:pPr>
              <w:pStyle w:val="4"/>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bidi="ar"/>
              </w:rPr>
              <w:t>(2)成绩</w:t>
            </w:r>
            <w:r>
              <w:rPr>
                <w:rFonts w:hint="eastAsia" w:asciiTheme="minorEastAsia" w:hAnsiTheme="minorEastAsia" w:eastAsiaTheme="minorEastAsia" w:cstheme="minorEastAsia"/>
                <w:b/>
                <w:bCs/>
                <w:kern w:val="0"/>
                <w:sz w:val="18"/>
                <w:szCs w:val="18"/>
                <w:lang w:bidi="ar"/>
              </w:rPr>
              <w:t>以目标分计</w:t>
            </w:r>
            <w:r>
              <w:rPr>
                <w:rFonts w:hint="eastAsia" w:asciiTheme="minorEastAsia" w:hAnsiTheme="minorEastAsia" w:eastAsiaTheme="minorEastAsia" w:cstheme="minorEastAsia"/>
                <w:kern w:val="0"/>
                <w:sz w:val="18"/>
                <w:szCs w:val="18"/>
                <w:lang w:bidi="ar"/>
              </w:rPr>
              <w:t>，学生得分直接接入材料考核成绩。</w:t>
            </w:r>
          </w:p>
        </w:tc>
        <w:tc>
          <w:tcPr>
            <w:tcW w:w="674" w:type="dxa"/>
            <w:vAlign w:val="center"/>
          </w:tcPr>
          <w:p w14:paraId="01F08B00">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60</w:t>
            </w:r>
          </w:p>
        </w:tc>
        <w:tc>
          <w:tcPr>
            <w:tcW w:w="1139" w:type="dxa"/>
            <w:vAlign w:val="center"/>
          </w:tcPr>
          <w:p w14:paraId="371583BE">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30</w:t>
            </w:r>
          </w:p>
        </w:tc>
        <w:tc>
          <w:tcPr>
            <w:tcW w:w="905" w:type="dxa"/>
            <w:vAlign w:val="center"/>
          </w:tcPr>
          <w:p w14:paraId="64682ABA">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w:t>
            </w:r>
          </w:p>
        </w:tc>
      </w:tr>
      <w:tr w14:paraId="22C9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vMerge w:val="continue"/>
            <w:vAlign w:val="center"/>
          </w:tcPr>
          <w:p w14:paraId="0E979EF9">
            <w:pPr>
              <w:jc w:val="left"/>
              <w:rPr>
                <w:rFonts w:hint="eastAsia" w:asciiTheme="minorEastAsia" w:hAnsiTheme="minorEastAsia" w:eastAsiaTheme="minorEastAsia" w:cstheme="minorEastAsia"/>
                <w:sz w:val="18"/>
                <w:szCs w:val="18"/>
              </w:rPr>
            </w:pPr>
          </w:p>
        </w:tc>
        <w:tc>
          <w:tcPr>
            <w:tcW w:w="816" w:type="dxa"/>
            <w:vMerge w:val="continue"/>
            <w:vAlign w:val="center"/>
          </w:tcPr>
          <w:p w14:paraId="15AD3D9E">
            <w:pPr>
              <w:jc w:val="center"/>
              <w:rPr>
                <w:rFonts w:hint="eastAsia" w:asciiTheme="minorEastAsia" w:hAnsiTheme="minorEastAsia" w:eastAsiaTheme="minorEastAsia" w:cstheme="minorEastAsia"/>
                <w:sz w:val="18"/>
                <w:szCs w:val="18"/>
              </w:rPr>
            </w:pPr>
          </w:p>
        </w:tc>
        <w:tc>
          <w:tcPr>
            <w:tcW w:w="2072" w:type="dxa"/>
            <w:vAlign w:val="center"/>
          </w:tcPr>
          <w:p w14:paraId="481CEB59">
            <w:pPr>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实训报告（2）——项目背景、需求分析、总结评价及改进部分（占材料考核成绩40分）</w:t>
            </w:r>
          </w:p>
        </w:tc>
        <w:tc>
          <w:tcPr>
            <w:tcW w:w="2155" w:type="dxa"/>
            <w:vAlign w:val="center"/>
          </w:tcPr>
          <w:p w14:paraId="089B3E94">
            <w:pPr>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(1)主要考核学生对项目实施的背景意义、功能和非功能性分析及其性能评估和创新的能力；</w:t>
            </w:r>
          </w:p>
          <w:p w14:paraId="54095DEA">
            <w:pPr>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bidi="ar"/>
              </w:rPr>
              <w:t>(2)成绩</w:t>
            </w:r>
            <w:r>
              <w:rPr>
                <w:rFonts w:hint="eastAsia" w:asciiTheme="minorEastAsia" w:hAnsiTheme="minorEastAsia" w:eastAsiaTheme="minorEastAsia" w:cstheme="minorEastAsia"/>
                <w:b/>
                <w:bCs/>
                <w:kern w:val="0"/>
                <w:sz w:val="18"/>
                <w:szCs w:val="18"/>
                <w:lang w:bidi="ar"/>
              </w:rPr>
              <w:t>以目标分计</w:t>
            </w:r>
            <w:r>
              <w:rPr>
                <w:rFonts w:hint="eastAsia" w:asciiTheme="minorEastAsia" w:hAnsiTheme="minorEastAsia" w:eastAsiaTheme="minorEastAsia" w:cstheme="minorEastAsia"/>
                <w:kern w:val="0"/>
                <w:sz w:val="18"/>
                <w:szCs w:val="18"/>
                <w:lang w:bidi="ar"/>
              </w:rPr>
              <w:t>，学生得分直接接入材料考核成绩。</w:t>
            </w:r>
          </w:p>
        </w:tc>
        <w:tc>
          <w:tcPr>
            <w:tcW w:w="674" w:type="dxa"/>
            <w:vAlign w:val="center"/>
          </w:tcPr>
          <w:p w14:paraId="2522C228">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40</w:t>
            </w:r>
          </w:p>
        </w:tc>
        <w:tc>
          <w:tcPr>
            <w:tcW w:w="1139" w:type="dxa"/>
            <w:vAlign w:val="center"/>
          </w:tcPr>
          <w:p w14:paraId="34C03EDA">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20</w:t>
            </w:r>
          </w:p>
        </w:tc>
        <w:tc>
          <w:tcPr>
            <w:tcW w:w="905" w:type="dxa"/>
            <w:vAlign w:val="center"/>
          </w:tcPr>
          <w:p w14:paraId="33091702">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w:t>
            </w:r>
          </w:p>
        </w:tc>
      </w:tr>
      <w:tr w14:paraId="278D2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vMerge w:val="restart"/>
            <w:vAlign w:val="center"/>
          </w:tcPr>
          <w:p w14:paraId="6BE70EE3">
            <w:pPr>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实践考核（答辩）</w:t>
            </w:r>
          </w:p>
        </w:tc>
        <w:tc>
          <w:tcPr>
            <w:tcW w:w="816" w:type="dxa"/>
            <w:vMerge w:val="restart"/>
            <w:vAlign w:val="center"/>
          </w:tcPr>
          <w:p w14:paraId="7B98DBD2">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50%</w:t>
            </w:r>
          </w:p>
        </w:tc>
        <w:tc>
          <w:tcPr>
            <w:tcW w:w="2072" w:type="dxa"/>
            <w:vAlign w:val="center"/>
          </w:tcPr>
          <w:p w14:paraId="162B71A4">
            <w:pPr>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答辩（1）——代码质量，程序结构及规范性、可读性、测试样例的正确性。（占实践考核成绩的50分）</w:t>
            </w:r>
          </w:p>
        </w:tc>
        <w:tc>
          <w:tcPr>
            <w:tcW w:w="2155" w:type="dxa"/>
            <w:vAlign w:val="center"/>
          </w:tcPr>
          <w:p w14:paraId="23A2D44B">
            <w:pPr>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(1)主要考核学生针对具体计算机工程问题设计实训方案及编程实现和测试结果的能力；</w:t>
            </w:r>
          </w:p>
          <w:p w14:paraId="115E6E14">
            <w:pPr>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bidi="ar"/>
              </w:rPr>
              <w:t>(2)成绩</w:t>
            </w:r>
            <w:r>
              <w:rPr>
                <w:rFonts w:hint="eastAsia" w:asciiTheme="minorEastAsia" w:hAnsiTheme="minorEastAsia" w:eastAsiaTheme="minorEastAsia" w:cstheme="minorEastAsia"/>
                <w:b/>
                <w:bCs/>
                <w:kern w:val="0"/>
                <w:sz w:val="18"/>
                <w:szCs w:val="18"/>
                <w:lang w:bidi="ar"/>
              </w:rPr>
              <w:t>以目标分计</w:t>
            </w:r>
            <w:r>
              <w:rPr>
                <w:rFonts w:hint="eastAsia" w:asciiTheme="minorEastAsia" w:hAnsiTheme="minorEastAsia" w:eastAsiaTheme="minorEastAsia" w:cstheme="minorEastAsia"/>
                <w:kern w:val="0"/>
                <w:sz w:val="18"/>
                <w:szCs w:val="18"/>
                <w:lang w:bidi="ar"/>
              </w:rPr>
              <w:t>，学生得分直接接入材料考核成绩。</w:t>
            </w:r>
          </w:p>
        </w:tc>
        <w:tc>
          <w:tcPr>
            <w:tcW w:w="674" w:type="dxa"/>
            <w:vAlign w:val="center"/>
          </w:tcPr>
          <w:p w14:paraId="66920EE6">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50</w:t>
            </w:r>
          </w:p>
        </w:tc>
        <w:tc>
          <w:tcPr>
            <w:tcW w:w="1139" w:type="dxa"/>
            <w:vAlign w:val="center"/>
          </w:tcPr>
          <w:p w14:paraId="53F01C52">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25</w:t>
            </w:r>
          </w:p>
        </w:tc>
        <w:tc>
          <w:tcPr>
            <w:tcW w:w="905" w:type="dxa"/>
            <w:vAlign w:val="center"/>
          </w:tcPr>
          <w:p w14:paraId="0B3642BF">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w:t>
            </w:r>
          </w:p>
        </w:tc>
      </w:tr>
      <w:tr w14:paraId="469D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vMerge w:val="continue"/>
            <w:vAlign w:val="center"/>
          </w:tcPr>
          <w:p w14:paraId="3ED0EFD4">
            <w:pPr>
              <w:jc w:val="left"/>
              <w:rPr>
                <w:rFonts w:hint="eastAsia" w:asciiTheme="minorEastAsia" w:hAnsiTheme="minorEastAsia" w:eastAsiaTheme="minorEastAsia" w:cstheme="minorEastAsia"/>
                <w:sz w:val="18"/>
                <w:szCs w:val="18"/>
              </w:rPr>
            </w:pPr>
          </w:p>
        </w:tc>
        <w:tc>
          <w:tcPr>
            <w:tcW w:w="816" w:type="dxa"/>
            <w:vMerge w:val="continue"/>
            <w:vAlign w:val="center"/>
          </w:tcPr>
          <w:p w14:paraId="58927AF3">
            <w:pPr>
              <w:jc w:val="left"/>
              <w:rPr>
                <w:rFonts w:hint="eastAsia" w:asciiTheme="minorEastAsia" w:hAnsiTheme="minorEastAsia" w:eastAsiaTheme="minorEastAsia" w:cstheme="minorEastAsia"/>
                <w:sz w:val="18"/>
                <w:szCs w:val="18"/>
              </w:rPr>
            </w:pPr>
          </w:p>
        </w:tc>
        <w:tc>
          <w:tcPr>
            <w:tcW w:w="2072" w:type="dxa"/>
            <w:vAlign w:val="center"/>
          </w:tcPr>
          <w:p w14:paraId="444BA0C6">
            <w:pPr>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答辩（2）——</w:t>
            </w:r>
            <w:r>
              <w:rPr>
                <w:rFonts w:hint="eastAsia"/>
                <w:bCs/>
                <w:sz w:val="18"/>
                <w:szCs w:val="18"/>
              </w:rPr>
              <w:t>答辩项目背景、实施意义、性能评估及改进</w:t>
            </w:r>
            <w:r>
              <w:rPr>
                <w:rFonts w:hint="eastAsia" w:asciiTheme="minorEastAsia" w:hAnsiTheme="minorEastAsia" w:eastAsiaTheme="minorEastAsia" w:cstheme="minorEastAsia"/>
                <w:sz w:val="18"/>
                <w:szCs w:val="18"/>
              </w:rPr>
              <w:t>（占实践考核成绩的50分）</w:t>
            </w:r>
          </w:p>
        </w:tc>
        <w:tc>
          <w:tcPr>
            <w:tcW w:w="2155" w:type="dxa"/>
            <w:vAlign w:val="center"/>
          </w:tcPr>
          <w:p w14:paraId="16D40029">
            <w:pPr>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(1)主要考核学生对项目实施的背景意义、功能和非功能性分析及、性能评估及创新能力；</w:t>
            </w:r>
          </w:p>
          <w:p w14:paraId="19DAF58C">
            <w:pPr>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bidi="ar"/>
              </w:rPr>
              <w:t>(2)成绩</w:t>
            </w:r>
            <w:r>
              <w:rPr>
                <w:rFonts w:hint="eastAsia" w:asciiTheme="minorEastAsia" w:hAnsiTheme="minorEastAsia" w:eastAsiaTheme="minorEastAsia" w:cstheme="minorEastAsia"/>
                <w:b/>
                <w:bCs/>
                <w:kern w:val="0"/>
                <w:sz w:val="18"/>
                <w:szCs w:val="18"/>
                <w:lang w:bidi="ar"/>
              </w:rPr>
              <w:t>以目标分计</w:t>
            </w:r>
            <w:r>
              <w:rPr>
                <w:rFonts w:hint="eastAsia" w:asciiTheme="minorEastAsia" w:hAnsiTheme="minorEastAsia" w:eastAsiaTheme="minorEastAsia" w:cstheme="minorEastAsia"/>
                <w:kern w:val="0"/>
                <w:sz w:val="18"/>
                <w:szCs w:val="18"/>
                <w:lang w:bidi="ar"/>
              </w:rPr>
              <w:t>，学生得分直接接入材料考核成绩。</w:t>
            </w:r>
          </w:p>
        </w:tc>
        <w:tc>
          <w:tcPr>
            <w:tcW w:w="674" w:type="dxa"/>
            <w:vAlign w:val="center"/>
          </w:tcPr>
          <w:p w14:paraId="59A364AE">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50</w:t>
            </w:r>
          </w:p>
        </w:tc>
        <w:tc>
          <w:tcPr>
            <w:tcW w:w="1139" w:type="dxa"/>
            <w:vAlign w:val="center"/>
          </w:tcPr>
          <w:p w14:paraId="769E0642">
            <w:pPr>
              <w:jc w:val="center"/>
              <w:rPr>
                <w:rFonts w:hint="eastAsia" w:asciiTheme="minorEastAsia" w:hAnsiTheme="minorEastAsia" w:eastAsiaTheme="minorEastAsia" w:cstheme="minorEastAsia"/>
                <w:sz w:val="18"/>
                <w:szCs w:val="18"/>
              </w:rPr>
            </w:pPr>
            <w:bookmarkStart w:id="3" w:name="OLE_LINK5"/>
            <w:r>
              <w:rPr>
                <w:rFonts w:hint="eastAsia" w:asciiTheme="minorEastAsia" w:hAnsiTheme="minorEastAsia" w:eastAsiaTheme="minorEastAsia" w:cstheme="minorEastAsia"/>
                <w:sz w:val="18"/>
                <w:szCs w:val="18"/>
              </w:rPr>
              <w:t>2</w:t>
            </w:r>
            <w:bookmarkEnd w:id="3"/>
            <w:r>
              <w:rPr>
                <w:rFonts w:hint="eastAsia" w:asciiTheme="minorEastAsia" w:hAnsiTheme="minorEastAsia" w:eastAsiaTheme="minorEastAsia" w:cstheme="minorEastAsia"/>
                <w:sz w:val="18"/>
                <w:szCs w:val="18"/>
              </w:rPr>
              <w:t>5</w:t>
            </w:r>
          </w:p>
        </w:tc>
        <w:tc>
          <w:tcPr>
            <w:tcW w:w="905" w:type="dxa"/>
            <w:vAlign w:val="center"/>
          </w:tcPr>
          <w:p w14:paraId="48D5D624">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w:t>
            </w:r>
          </w:p>
        </w:tc>
      </w:tr>
      <w:tr w14:paraId="1F702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9" w:type="dxa"/>
            <w:vAlign w:val="center"/>
          </w:tcPr>
          <w:p w14:paraId="45098439">
            <w:pPr>
              <w:pStyle w:val="5"/>
              <w:spacing w:line="240" w:lineRule="auto"/>
              <w:ind w:firstLine="0" w:firstLineChars="0"/>
              <w:jc w:val="both"/>
              <w:rPr>
                <w:rFonts w:hint="eastAsia" w:asciiTheme="minorEastAsia" w:hAnsiTheme="minorEastAsia" w:eastAsiaTheme="minorEastAsia" w:cstheme="minorEastAsia"/>
                <w:sz w:val="18"/>
                <w:szCs w:val="18"/>
              </w:rPr>
            </w:pPr>
            <w:r>
              <w:rPr>
                <w:rFonts w:hint="eastAsia" w:ascii="宋体" w:hAnsi="宋体" w:cs="宋体"/>
                <w:sz w:val="18"/>
                <w:szCs w:val="18"/>
              </w:rPr>
              <w:t>德育考核</w:t>
            </w:r>
          </w:p>
        </w:tc>
        <w:tc>
          <w:tcPr>
            <w:tcW w:w="816" w:type="dxa"/>
            <w:vAlign w:val="center"/>
          </w:tcPr>
          <w:p w14:paraId="4D5C6502">
            <w:pPr>
              <w:pStyle w:val="5"/>
              <w:spacing w:line="240" w:lineRule="auto"/>
              <w:ind w:firstLine="360"/>
              <w:jc w:val="both"/>
              <w:rPr>
                <w:rFonts w:hint="eastAsia" w:asciiTheme="minorEastAsia" w:hAnsiTheme="minorEastAsia" w:eastAsiaTheme="minorEastAsia" w:cstheme="minorEastAsia"/>
                <w:sz w:val="18"/>
                <w:szCs w:val="18"/>
              </w:rPr>
            </w:pPr>
            <w:r>
              <w:rPr>
                <w:rFonts w:hint="eastAsia" w:ascii="宋体" w:hAnsi="宋体" w:cs="宋体"/>
                <w:sz w:val="18"/>
                <w:szCs w:val="18"/>
              </w:rPr>
              <w:t>0%</w:t>
            </w:r>
          </w:p>
        </w:tc>
        <w:tc>
          <w:tcPr>
            <w:tcW w:w="2072" w:type="dxa"/>
            <w:vAlign w:val="center"/>
          </w:tcPr>
          <w:p w14:paraId="6DB9FEB0">
            <w:pPr>
              <w:pStyle w:val="5"/>
              <w:spacing w:line="240" w:lineRule="auto"/>
              <w:ind w:firstLine="0" w:firstLineChars="0"/>
              <w:jc w:val="both"/>
              <w:rPr>
                <w:rFonts w:hint="eastAsia" w:asciiTheme="minorEastAsia" w:hAnsiTheme="minorEastAsia" w:eastAsiaTheme="minorEastAsia" w:cstheme="minorEastAsia"/>
                <w:sz w:val="18"/>
                <w:szCs w:val="18"/>
              </w:rPr>
            </w:pPr>
            <w:r>
              <w:rPr>
                <w:rFonts w:hint="eastAsia" w:ascii="宋体" w:hAnsi="宋体" w:cs="宋体"/>
                <w:sz w:val="18"/>
                <w:szCs w:val="18"/>
              </w:rPr>
              <w:t>调查问卷</w:t>
            </w:r>
          </w:p>
        </w:tc>
        <w:tc>
          <w:tcPr>
            <w:tcW w:w="2155" w:type="dxa"/>
            <w:vAlign w:val="center"/>
          </w:tcPr>
          <w:p w14:paraId="63FB2B54">
            <w:pPr>
              <w:numPr>
                <w:ilvl w:val="0"/>
                <w:numId w:val="1"/>
              </w:numPr>
              <w:rPr>
                <w:rFonts w:hint="eastAsia" w:ascii="宋体" w:hAnsi="宋体" w:cs="宋体"/>
                <w:kern w:val="0"/>
                <w:sz w:val="18"/>
                <w:szCs w:val="18"/>
                <w:lang w:bidi="ar"/>
              </w:rPr>
            </w:pPr>
            <w:r>
              <w:rPr>
                <w:rFonts w:hint="eastAsia" w:ascii="宋体" w:hAnsi="宋体" w:cs="宋体"/>
                <w:kern w:val="0"/>
                <w:sz w:val="18"/>
                <w:szCs w:val="18"/>
                <w:lang w:bidi="ar"/>
              </w:rPr>
              <w:t>主要考核团队精神、创新思维、科学精神的展现。</w:t>
            </w:r>
          </w:p>
          <w:p w14:paraId="4ACE32D1">
            <w:pPr>
              <w:rPr>
                <w:rFonts w:hint="eastAsia" w:asciiTheme="minorEastAsia" w:hAnsiTheme="minorEastAsia" w:eastAsiaTheme="minorEastAsia" w:cstheme="minorEastAsia"/>
                <w:kern w:val="0"/>
                <w:sz w:val="18"/>
                <w:szCs w:val="18"/>
                <w:lang w:bidi="ar"/>
              </w:rPr>
            </w:pPr>
            <w:r>
              <w:rPr>
                <w:rFonts w:hint="eastAsia" w:ascii="宋体" w:hAnsi="宋体" w:cs="宋体"/>
                <w:sz w:val="18"/>
                <w:szCs w:val="18"/>
              </w:rPr>
              <w:t>(2)成绩</w:t>
            </w:r>
            <w:r>
              <w:rPr>
                <w:rFonts w:hint="eastAsia" w:ascii="宋体" w:hAnsi="宋体" w:cs="宋体"/>
                <w:b/>
                <w:bCs/>
                <w:sz w:val="18"/>
                <w:szCs w:val="18"/>
              </w:rPr>
              <w:t>以百分计</w:t>
            </w:r>
            <w:r>
              <w:rPr>
                <w:rFonts w:hint="eastAsia" w:ascii="宋体" w:hAnsi="宋体" w:cs="宋体"/>
                <w:sz w:val="18"/>
                <w:szCs w:val="18"/>
              </w:rPr>
              <w:t>，调查问卷结果量化计入德育考核成绩。</w:t>
            </w:r>
          </w:p>
        </w:tc>
        <w:tc>
          <w:tcPr>
            <w:tcW w:w="674" w:type="dxa"/>
            <w:vAlign w:val="center"/>
          </w:tcPr>
          <w:p w14:paraId="083C7AA6">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宋体" w:hAnsi="宋体" w:cs="宋体"/>
                <w:sz w:val="18"/>
                <w:szCs w:val="18"/>
              </w:rPr>
              <w:t>100</w:t>
            </w:r>
          </w:p>
        </w:tc>
        <w:tc>
          <w:tcPr>
            <w:tcW w:w="1139" w:type="dxa"/>
            <w:vAlign w:val="center"/>
          </w:tcPr>
          <w:p w14:paraId="104E810B">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宋体" w:hAnsi="宋体" w:cs="宋体"/>
                <w:sz w:val="18"/>
                <w:szCs w:val="18"/>
              </w:rPr>
              <w:t>0</w:t>
            </w:r>
          </w:p>
        </w:tc>
        <w:tc>
          <w:tcPr>
            <w:tcW w:w="905" w:type="dxa"/>
            <w:vAlign w:val="center"/>
          </w:tcPr>
          <w:p w14:paraId="392BB94F">
            <w:pPr>
              <w:pStyle w:val="5"/>
              <w:spacing w:line="240" w:lineRule="auto"/>
              <w:ind w:firstLine="0" w:firstLineChars="0"/>
              <w:jc w:val="center"/>
              <w:rPr>
                <w:rFonts w:hint="eastAsia" w:asciiTheme="minorEastAsia" w:hAnsiTheme="minorEastAsia" w:eastAsiaTheme="minorEastAsia" w:cstheme="minorEastAsia"/>
                <w:sz w:val="18"/>
                <w:szCs w:val="18"/>
              </w:rPr>
            </w:pPr>
          </w:p>
        </w:tc>
      </w:tr>
    </w:tbl>
    <w:p w14:paraId="19BF0E76">
      <w:pPr>
        <w:pStyle w:val="4"/>
        <w:spacing w:before="156" w:beforeLines="50"/>
        <w:jc w:val="center"/>
        <w:rPr>
          <w:rFonts w:hint="eastAsia" w:cs="宋体" w:asciiTheme="majorEastAsia" w:hAnsiTheme="majorEastAsia" w:eastAsiaTheme="majorEastAsia"/>
          <w:szCs w:val="21"/>
        </w:rPr>
      </w:pPr>
    </w:p>
    <w:p w14:paraId="2F5EC3D2">
      <w:pPr>
        <w:pStyle w:val="4"/>
        <w:spacing w:before="156" w:beforeLines="50"/>
        <w:jc w:val="center"/>
        <w:rPr>
          <w:rFonts w:hint="eastAsia" w:cs="宋体" w:asciiTheme="majorEastAsia" w:hAnsiTheme="majorEastAsia" w:eastAsiaTheme="majorEastAsia"/>
          <w:szCs w:val="21"/>
        </w:rPr>
      </w:pPr>
      <w:r>
        <w:rPr>
          <w:rFonts w:hint="eastAsia" w:cs="宋体" w:asciiTheme="majorEastAsia" w:hAnsiTheme="majorEastAsia" w:eastAsiaTheme="majorEastAsia"/>
          <w:szCs w:val="21"/>
        </w:rPr>
        <w:t>表4各种考核方式对课程目标中的支撑权重</w:t>
      </w:r>
    </w:p>
    <w:tbl>
      <w:tblPr>
        <w:tblStyle w:val="8"/>
        <w:tblW w:w="850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0" w:type="dxa"/>
          <w:bottom w:w="0" w:type="dxa"/>
          <w:right w:w="80" w:type="dxa"/>
        </w:tblCellMar>
      </w:tblPr>
      <w:tblGrid>
        <w:gridCol w:w="1207"/>
        <w:gridCol w:w="2184"/>
        <w:gridCol w:w="2131"/>
        <w:gridCol w:w="1491"/>
        <w:gridCol w:w="1491"/>
      </w:tblGrid>
      <w:tr w14:paraId="251D1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207" w:type="dxa"/>
            <w:vMerge w:val="restart"/>
            <w:tcBorders>
              <w:tl2br w:val="nil"/>
              <w:tr2bl w:val="nil"/>
            </w:tcBorders>
            <w:shd w:val="clear" w:color="auto" w:fill="FFFFFF"/>
            <w:tcMar>
              <w:top w:w="80" w:type="dxa"/>
              <w:left w:w="80" w:type="dxa"/>
              <w:bottom w:w="80" w:type="dxa"/>
              <w:right w:w="80" w:type="dxa"/>
            </w:tcMar>
            <w:vAlign w:val="center"/>
          </w:tcPr>
          <w:p w14:paraId="3F9B8714">
            <w:pPr>
              <w:pStyle w:val="4"/>
              <w:spacing w:after="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sz w:val="18"/>
                <w:szCs w:val="18"/>
              </w:rPr>
              <w:t>课程目标</w:t>
            </w:r>
          </w:p>
        </w:tc>
        <w:tc>
          <w:tcPr>
            <w:tcW w:w="5806" w:type="dxa"/>
            <w:gridSpan w:val="3"/>
            <w:tcBorders>
              <w:tl2br w:val="nil"/>
              <w:tr2bl w:val="nil"/>
            </w:tcBorders>
            <w:shd w:val="clear" w:color="auto" w:fill="FFFFFF"/>
            <w:tcMar>
              <w:top w:w="80" w:type="dxa"/>
              <w:left w:w="80" w:type="dxa"/>
              <w:bottom w:w="80" w:type="dxa"/>
              <w:right w:w="80" w:type="dxa"/>
            </w:tcMar>
            <w:vAlign w:val="center"/>
          </w:tcPr>
          <w:p w14:paraId="3ABB4597">
            <w:pPr>
              <w:pStyle w:val="4"/>
              <w:spacing w:after="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sz w:val="18"/>
                <w:szCs w:val="18"/>
              </w:rPr>
              <w:t>考核与评价方式</w:t>
            </w:r>
          </w:p>
        </w:tc>
        <w:tc>
          <w:tcPr>
            <w:tcW w:w="1491" w:type="dxa"/>
            <w:vMerge w:val="restart"/>
            <w:tcBorders>
              <w:tl2br w:val="nil"/>
              <w:tr2bl w:val="nil"/>
            </w:tcBorders>
            <w:shd w:val="clear" w:color="auto" w:fill="FFFFFF"/>
            <w:vAlign w:val="center"/>
          </w:tcPr>
          <w:p w14:paraId="5ECEA30E">
            <w:pPr>
              <w:pStyle w:val="4"/>
              <w:spacing w:after="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sz w:val="18"/>
                <w:szCs w:val="18"/>
              </w:rPr>
              <w:t>合计</w:t>
            </w:r>
          </w:p>
        </w:tc>
      </w:tr>
      <w:tr w14:paraId="02DB5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207" w:type="dxa"/>
            <w:vMerge w:val="continue"/>
            <w:tcBorders>
              <w:tl2br w:val="nil"/>
              <w:tr2bl w:val="nil"/>
            </w:tcBorders>
            <w:vAlign w:val="center"/>
          </w:tcPr>
          <w:p w14:paraId="0059FF8A">
            <w:pPr>
              <w:widowControl/>
              <w:jc w:val="left"/>
              <w:rPr>
                <w:rFonts w:hint="eastAsia" w:asciiTheme="minorEastAsia" w:hAnsiTheme="minorEastAsia" w:eastAsiaTheme="minorEastAsia" w:cstheme="minorEastAsia"/>
                <w:b/>
                <w:bCs/>
                <w:sz w:val="18"/>
                <w:szCs w:val="18"/>
              </w:rPr>
            </w:pPr>
          </w:p>
        </w:tc>
        <w:tc>
          <w:tcPr>
            <w:tcW w:w="2184" w:type="dxa"/>
            <w:tcBorders>
              <w:tl2br w:val="nil"/>
              <w:tr2bl w:val="nil"/>
            </w:tcBorders>
            <w:shd w:val="clear" w:color="auto" w:fill="FFFFFF"/>
            <w:tcMar>
              <w:top w:w="80" w:type="dxa"/>
              <w:left w:w="80" w:type="dxa"/>
              <w:bottom w:w="80" w:type="dxa"/>
              <w:right w:w="80" w:type="dxa"/>
            </w:tcMar>
            <w:vAlign w:val="center"/>
          </w:tcPr>
          <w:p w14:paraId="1E767779">
            <w:pPr>
              <w:pStyle w:val="4"/>
              <w:spacing w:after="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sz w:val="18"/>
                <w:szCs w:val="18"/>
              </w:rPr>
              <w:t>实训报告</w:t>
            </w:r>
          </w:p>
        </w:tc>
        <w:tc>
          <w:tcPr>
            <w:tcW w:w="2131" w:type="dxa"/>
            <w:tcBorders>
              <w:tl2br w:val="nil"/>
              <w:tr2bl w:val="nil"/>
            </w:tcBorders>
            <w:shd w:val="clear" w:color="auto" w:fill="FFFFFF"/>
            <w:tcMar>
              <w:top w:w="80" w:type="dxa"/>
              <w:left w:w="80" w:type="dxa"/>
              <w:bottom w:w="80" w:type="dxa"/>
              <w:right w:w="80" w:type="dxa"/>
            </w:tcMar>
            <w:vAlign w:val="center"/>
          </w:tcPr>
          <w:p w14:paraId="5B47E3A3">
            <w:pPr>
              <w:pStyle w:val="4"/>
              <w:spacing w:after="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sz w:val="18"/>
                <w:szCs w:val="18"/>
              </w:rPr>
              <w:t>实训答辩</w:t>
            </w:r>
          </w:p>
        </w:tc>
        <w:tc>
          <w:tcPr>
            <w:tcW w:w="1491" w:type="dxa"/>
            <w:tcBorders>
              <w:tl2br w:val="nil"/>
              <w:tr2bl w:val="nil"/>
            </w:tcBorders>
            <w:shd w:val="clear" w:color="auto" w:fill="FFFFFF"/>
          </w:tcPr>
          <w:p w14:paraId="0EB5992C">
            <w:pPr>
              <w:pStyle w:val="4"/>
              <w:spacing w:after="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sz w:val="18"/>
                <w:szCs w:val="18"/>
              </w:rPr>
              <w:t>调查问卷</w:t>
            </w:r>
          </w:p>
        </w:tc>
        <w:tc>
          <w:tcPr>
            <w:tcW w:w="1491" w:type="dxa"/>
            <w:vMerge w:val="continue"/>
            <w:tcBorders>
              <w:tl2br w:val="nil"/>
              <w:tr2bl w:val="nil"/>
            </w:tcBorders>
            <w:shd w:val="clear" w:color="auto" w:fill="FFFFFF"/>
          </w:tcPr>
          <w:p w14:paraId="4C9FE5C8">
            <w:pPr>
              <w:pStyle w:val="4"/>
              <w:spacing w:after="0"/>
              <w:jc w:val="center"/>
              <w:rPr>
                <w:rFonts w:hint="eastAsia" w:asciiTheme="minorEastAsia" w:hAnsiTheme="minorEastAsia" w:eastAsiaTheme="minorEastAsia" w:cstheme="minorEastAsia"/>
                <w:b/>
                <w:bCs/>
                <w:sz w:val="18"/>
                <w:szCs w:val="18"/>
              </w:rPr>
            </w:pPr>
          </w:p>
        </w:tc>
      </w:tr>
      <w:tr w14:paraId="734A5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207" w:type="dxa"/>
            <w:tcBorders>
              <w:tl2br w:val="nil"/>
              <w:tr2bl w:val="nil"/>
            </w:tcBorders>
            <w:shd w:val="clear" w:color="auto" w:fill="FFFFFF"/>
            <w:tcMar>
              <w:top w:w="80" w:type="dxa"/>
              <w:left w:w="80" w:type="dxa"/>
              <w:bottom w:w="80" w:type="dxa"/>
              <w:right w:w="80" w:type="dxa"/>
            </w:tcMar>
            <w:vAlign w:val="center"/>
          </w:tcPr>
          <w:p w14:paraId="225C2662">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德育目标</w:t>
            </w:r>
          </w:p>
        </w:tc>
        <w:tc>
          <w:tcPr>
            <w:tcW w:w="2184" w:type="dxa"/>
            <w:tcBorders>
              <w:tl2br w:val="nil"/>
              <w:tr2bl w:val="nil"/>
            </w:tcBorders>
            <w:shd w:val="clear" w:color="auto" w:fill="FFFFFF"/>
            <w:tcMar>
              <w:top w:w="80" w:type="dxa"/>
              <w:left w:w="80" w:type="dxa"/>
              <w:bottom w:w="80" w:type="dxa"/>
              <w:right w:w="80" w:type="dxa"/>
            </w:tcMar>
            <w:vAlign w:val="center"/>
          </w:tcPr>
          <w:p w14:paraId="5BE7B3C6">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0%</w:t>
            </w:r>
          </w:p>
        </w:tc>
        <w:tc>
          <w:tcPr>
            <w:tcW w:w="2131" w:type="dxa"/>
            <w:tcBorders>
              <w:tl2br w:val="nil"/>
              <w:tr2bl w:val="nil"/>
            </w:tcBorders>
            <w:shd w:val="clear" w:color="auto" w:fill="FFFFFF"/>
            <w:tcMar>
              <w:top w:w="80" w:type="dxa"/>
              <w:left w:w="80" w:type="dxa"/>
              <w:bottom w:w="80" w:type="dxa"/>
              <w:right w:w="80" w:type="dxa"/>
            </w:tcMar>
            <w:vAlign w:val="center"/>
          </w:tcPr>
          <w:p w14:paraId="125DD8D2">
            <w:pPr>
              <w:pStyle w:val="5"/>
              <w:spacing w:line="240" w:lineRule="auto"/>
              <w:ind w:firstLine="0" w:firstLineChars="0"/>
              <w:jc w:val="center"/>
              <w:rPr>
                <w:rFonts w:hint="eastAsia" w:asciiTheme="minorEastAsia" w:hAnsiTheme="minorEastAsia" w:eastAsiaTheme="minorEastAsia" w:cstheme="minorEastAsia"/>
                <w:sz w:val="18"/>
                <w:szCs w:val="18"/>
              </w:rPr>
            </w:pPr>
            <w:bookmarkStart w:id="4" w:name="OLE_LINK3"/>
            <w:r>
              <w:rPr>
                <w:rFonts w:hint="eastAsia" w:asciiTheme="minorEastAsia" w:hAnsiTheme="minorEastAsia" w:eastAsiaTheme="minorEastAsia" w:cstheme="minorEastAsia"/>
                <w:sz w:val="18"/>
                <w:szCs w:val="18"/>
              </w:rPr>
              <w:t>0%</w:t>
            </w:r>
            <w:bookmarkEnd w:id="4"/>
          </w:p>
        </w:tc>
        <w:tc>
          <w:tcPr>
            <w:tcW w:w="1491" w:type="dxa"/>
            <w:tcBorders>
              <w:tl2br w:val="nil"/>
              <w:tr2bl w:val="nil"/>
            </w:tcBorders>
            <w:shd w:val="clear" w:color="auto" w:fill="FFFFFF"/>
          </w:tcPr>
          <w:p w14:paraId="2005BBAA">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100%</w:t>
            </w:r>
          </w:p>
        </w:tc>
        <w:tc>
          <w:tcPr>
            <w:tcW w:w="1491" w:type="dxa"/>
            <w:tcBorders>
              <w:tl2br w:val="nil"/>
              <w:tr2bl w:val="nil"/>
            </w:tcBorders>
            <w:shd w:val="clear" w:color="auto" w:fill="FFFFFF"/>
          </w:tcPr>
          <w:p w14:paraId="38FA9CF8">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100%</w:t>
            </w:r>
          </w:p>
        </w:tc>
      </w:tr>
      <w:tr w14:paraId="0FE29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207" w:type="dxa"/>
            <w:tcBorders>
              <w:tl2br w:val="nil"/>
              <w:tr2bl w:val="nil"/>
            </w:tcBorders>
            <w:shd w:val="clear" w:color="auto" w:fill="FFFFFF"/>
            <w:tcMar>
              <w:top w:w="80" w:type="dxa"/>
              <w:left w:w="80" w:type="dxa"/>
              <w:bottom w:w="80" w:type="dxa"/>
              <w:right w:w="80" w:type="dxa"/>
            </w:tcMar>
            <w:vAlign w:val="center"/>
          </w:tcPr>
          <w:p w14:paraId="12B5D214">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课程目标1</w:t>
            </w:r>
          </w:p>
        </w:tc>
        <w:tc>
          <w:tcPr>
            <w:tcW w:w="2184" w:type="dxa"/>
            <w:tcBorders>
              <w:tl2br w:val="nil"/>
              <w:tr2bl w:val="nil"/>
            </w:tcBorders>
            <w:shd w:val="clear" w:color="auto" w:fill="FFFFFF"/>
            <w:tcMar>
              <w:top w:w="80" w:type="dxa"/>
              <w:left w:w="80" w:type="dxa"/>
              <w:bottom w:w="80" w:type="dxa"/>
              <w:right w:w="80" w:type="dxa"/>
            </w:tcMar>
            <w:vAlign w:val="center"/>
          </w:tcPr>
          <w:p w14:paraId="771D8274">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55%</w:t>
            </w:r>
          </w:p>
        </w:tc>
        <w:tc>
          <w:tcPr>
            <w:tcW w:w="2131" w:type="dxa"/>
            <w:tcBorders>
              <w:tl2br w:val="nil"/>
              <w:tr2bl w:val="nil"/>
            </w:tcBorders>
            <w:shd w:val="clear" w:color="auto" w:fill="FFFFFF"/>
            <w:tcMar>
              <w:top w:w="80" w:type="dxa"/>
              <w:left w:w="80" w:type="dxa"/>
              <w:bottom w:w="80" w:type="dxa"/>
              <w:right w:w="80" w:type="dxa"/>
            </w:tcMar>
            <w:vAlign w:val="center"/>
          </w:tcPr>
          <w:p w14:paraId="2E1E5824">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45%</w:t>
            </w:r>
          </w:p>
        </w:tc>
        <w:tc>
          <w:tcPr>
            <w:tcW w:w="1491" w:type="dxa"/>
            <w:tcBorders>
              <w:tl2br w:val="nil"/>
              <w:tr2bl w:val="nil"/>
            </w:tcBorders>
            <w:shd w:val="clear" w:color="auto" w:fill="FFFFFF"/>
          </w:tcPr>
          <w:p w14:paraId="24E5E5A1">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0%</w:t>
            </w:r>
          </w:p>
        </w:tc>
        <w:tc>
          <w:tcPr>
            <w:tcW w:w="1491" w:type="dxa"/>
            <w:tcBorders>
              <w:tl2br w:val="nil"/>
              <w:tr2bl w:val="nil"/>
            </w:tcBorders>
            <w:shd w:val="clear" w:color="auto" w:fill="FFFFFF"/>
          </w:tcPr>
          <w:p w14:paraId="4C704EBB">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100%</w:t>
            </w:r>
          </w:p>
        </w:tc>
      </w:tr>
      <w:tr w14:paraId="7E38A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0" w:type="dxa"/>
            <w:bottom w:w="0" w:type="dxa"/>
            <w:right w:w="80" w:type="dxa"/>
          </w:tblCellMar>
        </w:tblPrEx>
        <w:tc>
          <w:tcPr>
            <w:tcW w:w="1207" w:type="dxa"/>
            <w:tcBorders>
              <w:tl2br w:val="nil"/>
              <w:tr2bl w:val="nil"/>
            </w:tcBorders>
            <w:shd w:val="clear" w:color="auto" w:fill="FFFFFF"/>
            <w:tcMar>
              <w:top w:w="80" w:type="dxa"/>
              <w:left w:w="80" w:type="dxa"/>
              <w:bottom w:w="80" w:type="dxa"/>
              <w:right w:w="80" w:type="dxa"/>
            </w:tcMar>
            <w:vAlign w:val="center"/>
          </w:tcPr>
          <w:p w14:paraId="4B5B9A47">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课程目标2</w:t>
            </w:r>
          </w:p>
        </w:tc>
        <w:tc>
          <w:tcPr>
            <w:tcW w:w="2184" w:type="dxa"/>
            <w:tcBorders>
              <w:tl2br w:val="nil"/>
              <w:tr2bl w:val="nil"/>
            </w:tcBorders>
            <w:shd w:val="clear" w:color="auto" w:fill="FFFFFF"/>
            <w:tcMar>
              <w:top w:w="80" w:type="dxa"/>
              <w:left w:w="80" w:type="dxa"/>
              <w:bottom w:w="80" w:type="dxa"/>
              <w:right w:w="80" w:type="dxa"/>
            </w:tcMar>
            <w:vAlign w:val="center"/>
          </w:tcPr>
          <w:p w14:paraId="466AEDB6">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44%</w:t>
            </w:r>
          </w:p>
        </w:tc>
        <w:tc>
          <w:tcPr>
            <w:tcW w:w="2131" w:type="dxa"/>
            <w:tcBorders>
              <w:tl2br w:val="nil"/>
              <w:tr2bl w:val="nil"/>
            </w:tcBorders>
            <w:shd w:val="clear" w:color="auto" w:fill="FFFFFF"/>
            <w:tcMar>
              <w:top w:w="80" w:type="dxa"/>
              <w:left w:w="80" w:type="dxa"/>
              <w:bottom w:w="80" w:type="dxa"/>
              <w:right w:w="80" w:type="dxa"/>
            </w:tcMar>
            <w:vAlign w:val="center"/>
          </w:tcPr>
          <w:p w14:paraId="3A35841F">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56%</w:t>
            </w:r>
          </w:p>
        </w:tc>
        <w:tc>
          <w:tcPr>
            <w:tcW w:w="1491" w:type="dxa"/>
            <w:tcBorders>
              <w:tl2br w:val="nil"/>
              <w:tr2bl w:val="nil"/>
            </w:tcBorders>
            <w:shd w:val="clear" w:color="auto" w:fill="FFFFFF"/>
          </w:tcPr>
          <w:p w14:paraId="15B8788E">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0%</w:t>
            </w:r>
          </w:p>
        </w:tc>
        <w:tc>
          <w:tcPr>
            <w:tcW w:w="1491" w:type="dxa"/>
            <w:tcBorders>
              <w:tl2br w:val="nil"/>
              <w:tr2bl w:val="nil"/>
            </w:tcBorders>
            <w:shd w:val="clear" w:color="auto" w:fill="FFFFFF"/>
          </w:tcPr>
          <w:p w14:paraId="788E65FB">
            <w:pPr>
              <w:pStyle w:val="5"/>
              <w:spacing w:line="240" w:lineRule="auto"/>
              <w:ind w:firstLine="0" w:firstLineChars="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100%</w:t>
            </w:r>
          </w:p>
        </w:tc>
      </w:tr>
    </w:tbl>
    <w:p w14:paraId="7A03C197">
      <w:pPr>
        <w:pStyle w:val="3"/>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注：各种考核方式对课程目标中的支撑权重计算方法示例（下面数据来自表3中</w:t>
      </w:r>
      <w:r>
        <w:rPr>
          <w:rFonts w:hint="eastAsia" w:asciiTheme="minorEastAsia" w:hAnsiTheme="minorEastAsia" w:eastAsiaTheme="minorEastAsia" w:cstheme="minorEastAsia"/>
          <w:b/>
          <w:bCs/>
          <w:sz w:val="18"/>
          <w:szCs w:val="18"/>
        </w:rPr>
        <w:t>课程成绩目标分值列</w:t>
      </w:r>
      <w:r>
        <w:rPr>
          <w:rFonts w:hint="eastAsia" w:asciiTheme="minorEastAsia" w:hAnsiTheme="minorEastAsia" w:eastAsiaTheme="minorEastAsia" w:cstheme="minorEastAsia"/>
          <w:sz w:val="18"/>
          <w:szCs w:val="18"/>
        </w:rPr>
        <w:t>）：</w:t>
      </w:r>
    </w:p>
    <w:p w14:paraId="08892132">
      <w:pPr>
        <w:pStyle w:val="3"/>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课程目标1总分：30（实训报告（2））+25（答辩（2））=55</w:t>
      </w:r>
    </w:p>
    <w:p w14:paraId="4E850720">
      <w:pPr>
        <w:pStyle w:val="3"/>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实训报告对课程目标1的支撑权重：30/55 *100%=54.5%（约55%）</w:t>
      </w:r>
    </w:p>
    <w:p w14:paraId="2FB206D5">
      <w:pPr>
        <w:pStyle w:val="3"/>
        <w:rPr>
          <w:rFonts w:cs="宋体"/>
          <w:spacing w:val="-2"/>
          <w:szCs w:val="21"/>
          <w:lang w:bidi="ar"/>
        </w:rPr>
      </w:pPr>
      <w:r>
        <w:rPr>
          <w:rFonts w:hint="eastAsia" w:asciiTheme="minorEastAsia" w:hAnsiTheme="minorEastAsia" w:eastAsiaTheme="minorEastAsia" w:cstheme="minorEastAsia"/>
          <w:sz w:val="18"/>
          <w:szCs w:val="18"/>
        </w:rPr>
        <w:t>实训答辩对课程目标1的支撑权重：25/55 * 100% = 45.4%（约45%）</w:t>
      </w:r>
    </w:p>
    <w:p w14:paraId="4F617C83">
      <w:pPr>
        <w:rPr>
          <w:rFonts w:ascii="Times New Roman" w:hAnsi="Times New Roman"/>
          <w:b/>
        </w:rPr>
      </w:pPr>
      <w:r>
        <w:rPr>
          <w:rFonts w:ascii="Times New Roman" w:hAnsi="Times New Roman"/>
          <w:b/>
        </w:rPr>
        <w:t>（二）</w:t>
      </w:r>
      <w:r>
        <w:rPr>
          <w:rFonts w:hint="eastAsia" w:ascii="Times New Roman" w:hAnsi="Times New Roman"/>
          <w:b/>
        </w:rPr>
        <w:t>评分标准</w:t>
      </w:r>
    </w:p>
    <w:p w14:paraId="0B0E8EF8">
      <w:pPr>
        <w:adjustRightInd w:val="0"/>
        <w:snapToGrid w:val="0"/>
        <w:spacing w:line="400" w:lineRule="exact"/>
        <w:ind w:firstLine="422" w:firstLineChars="200"/>
        <w:rPr>
          <w:b/>
          <w:bCs/>
          <w:kern w:val="0"/>
          <w:szCs w:val="21"/>
        </w:rPr>
      </w:pPr>
      <w:r>
        <w:rPr>
          <w:rFonts w:hint="eastAsia"/>
          <w:b/>
          <w:bCs/>
          <w:kern w:val="0"/>
          <w:szCs w:val="21"/>
        </w:rPr>
        <w:t>1.材料考核环节成绩评分标准</w:t>
      </w:r>
    </w:p>
    <w:p w14:paraId="19C75F9F">
      <w:pPr>
        <w:ind w:firstLine="420" w:firstLineChars="200"/>
        <w:jc w:val="left"/>
        <w:rPr>
          <w:kern w:val="0"/>
          <w:szCs w:val="21"/>
        </w:rPr>
      </w:pPr>
      <w:r>
        <w:rPr>
          <w:kern w:val="0"/>
          <w:szCs w:val="21"/>
        </w:rPr>
        <w:t>指导教师根据</w:t>
      </w:r>
      <w:r>
        <w:rPr>
          <w:rFonts w:ascii="Times New Roman" w:hAnsi="Times New Roman"/>
          <w:bCs/>
          <w:kern w:val="0"/>
          <w:szCs w:val="21"/>
        </w:rPr>
        <w:t>问题分析与定义，逻辑结构设计和详细设计的正确性</w:t>
      </w:r>
      <w:r>
        <w:rPr>
          <w:rFonts w:hint="eastAsia" w:ascii="Times New Roman" w:hAnsi="Times New Roman"/>
          <w:bCs/>
          <w:kern w:val="0"/>
          <w:szCs w:val="21"/>
        </w:rPr>
        <w:t>等综合实训报告</w:t>
      </w:r>
      <w:r>
        <w:rPr>
          <w:rFonts w:hint="eastAsia"/>
          <w:kern w:val="0"/>
          <w:szCs w:val="21"/>
        </w:rPr>
        <w:t>情况，</w:t>
      </w:r>
      <w:r>
        <w:rPr>
          <w:kern w:val="0"/>
          <w:szCs w:val="21"/>
        </w:rPr>
        <w:t>按照百分制评定成绩，乘以比例</w:t>
      </w:r>
      <w:r>
        <w:rPr>
          <w:rFonts w:hint="eastAsia"/>
          <w:kern w:val="0"/>
          <w:szCs w:val="21"/>
        </w:rPr>
        <w:t>50</w:t>
      </w:r>
      <w:r>
        <w:rPr>
          <w:kern w:val="0"/>
          <w:szCs w:val="21"/>
        </w:rPr>
        <w:t>%计入总成绩</w:t>
      </w:r>
      <w:r>
        <w:rPr>
          <w:rFonts w:hint="eastAsia"/>
          <w:kern w:val="0"/>
          <w:szCs w:val="21"/>
        </w:rPr>
        <w:t>。</w:t>
      </w:r>
      <w:r>
        <w:rPr>
          <w:kern w:val="0"/>
          <w:szCs w:val="21"/>
        </w:rPr>
        <w:t>评分标准如</w:t>
      </w:r>
      <w:r>
        <w:rPr>
          <w:rFonts w:hint="eastAsia"/>
          <w:kern w:val="0"/>
          <w:szCs w:val="21"/>
        </w:rPr>
        <w:t>5所示。</w:t>
      </w:r>
    </w:p>
    <w:p w14:paraId="3543D738">
      <w:pPr>
        <w:jc w:val="center"/>
        <w:rPr>
          <w:rFonts w:ascii="Times New Roman" w:hAnsi="Times New Roman"/>
          <w:bCs/>
          <w:kern w:val="0"/>
          <w:szCs w:val="21"/>
        </w:rPr>
      </w:pPr>
      <w:r>
        <w:rPr>
          <w:rFonts w:ascii="Times New Roman" w:hAnsi="Times New Roman"/>
          <w:szCs w:val="21"/>
        </w:rPr>
        <w:t>表</w:t>
      </w:r>
      <w:r>
        <w:rPr>
          <w:rFonts w:hint="eastAsia" w:ascii="Times New Roman" w:hAnsi="Times New Roman"/>
          <w:szCs w:val="21"/>
        </w:rPr>
        <w:t>5</w:t>
      </w:r>
      <w:r>
        <w:rPr>
          <w:rFonts w:ascii="Times New Roman" w:hAnsi="Times New Roman"/>
          <w:szCs w:val="21"/>
        </w:rPr>
        <w:t xml:space="preserve"> </w:t>
      </w:r>
      <w:r>
        <w:rPr>
          <w:rFonts w:hint="eastAsia" w:ascii="Times New Roman" w:hAnsi="Times New Roman"/>
          <w:szCs w:val="21"/>
        </w:rPr>
        <w:t>材料考核</w:t>
      </w:r>
      <w:r>
        <w:rPr>
          <w:rFonts w:ascii="Times New Roman" w:hAnsi="Times New Roman"/>
          <w:szCs w:val="21"/>
        </w:rPr>
        <w:t>评分标准</w:t>
      </w:r>
    </w:p>
    <w:tbl>
      <w:tblPr>
        <w:tblStyle w:val="8"/>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28" w:type="dxa"/>
          <w:bottom w:w="28" w:type="dxa"/>
          <w:right w:w="28" w:type="dxa"/>
        </w:tblCellMar>
      </w:tblPr>
      <w:tblGrid>
        <w:gridCol w:w="2018"/>
        <w:gridCol w:w="880"/>
        <w:gridCol w:w="1317"/>
        <w:gridCol w:w="1137"/>
        <w:gridCol w:w="1066"/>
        <w:gridCol w:w="1089"/>
        <w:gridCol w:w="997"/>
      </w:tblGrid>
      <w:tr w14:paraId="4B1D8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186" w:type="pct"/>
            <w:vMerge w:val="restart"/>
            <w:shd w:val="clear" w:color="auto" w:fill="auto"/>
            <w:tcMar>
              <w:top w:w="57" w:type="dxa"/>
              <w:bottom w:w="57" w:type="dxa"/>
            </w:tcMar>
            <w:vAlign w:val="center"/>
          </w:tcPr>
          <w:p w14:paraId="129FE8AC">
            <w:pPr>
              <w:jc w:val="center"/>
              <w:rPr>
                <w:rFonts w:ascii="Times New Roman" w:hAnsi="Times New Roman" w:eastAsiaTheme="minorEastAsia" w:cstheme="minorBidi"/>
                <w:b/>
                <w:sz w:val="18"/>
                <w:szCs w:val="18"/>
              </w:rPr>
            </w:pPr>
            <w:r>
              <w:rPr>
                <w:rFonts w:ascii="Times New Roman" w:hAnsi="Times New Roman"/>
                <w:b/>
                <w:sz w:val="18"/>
                <w:szCs w:val="18"/>
              </w:rPr>
              <w:t>课程目标</w:t>
            </w:r>
          </w:p>
        </w:tc>
        <w:tc>
          <w:tcPr>
            <w:tcW w:w="517" w:type="pct"/>
            <w:vMerge w:val="restart"/>
            <w:shd w:val="clear" w:color="auto" w:fill="auto"/>
            <w:tcMar>
              <w:top w:w="57" w:type="dxa"/>
              <w:bottom w:w="57" w:type="dxa"/>
            </w:tcMar>
            <w:vAlign w:val="center"/>
          </w:tcPr>
          <w:p w14:paraId="1E75788C">
            <w:pPr>
              <w:jc w:val="center"/>
              <w:rPr>
                <w:rFonts w:ascii="Times New Roman" w:hAnsi="Times New Roman" w:eastAsiaTheme="minorEastAsia" w:cstheme="minorBidi"/>
                <w:b/>
                <w:sz w:val="18"/>
                <w:szCs w:val="18"/>
              </w:rPr>
            </w:pPr>
            <w:r>
              <w:rPr>
                <w:rFonts w:hint="eastAsia" w:ascii="Times New Roman" w:hAnsi="Times New Roman"/>
                <w:b/>
                <w:sz w:val="18"/>
                <w:szCs w:val="18"/>
              </w:rPr>
              <w:t>考核指标</w:t>
            </w:r>
          </w:p>
        </w:tc>
        <w:tc>
          <w:tcPr>
            <w:tcW w:w="3295" w:type="pct"/>
            <w:gridSpan w:val="5"/>
            <w:shd w:val="clear" w:color="auto" w:fill="auto"/>
            <w:tcMar>
              <w:top w:w="57" w:type="dxa"/>
              <w:bottom w:w="57" w:type="dxa"/>
            </w:tcMar>
            <w:vAlign w:val="center"/>
          </w:tcPr>
          <w:p w14:paraId="342FBE17">
            <w:pPr>
              <w:pStyle w:val="5"/>
              <w:spacing w:line="240" w:lineRule="auto"/>
              <w:ind w:firstLine="361"/>
              <w:jc w:val="center"/>
              <w:rPr>
                <w:rFonts w:ascii="Times New Roman" w:hAnsi="Times New Roman"/>
                <w:b/>
                <w:sz w:val="18"/>
                <w:szCs w:val="18"/>
              </w:rPr>
            </w:pPr>
            <w:r>
              <w:rPr>
                <w:rFonts w:hint="eastAsia"/>
                <w:b/>
                <w:sz w:val="18"/>
                <w:szCs w:val="18"/>
              </w:rPr>
              <w:t>等级（百分制）</w:t>
            </w:r>
          </w:p>
        </w:tc>
      </w:tr>
      <w:tr w14:paraId="28C5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186" w:type="pct"/>
            <w:vMerge w:val="continue"/>
            <w:shd w:val="clear" w:color="auto" w:fill="auto"/>
            <w:tcMar>
              <w:top w:w="57" w:type="dxa"/>
              <w:bottom w:w="57" w:type="dxa"/>
            </w:tcMar>
            <w:vAlign w:val="center"/>
          </w:tcPr>
          <w:p w14:paraId="30A0721D">
            <w:pPr>
              <w:jc w:val="center"/>
              <w:rPr>
                <w:rFonts w:ascii="Times New Roman" w:hAnsi="Times New Roman"/>
                <w:b/>
                <w:sz w:val="18"/>
                <w:szCs w:val="18"/>
              </w:rPr>
            </w:pPr>
          </w:p>
        </w:tc>
        <w:tc>
          <w:tcPr>
            <w:tcW w:w="517" w:type="pct"/>
            <w:vMerge w:val="continue"/>
            <w:shd w:val="clear" w:color="auto" w:fill="auto"/>
            <w:tcMar>
              <w:top w:w="57" w:type="dxa"/>
              <w:bottom w:w="57" w:type="dxa"/>
            </w:tcMar>
            <w:vAlign w:val="center"/>
          </w:tcPr>
          <w:p w14:paraId="1EC769F2">
            <w:pPr>
              <w:jc w:val="center"/>
              <w:rPr>
                <w:rFonts w:ascii="Times New Roman" w:hAnsi="Times New Roman" w:eastAsiaTheme="minorEastAsia"/>
                <w:b/>
                <w:sz w:val="18"/>
                <w:szCs w:val="18"/>
              </w:rPr>
            </w:pPr>
          </w:p>
        </w:tc>
        <w:tc>
          <w:tcPr>
            <w:tcW w:w="774" w:type="pct"/>
            <w:shd w:val="clear" w:color="auto" w:fill="auto"/>
            <w:tcMar>
              <w:top w:w="57" w:type="dxa"/>
              <w:bottom w:w="57" w:type="dxa"/>
            </w:tcMar>
            <w:vAlign w:val="center"/>
          </w:tcPr>
          <w:p w14:paraId="6C95FF4A">
            <w:pPr>
              <w:jc w:val="center"/>
              <w:rPr>
                <w:rFonts w:hint="eastAsia" w:asciiTheme="minorEastAsia" w:hAnsiTheme="minorEastAsia" w:eastAsiaTheme="minorEastAsia" w:cstheme="minorEastAsia"/>
                <w:b/>
                <w:color w:val="000000" w:themeColor="text1"/>
                <w:sz w:val="18"/>
                <w:szCs w:val="18"/>
                <w14:textFill>
                  <w14:solidFill>
                    <w14:schemeClr w14:val="tx1"/>
                  </w14:solidFill>
                </w14:textFill>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优秀</w:t>
            </w:r>
          </w:p>
          <w:p w14:paraId="52E9639A">
            <w:pPr>
              <w:jc w:val="center"/>
              <w:rPr>
                <w:rFonts w:ascii="Times New Roman" w:hAnsi="Times New Roman"/>
                <w:b/>
                <w:sz w:val="18"/>
                <w:szCs w:val="18"/>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（90-100）</w:t>
            </w:r>
          </w:p>
        </w:tc>
        <w:tc>
          <w:tcPr>
            <w:tcW w:w="668" w:type="pct"/>
            <w:shd w:val="clear" w:color="auto" w:fill="auto"/>
            <w:tcMar>
              <w:top w:w="57" w:type="dxa"/>
              <w:bottom w:w="57" w:type="dxa"/>
            </w:tcMar>
            <w:vAlign w:val="center"/>
          </w:tcPr>
          <w:p w14:paraId="055154CB">
            <w:pPr>
              <w:jc w:val="center"/>
              <w:rPr>
                <w:rFonts w:hint="eastAsia" w:asciiTheme="minorEastAsia" w:hAnsiTheme="minorEastAsia" w:eastAsiaTheme="minorEastAsia" w:cstheme="minorEastAsia"/>
                <w:b/>
                <w:color w:val="000000" w:themeColor="text1"/>
                <w:sz w:val="18"/>
                <w:szCs w:val="18"/>
                <w14:textFill>
                  <w14:solidFill>
                    <w14:schemeClr w14:val="tx1"/>
                  </w14:solidFill>
                </w14:textFill>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良好</w:t>
            </w:r>
          </w:p>
          <w:p w14:paraId="5D4C14BA">
            <w:pPr>
              <w:jc w:val="center"/>
              <w:rPr>
                <w:rFonts w:ascii="Times New Roman" w:hAnsi="Times New Roman"/>
                <w:b/>
                <w:sz w:val="18"/>
                <w:szCs w:val="18"/>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（80-89）</w:t>
            </w:r>
          </w:p>
        </w:tc>
        <w:tc>
          <w:tcPr>
            <w:tcW w:w="627" w:type="pct"/>
            <w:shd w:val="clear" w:color="auto" w:fill="auto"/>
            <w:tcMar>
              <w:top w:w="57" w:type="dxa"/>
              <w:bottom w:w="57" w:type="dxa"/>
            </w:tcMar>
            <w:vAlign w:val="center"/>
          </w:tcPr>
          <w:p w14:paraId="00131CA7">
            <w:pPr>
              <w:jc w:val="center"/>
              <w:rPr>
                <w:rFonts w:hint="eastAsia" w:asciiTheme="minorEastAsia" w:hAnsiTheme="minorEastAsia" w:eastAsiaTheme="minorEastAsia" w:cstheme="minorEastAsia"/>
                <w:b/>
                <w:color w:val="000000" w:themeColor="text1"/>
                <w:sz w:val="18"/>
                <w:szCs w:val="18"/>
                <w14:textFill>
                  <w14:solidFill>
                    <w14:schemeClr w14:val="tx1"/>
                  </w14:solidFill>
                </w14:textFill>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中等</w:t>
            </w:r>
          </w:p>
          <w:p w14:paraId="14654235">
            <w:pPr>
              <w:jc w:val="center"/>
              <w:rPr>
                <w:rFonts w:ascii="Times New Roman" w:hAnsi="Times New Roman"/>
                <w:b/>
                <w:sz w:val="18"/>
                <w:szCs w:val="18"/>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（70-79）</w:t>
            </w:r>
          </w:p>
        </w:tc>
        <w:tc>
          <w:tcPr>
            <w:tcW w:w="640" w:type="pct"/>
            <w:shd w:val="clear" w:color="auto" w:fill="auto"/>
            <w:tcMar>
              <w:top w:w="57" w:type="dxa"/>
              <w:bottom w:w="57" w:type="dxa"/>
            </w:tcMar>
            <w:vAlign w:val="center"/>
          </w:tcPr>
          <w:p w14:paraId="008D3E71">
            <w:pPr>
              <w:jc w:val="center"/>
              <w:rPr>
                <w:rFonts w:hint="eastAsia" w:asciiTheme="minorEastAsia" w:hAnsiTheme="minorEastAsia" w:eastAsiaTheme="minorEastAsia" w:cstheme="minorEastAsia"/>
                <w:b/>
                <w:color w:val="000000" w:themeColor="text1"/>
                <w:sz w:val="18"/>
                <w:szCs w:val="18"/>
                <w14:textFill>
                  <w14:solidFill>
                    <w14:schemeClr w14:val="tx1"/>
                  </w14:solidFill>
                </w14:textFill>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及格</w:t>
            </w:r>
          </w:p>
          <w:p w14:paraId="0856DEE3">
            <w:pPr>
              <w:jc w:val="center"/>
              <w:rPr>
                <w:rFonts w:ascii="Times New Roman" w:hAnsi="Times New Roman"/>
                <w:b/>
                <w:sz w:val="18"/>
                <w:szCs w:val="18"/>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（60-69）</w:t>
            </w:r>
          </w:p>
        </w:tc>
        <w:tc>
          <w:tcPr>
            <w:tcW w:w="584" w:type="pct"/>
            <w:shd w:val="clear" w:color="auto" w:fill="auto"/>
            <w:tcMar>
              <w:top w:w="57" w:type="dxa"/>
              <w:bottom w:w="57" w:type="dxa"/>
            </w:tcMar>
            <w:vAlign w:val="center"/>
          </w:tcPr>
          <w:p w14:paraId="042CFF34">
            <w:pPr>
              <w:jc w:val="center"/>
              <w:rPr>
                <w:rFonts w:hint="eastAsia" w:asciiTheme="minorEastAsia" w:hAnsiTheme="minorEastAsia" w:eastAsiaTheme="minorEastAsia" w:cstheme="minorEastAsia"/>
                <w:b/>
                <w:color w:val="000000" w:themeColor="text1"/>
                <w:sz w:val="18"/>
                <w:szCs w:val="18"/>
                <w14:textFill>
                  <w14:solidFill>
                    <w14:schemeClr w14:val="tx1"/>
                  </w14:solidFill>
                </w14:textFill>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不及格</w:t>
            </w:r>
          </w:p>
          <w:p w14:paraId="7C739299">
            <w:pPr>
              <w:jc w:val="center"/>
            </w:pPr>
            <w:r>
              <w:rPr>
                <w:rFonts w:hint="eastAsia" w:asciiTheme="minorEastAsia" w:hAnsiTheme="minorEastAsia" w:eastAsiaTheme="minorEastAsia" w:cstheme="minorEastAsia"/>
                <w:b/>
                <w:color w:val="000000" w:themeColor="text1"/>
                <w:sz w:val="18"/>
                <w:szCs w:val="18"/>
                <w14:textFill>
                  <w14:solidFill>
                    <w14:schemeClr w14:val="tx1"/>
                  </w14:solidFill>
                </w14:textFill>
              </w:rPr>
              <w:t>（&lt;60）</w:t>
            </w:r>
          </w:p>
        </w:tc>
      </w:tr>
      <w:tr w14:paraId="6F92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186" w:type="pct"/>
            <w:shd w:val="clear" w:color="auto" w:fill="FFFFFF"/>
            <w:tcMar>
              <w:top w:w="57" w:type="dxa"/>
              <w:bottom w:w="57" w:type="dxa"/>
            </w:tcMar>
            <w:vAlign w:val="center"/>
          </w:tcPr>
          <w:p w14:paraId="7575AE91">
            <w:pPr>
              <w:pStyle w:val="4"/>
              <w:spacing w:after="0"/>
              <w:rPr>
                <w:sz w:val="18"/>
                <w:szCs w:val="18"/>
              </w:rPr>
            </w:pPr>
            <w:r>
              <w:rPr>
                <w:rFonts w:hint="eastAsia"/>
                <w:b/>
                <w:bCs/>
                <w:sz w:val="18"/>
                <w:szCs w:val="18"/>
              </w:rPr>
              <w:t>课程目标1：</w:t>
            </w:r>
            <w:r>
              <w:rPr>
                <w:rFonts w:hint="eastAsia"/>
                <w:sz w:val="18"/>
                <w:szCs w:val="18"/>
              </w:rPr>
              <w:t>根据给定的复杂工程问题，能够审清问题的已知数据和约束条件，明确问题的目标，选择合适的开发技术，设计并实现合理的企业级系统功能；</w:t>
            </w:r>
          </w:p>
        </w:tc>
        <w:tc>
          <w:tcPr>
            <w:tcW w:w="517" w:type="pct"/>
            <w:shd w:val="clear" w:color="auto" w:fill="FFFFFF"/>
            <w:tcMar>
              <w:top w:w="57" w:type="dxa"/>
              <w:bottom w:w="57" w:type="dxa"/>
            </w:tcMar>
            <w:vAlign w:val="center"/>
          </w:tcPr>
          <w:p w14:paraId="44AC0D5B">
            <w:pPr>
              <w:jc w:val="center"/>
              <w:rPr>
                <w:bCs/>
                <w:sz w:val="18"/>
                <w:szCs w:val="18"/>
              </w:rPr>
            </w:pPr>
            <w:r>
              <w:rPr>
                <w:bCs/>
                <w:sz w:val="18"/>
                <w:szCs w:val="18"/>
              </w:rPr>
              <w:t>系统设计、程序质量、</w:t>
            </w:r>
            <w:r>
              <w:rPr>
                <w:sz w:val="18"/>
                <w:szCs w:val="18"/>
              </w:rPr>
              <w:t>系统测试</w:t>
            </w:r>
          </w:p>
        </w:tc>
        <w:tc>
          <w:tcPr>
            <w:tcW w:w="774" w:type="pct"/>
            <w:shd w:val="clear" w:color="auto" w:fill="FFFFFF"/>
            <w:tcMar>
              <w:top w:w="57" w:type="dxa"/>
              <w:bottom w:w="57" w:type="dxa"/>
            </w:tcMar>
          </w:tcPr>
          <w:p w14:paraId="69C2E4E3">
            <w:pPr>
              <w:rPr>
                <w:sz w:val="18"/>
                <w:szCs w:val="18"/>
              </w:rPr>
            </w:pPr>
            <w:r>
              <w:rPr>
                <w:sz w:val="18"/>
                <w:szCs w:val="18"/>
              </w:rPr>
              <w:t>详细的功能模块、类和数据库的设计，结构非常清晰。系统功能实用性强，程序运行稳定且功能完善。程序结构清晰，代码规范，可读性强。</w:t>
            </w:r>
          </w:p>
        </w:tc>
        <w:tc>
          <w:tcPr>
            <w:tcW w:w="668" w:type="pct"/>
            <w:shd w:val="clear" w:color="auto" w:fill="FFFFFF"/>
            <w:tcMar>
              <w:top w:w="57" w:type="dxa"/>
              <w:bottom w:w="57" w:type="dxa"/>
            </w:tcMar>
          </w:tcPr>
          <w:p w14:paraId="1BA873B2">
            <w:pPr>
              <w:rPr>
                <w:sz w:val="18"/>
                <w:szCs w:val="18"/>
              </w:rPr>
            </w:pPr>
            <w:r>
              <w:rPr>
                <w:sz w:val="18"/>
                <w:szCs w:val="18"/>
              </w:rPr>
              <w:t>详细的功能模块、类和数据库的设计较合理，结构清晰。程序运行稳定且正确，功能全。程序结构清晰，代码规范。</w:t>
            </w:r>
          </w:p>
        </w:tc>
        <w:tc>
          <w:tcPr>
            <w:tcW w:w="627" w:type="pct"/>
            <w:shd w:val="clear" w:color="auto" w:fill="FFFFFF"/>
            <w:tcMar>
              <w:top w:w="57" w:type="dxa"/>
              <w:bottom w:w="57" w:type="dxa"/>
            </w:tcMar>
          </w:tcPr>
          <w:p w14:paraId="6EA4812F">
            <w:pPr>
              <w:rPr>
                <w:sz w:val="18"/>
                <w:szCs w:val="18"/>
              </w:rPr>
            </w:pPr>
            <w:r>
              <w:rPr>
                <w:sz w:val="18"/>
                <w:szCs w:val="18"/>
              </w:rPr>
              <w:t>详细的功能模块、类和数据库的设计较合理，结构较清晰。程序运行稳定且正确，功能不够完善。代码规范，可读性强。</w:t>
            </w:r>
          </w:p>
        </w:tc>
        <w:tc>
          <w:tcPr>
            <w:tcW w:w="640" w:type="pct"/>
            <w:shd w:val="clear" w:color="auto" w:fill="FFFFFF"/>
            <w:tcMar>
              <w:top w:w="57" w:type="dxa"/>
              <w:bottom w:w="57" w:type="dxa"/>
            </w:tcMar>
          </w:tcPr>
          <w:p w14:paraId="47AC7644">
            <w:pPr>
              <w:rPr>
                <w:sz w:val="18"/>
                <w:szCs w:val="18"/>
              </w:rPr>
            </w:pPr>
            <w:r>
              <w:rPr>
                <w:sz w:val="18"/>
                <w:szCs w:val="18"/>
              </w:rPr>
              <w:t>详细的功能模块、类和数据库的设计基本合理，结构基本清晰。程序运行稳定且正确。代码基本规范。</w:t>
            </w:r>
          </w:p>
        </w:tc>
        <w:tc>
          <w:tcPr>
            <w:tcW w:w="584" w:type="pct"/>
            <w:shd w:val="clear" w:color="auto" w:fill="FFFFFF"/>
            <w:tcMar>
              <w:top w:w="57" w:type="dxa"/>
              <w:bottom w:w="57" w:type="dxa"/>
            </w:tcMar>
          </w:tcPr>
          <w:p w14:paraId="2AA850DA">
            <w:pPr>
              <w:rPr>
                <w:sz w:val="18"/>
                <w:szCs w:val="18"/>
              </w:rPr>
            </w:pPr>
            <w:r>
              <w:rPr>
                <w:sz w:val="18"/>
                <w:szCs w:val="18"/>
              </w:rPr>
              <w:t>详细的功能模块、类和数据库的设计不合理，结构不清晰。程序运行不稳定。代码不够规范。</w:t>
            </w:r>
          </w:p>
        </w:tc>
      </w:tr>
      <w:tr w14:paraId="60494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28" w:type="dxa"/>
            <w:bottom w:w="28" w:type="dxa"/>
            <w:right w:w="28" w:type="dxa"/>
          </w:tblCellMar>
        </w:tblPrEx>
        <w:tc>
          <w:tcPr>
            <w:tcW w:w="1186" w:type="pct"/>
            <w:shd w:val="clear" w:color="auto" w:fill="FFFFFF"/>
            <w:tcMar>
              <w:top w:w="57" w:type="dxa"/>
              <w:bottom w:w="57" w:type="dxa"/>
            </w:tcMar>
            <w:vAlign w:val="center"/>
          </w:tcPr>
          <w:p w14:paraId="407FCB47">
            <w:pPr>
              <w:pStyle w:val="4"/>
              <w:spacing w:after="0"/>
              <w:rPr>
                <w:sz w:val="18"/>
                <w:szCs w:val="18"/>
              </w:rPr>
            </w:pPr>
            <w:r>
              <w:rPr>
                <w:rFonts w:hint="eastAsia"/>
                <w:b/>
                <w:bCs/>
                <w:sz w:val="18"/>
                <w:szCs w:val="18"/>
              </w:rPr>
              <w:t>课程目标2：</w:t>
            </w:r>
            <w:r>
              <w:rPr>
                <w:rFonts w:hint="eastAsia"/>
                <w:bCs/>
                <w:sz w:val="18"/>
                <w:szCs w:val="18"/>
              </w:rPr>
              <w:t>能够评价</w:t>
            </w:r>
            <w:r>
              <w:rPr>
                <w:rFonts w:hint="eastAsia"/>
                <w:sz w:val="18"/>
                <w:szCs w:val="18"/>
              </w:rPr>
              <w:t>计算机工程问题的实现方案和社会影响因素，并进行总结汇报；通过分组讨论和师生评价分析方案的优缺，制定解决方案的修改计划。</w:t>
            </w:r>
          </w:p>
        </w:tc>
        <w:tc>
          <w:tcPr>
            <w:tcW w:w="517" w:type="pct"/>
            <w:shd w:val="clear" w:color="auto" w:fill="FFFFFF"/>
            <w:tcMar>
              <w:top w:w="57" w:type="dxa"/>
              <w:bottom w:w="57" w:type="dxa"/>
            </w:tcMar>
            <w:vAlign w:val="center"/>
          </w:tcPr>
          <w:p w14:paraId="7939D8C7">
            <w:pPr>
              <w:jc w:val="left"/>
              <w:rPr>
                <w:rFonts w:ascii="Times New Roman" w:hAnsi="Times New Roman"/>
                <w:sz w:val="18"/>
                <w:szCs w:val="18"/>
              </w:rPr>
            </w:pPr>
            <w:r>
              <w:rPr>
                <w:rFonts w:ascii="Times New Roman" w:hAnsi="Times New Roman"/>
                <w:sz w:val="18"/>
                <w:szCs w:val="18"/>
              </w:rPr>
              <w:t>需求分析、</w:t>
            </w:r>
            <w:r>
              <w:rPr>
                <w:rFonts w:hint="eastAsia"/>
                <w:sz w:val="18"/>
                <w:szCs w:val="18"/>
              </w:rPr>
              <w:t>系统评价、优化改进</w:t>
            </w:r>
          </w:p>
        </w:tc>
        <w:tc>
          <w:tcPr>
            <w:tcW w:w="774" w:type="pct"/>
            <w:shd w:val="clear" w:color="auto" w:fill="FFFFFF"/>
            <w:tcMar>
              <w:top w:w="57" w:type="dxa"/>
              <w:bottom w:w="57" w:type="dxa"/>
            </w:tcMar>
          </w:tcPr>
          <w:p w14:paraId="6874B03C">
            <w:pPr>
              <w:jc w:val="left"/>
              <w:rPr>
                <w:sz w:val="18"/>
                <w:szCs w:val="18"/>
              </w:rPr>
            </w:pPr>
            <w:r>
              <w:rPr>
                <w:sz w:val="18"/>
                <w:szCs w:val="18"/>
              </w:rPr>
              <w:t>项目背景描述准确，功能性和非功能性分析详细、正确；系统优缺点分析合理，进一步改进的设想思路清晰措施可行</w:t>
            </w:r>
            <w:r>
              <w:rPr>
                <w:rFonts w:hint="eastAsia"/>
                <w:sz w:val="18"/>
                <w:szCs w:val="18"/>
              </w:rPr>
              <w:t>。</w:t>
            </w:r>
          </w:p>
        </w:tc>
        <w:tc>
          <w:tcPr>
            <w:tcW w:w="668" w:type="pct"/>
            <w:shd w:val="clear" w:color="auto" w:fill="FFFFFF"/>
            <w:tcMar>
              <w:top w:w="57" w:type="dxa"/>
              <w:bottom w:w="57" w:type="dxa"/>
            </w:tcMar>
          </w:tcPr>
          <w:p w14:paraId="4C624AB7">
            <w:pPr>
              <w:rPr>
                <w:sz w:val="18"/>
                <w:szCs w:val="18"/>
              </w:rPr>
            </w:pPr>
            <w:r>
              <w:rPr>
                <w:sz w:val="18"/>
                <w:szCs w:val="18"/>
              </w:rPr>
              <w:t>项目背景比较描述准确，功能性和非功能性分析比较正确、详细；系统优缺点分析比较合理，进一步改进的设想思路较清晰，有较可行的措施</w:t>
            </w:r>
            <w:r>
              <w:rPr>
                <w:rFonts w:hint="eastAsia"/>
                <w:sz w:val="18"/>
                <w:szCs w:val="18"/>
              </w:rPr>
              <w:t>。</w:t>
            </w:r>
          </w:p>
        </w:tc>
        <w:tc>
          <w:tcPr>
            <w:tcW w:w="627" w:type="pct"/>
            <w:shd w:val="clear" w:color="auto" w:fill="FFFFFF"/>
            <w:tcMar>
              <w:top w:w="57" w:type="dxa"/>
              <w:bottom w:w="57" w:type="dxa"/>
            </w:tcMar>
          </w:tcPr>
          <w:p w14:paraId="6EDE8D3C">
            <w:pPr>
              <w:rPr>
                <w:sz w:val="18"/>
                <w:szCs w:val="18"/>
              </w:rPr>
            </w:pPr>
            <w:r>
              <w:rPr>
                <w:sz w:val="18"/>
                <w:szCs w:val="18"/>
              </w:rPr>
              <w:t>项目背景描述比较准确，功能性和非功能性分析比较完整；系统优缺点分析较为合理，进一步改进的设想思路基本清晰，无可行措施</w:t>
            </w:r>
            <w:r>
              <w:rPr>
                <w:rFonts w:hint="eastAsia"/>
                <w:sz w:val="18"/>
                <w:szCs w:val="18"/>
              </w:rPr>
              <w:t>。</w:t>
            </w:r>
          </w:p>
        </w:tc>
        <w:tc>
          <w:tcPr>
            <w:tcW w:w="640" w:type="pct"/>
            <w:shd w:val="clear" w:color="auto" w:fill="FFFFFF"/>
            <w:tcMar>
              <w:top w:w="57" w:type="dxa"/>
              <w:bottom w:w="57" w:type="dxa"/>
            </w:tcMar>
          </w:tcPr>
          <w:p w14:paraId="505F2684">
            <w:pPr>
              <w:rPr>
                <w:sz w:val="18"/>
                <w:szCs w:val="18"/>
              </w:rPr>
            </w:pPr>
            <w:r>
              <w:rPr>
                <w:sz w:val="18"/>
                <w:szCs w:val="18"/>
              </w:rPr>
              <w:t>项目背景描述基本准确，功能性和非功能性分析基本完整；系统优缺点分析基本合理，有初步的进一步改进的设想</w:t>
            </w:r>
            <w:r>
              <w:rPr>
                <w:rFonts w:hint="eastAsia"/>
                <w:sz w:val="18"/>
                <w:szCs w:val="18"/>
              </w:rPr>
              <w:t>。</w:t>
            </w:r>
          </w:p>
        </w:tc>
        <w:tc>
          <w:tcPr>
            <w:tcW w:w="584" w:type="pct"/>
            <w:shd w:val="clear" w:color="auto" w:fill="FFFFFF"/>
            <w:tcMar>
              <w:top w:w="57" w:type="dxa"/>
              <w:bottom w:w="57" w:type="dxa"/>
            </w:tcMar>
          </w:tcPr>
          <w:p w14:paraId="0AC2CCC0">
            <w:pPr>
              <w:rPr>
                <w:sz w:val="18"/>
                <w:szCs w:val="18"/>
              </w:rPr>
            </w:pPr>
            <w:r>
              <w:rPr>
                <w:sz w:val="18"/>
                <w:szCs w:val="18"/>
              </w:rPr>
              <w:t>项目背景描述基本准确，功能性和非功能性分析存在缺失；系统优缺点分析基本合理，无进一步改进的设想</w:t>
            </w:r>
            <w:r>
              <w:rPr>
                <w:rFonts w:hint="eastAsia"/>
                <w:sz w:val="18"/>
                <w:szCs w:val="18"/>
              </w:rPr>
              <w:t>。</w:t>
            </w:r>
          </w:p>
        </w:tc>
      </w:tr>
    </w:tbl>
    <w:p w14:paraId="008B2FD0">
      <w:pPr>
        <w:rPr>
          <w:rFonts w:ascii="Times New Roman" w:hAnsi="Times New Roman"/>
        </w:rPr>
      </w:pPr>
    </w:p>
    <w:p w14:paraId="48F86553">
      <w:pPr>
        <w:rPr>
          <w:b/>
          <w:bCs/>
          <w:kern w:val="0"/>
          <w:szCs w:val="21"/>
        </w:rPr>
      </w:pPr>
      <w:r>
        <w:rPr>
          <w:rFonts w:hint="eastAsia"/>
          <w:b/>
          <w:bCs/>
          <w:kern w:val="0"/>
          <w:szCs w:val="21"/>
        </w:rPr>
        <w:t>2.实践考核环节成绩评分标准</w:t>
      </w:r>
    </w:p>
    <w:p w14:paraId="367F7473">
      <w:pPr>
        <w:adjustRightInd w:val="0"/>
        <w:snapToGrid w:val="0"/>
        <w:spacing w:line="400" w:lineRule="exact"/>
        <w:ind w:firstLine="420" w:firstLineChars="200"/>
        <w:rPr>
          <w:rFonts w:ascii="Times New Roman" w:hAnsi="Times New Roman"/>
          <w:kern w:val="0"/>
          <w:szCs w:val="21"/>
        </w:rPr>
      </w:pPr>
      <w:r>
        <w:rPr>
          <w:kern w:val="0"/>
          <w:szCs w:val="21"/>
        </w:rPr>
        <w:t>指导教师根据</w:t>
      </w:r>
      <w:r>
        <w:rPr>
          <w:rFonts w:ascii="Times New Roman" w:hAnsi="Times New Roman"/>
          <w:bCs/>
          <w:kern w:val="0"/>
          <w:szCs w:val="21"/>
        </w:rPr>
        <w:t>项目的运行和测试</w:t>
      </w:r>
      <w:r>
        <w:rPr>
          <w:rFonts w:hint="eastAsia" w:ascii="Times New Roman" w:hAnsi="Times New Roman"/>
          <w:bCs/>
          <w:kern w:val="0"/>
          <w:szCs w:val="21"/>
        </w:rPr>
        <w:t>、</w:t>
      </w:r>
      <w:r>
        <w:rPr>
          <w:rFonts w:ascii="Times New Roman" w:hAnsi="Times New Roman"/>
          <w:bCs/>
          <w:kern w:val="0"/>
          <w:szCs w:val="21"/>
        </w:rPr>
        <w:t>详细设计</w:t>
      </w:r>
      <w:r>
        <w:rPr>
          <w:rFonts w:hint="eastAsia" w:ascii="Times New Roman" w:hAnsi="Times New Roman"/>
          <w:bCs/>
          <w:kern w:val="0"/>
          <w:szCs w:val="21"/>
        </w:rPr>
        <w:t>、团结协作、创新创造等</w:t>
      </w:r>
      <w:r>
        <w:rPr>
          <w:rFonts w:hint="eastAsia"/>
          <w:kern w:val="0"/>
          <w:szCs w:val="21"/>
        </w:rPr>
        <w:t>答辩验收情况，</w:t>
      </w:r>
      <w:r>
        <w:rPr>
          <w:kern w:val="0"/>
          <w:szCs w:val="21"/>
        </w:rPr>
        <w:t>按照百分制评定成绩，</w:t>
      </w:r>
      <w:r>
        <w:rPr>
          <w:color w:val="000000"/>
          <w:kern w:val="0"/>
          <w:szCs w:val="21"/>
        </w:rPr>
        <w:t>乘以比例</w:t>
      </w:r>
      <w:r>
        <w:rPr>
          <w:rFonts w:hint="eastAsia"/>
          <w:kern w:val="0"/>
          <w:szCs w:val="21"/>
        </w:rPr>
        <w:t>50</w:t>
      </w:r>
      <w:r>
        <w:rPr>
          <w:color w:val="000000"/>
          <w:kern w:val="0"/>
          <w:szCs w:val="21"/>
        </w:rPr>
        <w:t>%计入总成绩</w:t>
      </w:r>
      <w:r>
        <w:rPr>
          <w:rFonts w:hint="eastAsia"/>
          <w:kern w:val="0"/>
          <w:szCs w:val="21"/>
        </w:rPr>
        <w:t>。</w:t>
      </w:r>
      <w:r>
        <w:rPr>
          <w:kern w:val="0"/>
          <w:szCs w:val="21"/>
        </w:rPr>
        <w:t>评分标准如</w:t>
      </w:r>
      <w:r>
        <w:rPr>
          <w:rFonts w:hint="eastAsia"/>
          <w:kern w:val="0"/>
          <w:szCs w:val="21"/>
        </w:rPr>
        <w:t>6所示。</w:t>
      </w:r>
    </w:p>
    <w:p w14:paraId="591E0FDB">
      <w:pPr>
        <w:pStyle w:val="5"/>
        <w:jc w:val="center"/>
        <w:rPr>
          <w:kern w:val="0"/>
          <w:szCs w:val="21"/>
        </w:rPr>
      </w:pPr>
      <w:r>
        <w:rPr>
          <w:kern w:val="0"/>
          <w:szCs w:val="21"/>
        </w:rPr>
        <w:t>表</w:t>
      </w:r>
      <w:r>
        <w:rPr>
          <w:rFonts w:hint="eastAsia"/>
          <w:kern w:val="0"/>
          <w:szCs w:val="21"/>
        </w:rPr>
        <w:t>6</w:t>
      </w:r>
      <w:r>
        <w:rPr>
          <w:kern w:val="0"/>
          <w:szCs w:val="21"/>
        </w:rPr>
        <w:t xml:space="preserve"> </w:t>
      </w:r>
      <w:r>
        <w:rPr>
          <w:rFonts w:hint="eastAsia"/>
          <w:kern w:val="0"/>
          <w:szCs w:val="21"/>
        </w:rPr>
        <w:t>实践考核成绩评分标</w:t>
      </w:r>
      <w:r>
        <w:rPr>
          <w:kern w:val="0"/>
          <w:szCs w:val="21"/>
        </w:rPr>
        <w:t>准</w:t>
      </w:r>
    </w:p>
    <w:tbl>
      <w:tblPr>
        <w:tblStyle w:val="9"/>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184"/>
        <w:gridCol w:w="1166"/>
        <w:gridCol w:w="1166"/>
        <w:gridCol w:w="1184"/>
        <w:gridCol w:w="1029"/>
        <w:gridCol w:w="933"/>
        <w:gridCol w:w="236"/>
      </w:tblGrid>
      <w:tr w14:paraId="1F7E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vMerge w:val="restart"/>
            <w:vAlign w:val="center"/>
          </w:tcPr>
          <w:p w14:paraId="0AC4F5EA">
            <w:pPr>
              <w:pStyle w:val="5"/>
              <w:spacing w:line="240" w:lineRule="auto"/>
              <w:ind w:firstLine="361"/>
              <w:jc w:val="both"/>
              <w:rPr>
                <w:b/>
                <w:bCs w:val="0"/>
                <w:sz w:val="18"/>
                <w:szCs w:val="18"/>
              </w:rPr>
            </w:pPr>
            <w:r>
              <w:rPr>
                <w:rFonts w:hint="eastAsia"/>
                <w:b/>
                <w:bCs w:val="0"/>
                <w:sz w:val="18"/>
                <w:szCs w:val="18"/>
              </w:rPr>
              <w:t>课程目标</w:t>
            </w:r>
          </w:p>
        </w:tc>
        <w:tc>
          <w:tcPr>
            <w:tcW w:w="1217" w:type="dxa"/>
            <w:vMerge w:val="restart"/>
            <w:vAlign w:val="center"/>
          </w:tcPr>
          <w:p w14:paraId="5CB4EEE2">
            <w:pPr>
              <w:pStyle w:val="5"/>
              <w:spacing w:line="240" w:lineRule="auto"/>
              <w:ind w:firstLine="0" w:firstLineChars="0"/>
              <w:jc w:val="both"/>
              <w:rPr>
                <w:b/>
                <w:bCs w:val="0"/>
                <w:sz w:val="18"/>
                <w:szCs w:val="18"/>
              </w:rPr>
            </w:pPr>
            <w:r>
              <w:rPr>
                <w:rFonts w:hint="eastAsia"/>
                <w:b/>
                <w:bCs w:val="0"/>
                <w:sz w:val="18"/>
                <w:szCs w:val="18"/>
              </w:rPr>
              <w:t>考核指标</w:t>
            </w:r>
          </w:p>
        </w:tc>
        <w:tc>
          <w:tcPr>
            <w:tcW w:w="5633" w:type="dxa"/>
            <w:gridSpan w:val="6"/>
            <w:vAlign w:val="center"/>
          </w:tcPr>
          <w:p w14:paraId="5441950D">
            <w:pPr>
              <w:pStyle w:val="5"/>
              <w:spacing w:line="240" w:lineRule="auto"/>
              <w:ind w:firstLine="361"/>
              <w:jc w:val="center"/>
              <w:rPr>
                <w:b/>
                <w:bCs w:val="0"/>
                <w:sz w:val="18"/>
                <w:szCs w:val="18"/>
              </w:rPr>
            </w:pPr>
            <w:r>
              <w:rPr>
                <w:rFonts w:hint="eastAsia"/>
                <w:b/>
                <w:sz w:val="18"/>
                <w:szCs w:val="18"/>
              </w:rPr>
              <w:t>等级（百分制）</w:t>
            </w:r>
          </w:p>
        </w:tc>
      </w:tr>
      <w:tr w14:paraId="79D4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vMerge w:val="continue"/>
          </w:tcPr>
          <w:p w14:paraId="2F4F4A48">
            <w:pPr>
              <w:pStyle w:val="5"/>
              <w:spacing w:line="240" w:lineRule="auto"/>
              <w:ind w:firstLine="361"/>
              <w:rPr>
                <w:b/>
                <w:bCs w:val="0"/>
                <w:sz w:val="18"/>
                <w:szCs w:val="18"/>
              </w:rPr>
            </w:pPr>
          </w:p>
        </w:tc>
        <w:tc>
          <w:tcPr>
            <w:tcW w:w="1217" w:type="dxa"/>
            <w:vMerge w:val="continue"/>
          </w:tcPr>
          <w:p w14:paraId="11CDDF07">
            <w:pPr>
              <w:pStyle w:val="5"/>
              <w:spacing w:line="240" w:lineRule="auto"/>
              <w:ind w:firstLine="361"/>
              <w:rPr>
                <w:b/>
                <w:bCs w:val="0"/>
                <w:sz w:val="18"/>
                <w:szCs w:val="18"/>
              </w:rPr>
            </w:pPr>
          </w:p>
        </w:tc>
        <w:tc>
          <w:tcPr>
            <w:tcW w:w="1198" w:type="dxa"/>
            <w:vAlign w:val="center"/>
          </w:tcPr>
          <w:p w14:paraId="185A2E4E">
            <w:pPr>
              <w:jc w:val="center"/>
              <w:rPr>
                <w:rFonts w:hint="eastAsia" w:asciiTheme="minorEastAsia" w:hAnsiTheme="minorEastAsia" w:eastAsiaTheme="minorEastAsia" w:cstheme="minorEastAsia"/>
                <w:b/>
                <w:color w:val="000000" w:themeColor="text1"/>
                <w:sz w:val="18"/>
                <w:szCs w:val="18"/>
                <w14:textFill>
                  <w14:solidFill>
                    <w14:schemeClr w14:val="tx1"/>
                  </w14:solidFill>
                </w14:textFill>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优秀</w:t>
            </w:r>
          </w:p>
          <w:p w14:paraId="6D4BCE9E">
            <w:pPr>
              <w:jc w:val="center"/>
              <w:rPr>
                <w:b/>
                <w:sz w:val="18"/>
                <w:szCs w:val="18"/>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（90-100）</w:t>
            </w:r>
          </w:p>
        </w:tc>
        <w:tc>
          <w:tcPr>
            <w:tcW w:w="1198" w:type="dxa"/>
            <w:vAlign w:val="center"/>
          </w:tcPr>
          <w:p w14:paraId="66190C2F">
            <w:pPr>
              <w:jc w:val="center"/>
              <w:rPr>
                <w:rFonts w:hint="eastAsia" w:asciiTheme="minorEastAsia" w:hAnsiTheme="minorEastAsia" w:eastAsiaTheme="minorEastAsia" w:cstheme="minorEastAsia"/>
                <w:b/>
                <w:color w:val="000000" w:themeColor="text1"/>
                <w:sz w:val="18"/>
                <w:szCs w:val="18"/>
                <w14:textFill>
                  <w14:solidFill>
                    <w14:schemeClr w14:val="tx1"/>
                  </w14:solidFill>
                </w14:textFill>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良好</w:t>
            </w:r>
          </w:p>
          <w:p w14:paraId="47CDECED">
            <w:pPr>
              <w:jc w:val="center"/>
              <w:rPr>
                <w:b/>
                <w:sz w:val="18"/>
                <w:szCs w:val="18"/>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（80-89）</w:t>
            </w:r>
          </w:p>
        </w:tc>
        <w:tc>
          <w:tcPr>
            <w:tcW w:w="1217" w:type="dxa"/>
            <w:vAlign w:val="center"/>
          </w:tcPr>
          <w:p w14:paraId="379D02B4">
            <w:pPr>
              <w:jc w:val="center"/>
              <w:rPr>
                <w:rFonts w:hint="eastAsia" w:asciiTheme="minorEastAsia" w:hAnsiTheme="minorEastAsia" w:eastAsiaTheme="minorEastAsia" w:cstheme="minorEastAsia"/>
                <w:b/>
                <w:color w:val="000000" w:themeColor="text1"/>
                <w:sz w:val="18"/>
                <w:szCs w:val="18"/>
                <w14:textFill>
                  <w14:solidFill>
                    <w14:schemeClr w14:val="tx1"/>
                  </w14:solidFill>
                </w14:textFill>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中等</w:t>
            </w:r>
          </w:p>
          <w:p w14:paraId="7FFC0DD4">
            <w:pPr>
              <w:jc w:val="center"/>
              <w:rPr>
                <w:b/>
                <w:sz w:val="18"/>
                <w:szCs w:val="18"/>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70-79）</w:t>
            </w:r>
          </w:p>
        </w:tc>
        <w:tc>
          <w:tcPr>
            <w:tcW w:w="1057" w:type="dxa"/>
            <w:vAlign w:val="center"/>
          </w:tcPr>
          <w:p w14:paraId="2A632E90">
            <w:pPr>
              <w:jc w:val="center"/>
              <w:rPr>
                <w:rFonts w:hint="eastAsia" w:asciiTheme="minorEastAsia" w:hAnsiTheme="minorEastAsia" w:eastAsiaTheme="minorEastAsia" w:cstheme="minorEastAsia"/>
                <w:b/>
                <w:color w:val="000000" w:themeColor="text1"/>
                <w:sz w:val="18"/>
                <w:szCs w:val="18"/>
                <w14:textFill>
                  <w14:solidFill>
                    <w14:schemeClr w14:val="tx1"/>
                  </w14:solidFill>
                </w14:textFill>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及格</w:t>
            </w:r>
          </w:p>
          <w:p w14:paraId="1246B71D">
            <w:pPr>
              <w:jc w:val="center"/>
              <w:rPr>
                <w:b/>
                <w:sz w:val="18"/>
                <w:szCs w:val="18"/>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（60-69）</w:t>
            </w:r>
          </w:p>
        </w:tc>
        <w:tc>
          <w:tcPr>
            <w:tcW w:w="957" w:type="dxa"/>
            <w:vAlign w:val="center"/>
          </w:tcPr>
          <w:p w14:paraId="41E2714B">
            <w:pPr>
              <w:jc w:val="center"/>
              <w:rPr>
                <w:rFonts w:hint="eastAsia" w:asciiTheme="minorEastAsia" w:hAnsiTheme="minorEastAsia" w:eastAsiaTheme="minorEastAsia" w:cstheme="minorEastAsia"/>
                <w:b/>
                <w:color w:val="000000" w:themeColor="text1"/>
                <w:sz w:val="18"/>
                <w:szCs w:val="18"/>
                <w14:textFill>
                  <w14:solidFill>
                    <w14:schemeClr w14:val="tx1"/>
                  </w14:solidFill>
                </w14:textFill>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不及格</w:t>
            </w:r>
          </w:p>
          <w:p w14:paraId="3F461387">
            <w:pPr>
              <w:jc w:val="center"/>
              <w:rPr>
                <w:sz w:val="18"/>
                <w:szCs w:val="18"/>
              </w:rPr>
            </w:pPr>
            <w:r>
              <w:rPr>
                <w:rFonts w:hint="eastAsia" w:asciiTheme="minorEastAsia" w:hAnsiTheme="minorEastAsia" w:eastAsiaTheme="minorEastAsia" w:cstheme="minorEastAsia"/>
                <w:b/>
                <w:color w:val="000000" w:themeColor="text1"/>
                <w:sz w:val="18"/>
                <w:szCs w:val="18"/>
                <w14:textFill>
                  <w14:solidFill>
                    <w14:schemeClr w14:val="tx1"/>
                  </w14:solidFill>
                </w14:textFill>
              </w:rPr>
              <w:t>（&lt;60）</w:t>
            </w:r>
          </w:p>
        </w:tc>
        <w:tc>
          <w:tcPr>
            <w:tcW w:w="6" w:type="dxa"/>
            <w:vAlign w:val="center"/>
          </w:tcPr>
          <w:p w14:paraId="4B9F1C3C">
            <w:pPr>
              <w:pStyle w:val="5"/>
              <w:spacing w:line="240" w:lineRule="auto"/>
              <w:ind w:firstLine="0" w:firstLineChars="0"/>
              <w:jc w:val="center"/>
            </w:pPr>
          </w:p>
        </w:tc>
      </w:tr>
      <w:tr w14:paraId="3AA44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vAlign w:val="center"/>
          </w:tcPr>
          <w:p w14:paraId="4D736D16">
            <w:pPr>
              <w:pStyle w:val="4"/>
              <w:rPr>
                <w:sz w:val="18"/>
                <w:szCs w:val="18"/>
              </w:rPr>
            </w:pPr>
            <w:r>
              <w:rPr>
                <w:rFonts w:hint="eastAsia"/>
                <w:b/>
                <w:bCs/>
                <w:sz w:val="18"/>
                <w:szCs w:val="18"/>
              </w:rPr>
              <w:t>课程目标1：</w:t>
            </w:r>
            <w:r>
              <w:rPr>
                <w:rFonts w:hint="eastAsia"/>
                <w:sz w:val="18"/>
                <w:szCs w:val="18"/>
              </w:rPr>
              <w:t>根据给定的复杂工程问题，能够审清问题的已知数据和约束条件，明确问题的目标，选择合适的开发技术，设计合理的企业级系统功能；</w:t>
            </w:r>
          </w:p>
        </w:tc>
        <w:tc>
          <w:tcPr>
            <w:tcW w:w="1217" w:type="dxa"/>
            <w:vAlign w:val="center"/>
          </w:tcPr>
          <w:p w14:paraId="6FFDBB1F">
            <w:pPr>
              <w:jc w:val="center"/>
              <w:rPr>
                <w:bCs/>
                <w:sz w:val="18"/>
                <w:szCs w:val="18"/>
              </w:rPr>
            </w:pPr>
            <w:r>
              <w:rPr>
                <w:bCs/>
                <w:sz w:val="18"/>
                <w:szCs w:val="18"/>
              </w:rPr>
              <w:t>系统设计；</w:t>
            </w:r>
            <w:r>
              <w:rPr>
                <w:rFonts w:hint="eastAsia" w:ascii="Times New Roman" w:hAnsi="Times New Roman"/>
                <w:sz w:val="18"/>
                <w:szCs w:val="18"/>
              </w:rPr>
              <w:t>程序质量，</w:t>
            </w:r>
            <w:r>
              <w:rPr>
                <w:rFonts w:ascii="Times New Roman" w:hAnsi="Times New Roman"/>
                <w:sz w:val="18"/>
                <w:szCs w:val="18"/>
              </w:rPr>
              <w:t>程序结构</w:t>
            </w:r>
            <w:r>
              <w:rPr>
                <w:rFonts w:hint="eastAsia" w:ascii="Times New Roman" w:hAnsi="Times New Roman"/>
                <w:sz w:val="18"/>
                <w:szCs w:val="18"/>
              </w:rPr>
              <w:t>、</w:t>
            </w:r>
            <w:r>
              <w:rPr>
                <w:rFonts w:ascii="Times New Roman" w:hAnsi="Times New Roman"/>
                <w:sz w:val="18"/>
                <w:szCs w:val="18"/>
              </w:rPr>
              <w:t>代码规范</w:t>
            </w:r>
            <w:r>
              <w:rPr>
                <w:rFonts w:hint="eastAsia" w:ascii="Times New Roman" w:hAnsi="Times New Roman"/>
                <w:sz w:val="18"/>
                <w:szCs w:val="18"/>
              </w:rPr>
              <w:t>性、</w:t>
            </w:r>
            <w:r>
              <w:rPr>
                <w:rFonts w:ascii="Times New Roman" w:hAnsi="Times New Roman"/>
                <w:sz w:val="18"/>
                <w:szCs w:val="18"/>
              </w:rPr>
              <w:t>可读性</w:t>
            </w:r>
            <w:r>
              <w:rPr>
                <w:rFonts w:hint="eastAsia" w:ascii="Times New Roman" w:hAnsi="Times New Roman"/>
                <w:sz w:val="18"/>
                <w:szCs w:val="18"/>
              </w:rPr>
              <w:t>、测试样例的正确性</w:t>
            </w:r>
            <w:r>
              <w:rPr>
                <w:rFonts w:ascii="Times New Roman" w:hAnsi="Times New Roman"/>
                <w:sz w:val="18"/>
                <w:szCs w:val="18"/>
              </w:rPr>
              <w:t>。</w:t>
            </w:r>
          </w:p>
        </w:tc>
        <w:tc>
          <w:tcPr>
            <w:tcW w:w="1198" w:type="dxa"/>
          </w:tcPr>
          <w:p w14:paraId="24FA005E">
            <w:pPr>
              <w:rPr>
                <w:sz w:val="18"/>
                <w:szCs w:val="18"/>
              </w:rPr>
            </w:pPr>
            <w:r>
              <w:rPr>
                <w:sz w:val="18"/>
                <w:szCs w:val="18"/>
              </w:rPr>
              <w:t>详细的功能模块、类和数据库的设计，结构非常清晰。</w:t>
            </w:r>
            <w:r>
              <w:rPr>
                <w:rFonts w:ascii="Times New Roman" w:hAnsi="Times New Roman"/>
                <w:sz w:val="18"/>
                <w:szCs w:val="18"/>
              </w:rPr>
              <w:t>程序运行稳定且功能完善。程序结构清晰，代码规范，可读性强</w:t>
            </w:r>
            <w:r>
              <w:rPr>
                <w:rFonts w:hint="eastAsia" w:ascii="Times New Roman" w:hAnsi="Times New Roman"/>
                <w:sz w:val="18"/>
                <w:szCs w:val="18"/>
              </w:rPr>
              <w:t>。</w:t>
            </w:r>
            <w:r>
              <w:rPr>
                <w:rFonts w:ascii="Times New Roman" w:hAnsi="Times New Roman"/>
                <w:sz w:val="18"/>
                <w:szCs w:val="18"/>
              </w:rPr>
              <w:t>测试结果分析全面且正确。</w:t>
            </w:r>
          </w:p>
        </w:tc>
        <w:tc>
          <w:tcPr>
            <w:tcW w:w="1198" w:type="dxa"/>
          </w:tcPr>
          <w:p w14:paraId="65B01B15">
            <w:pPr>
              <w:rPr>
                <w:sz w:val="18"/>
                <w:szCs w:val="18"/>
              </w:rPr>
            </w:pPr>
            <w:r>
              <w:rPr>
                <w:sz w:val="18"/>
                <w:szCs w:val="18"/>
              </w:rPr>
              <w:t>详细的功能模块、类和数据库的设计较合理，结构清晰。</w:t>
            </w:r>
            <w:r>
              <w:rPr>
                <w:rFonts w:ascii="Times New Roman" w:hAnsi="Times New Roman"/>
                <w:sz w:val="18"/>
                <w:szCs w:val="18"/>
              </w:rPr>
              <w:t>程序运行稳定且正确，功能全。程序结构清晰，代码规范</w:t>
            </w:r>
            <w:r>
              <w:rPr>
                <w:rFonts w:hint="eastAsia" w:ascii="Times New Roman" w:hAnsi="Times New Roman"/>
                <w:sz w:val="18"/>
                <w:szCs w:val="18"/>
              </w:rPr>
              <w:t>，可读性强，</w:t>
            </w:r>
            <w:r>
              <w:rPr>
                <w:rFonts w:ascii="Times New Roman" w:hAnsi="Times New Roman"/>
                <w:sz w:val="18"/>
                <w:szCs w:val="18"/>
              </w:rPr>
              <w:t>测试结果分析不够全面。</w:t>
            </w:r>
          </w:p>
        </w:tc>
        <w:tc>
          <w:tcPr>
            <w:tcW w:w="1217" w:type="dxa"/>
          </w:tcPr>
          <w:p w14:paraId="51209E09">
            <w:pPr>
              <w:rPr>
                <w:sz w:val="18"/>
                <w:szCs w:val="18"/>
              </w:rPr>
            </w:pPr>
            <w:r>
              <w:rPr>
                <w:sz w:val="18"/>
                <w:szCs w:val="18"/>
              </w:rPr>
              <w:t>详细的功能模块、类和数据库的设计较合理，结构较清晰。</w:t>
            </w:r>
            <w:r>
              <w:rPr>
                <w:rFonts w:ascii="Times New Roman" w:hAnsi="Times New Roman"/>
                <w:sz w:val="18"/>
                <w:szCs w:val="18"/>
              </w:rPr>
              <w:t>程序运行稳定且正确，功能不够完善。代码规范，可读性强</w:t>
            </w:r>
            <w:r>
              <w:rPr>
                <w:rFonts w:hint="eastAsia" w:ascii="Times New Roman" w:hAnsi="Times New Roman"/>
                <w:sz w:val="18"/>
                <w:szCs w:val="18"/>
              </w:rPr>
              <w:t>，</w:t>
            </w:r>
            <w:r>
              <w:rPr>
                <w:rFonts w:ascii="Times New Roman" w:hAnsi="Times New Roman"/>
                <w:sz w:val="18"/>
                <w:szCs w:val="18"/>
              </w:rPr>
              <w:t>测试结果分析部分正确。</w:t>
            </w:r>
          </w:p>
        </w:tc>
        <w:tc>
          <w:tcPr>
            <w:tcW w:w="1057" w:type="dxa"/>
          </w:tcPr>
          <w:p w14:paraId="41536334">
            <w:pPr>
              <w:rPr>
                <w:sz w:val="18"/>
                <w:szCs w:val="18"/>
              </w:rPr>
            </w:pPr>
            <w:r>
              <w:rPr>
                <w:sz w:val="18"/>
                <w:szCs w:val="18"/>
              </w:rPr>
              <w:t>详细的功能模块、类和数据库的设计基本合理，结构基本清晰。</w:t>
            </w:r>
            <w:r>
              <w:rPr>
                <w:rFonts w:ascii="Times New Roman" w:hAnsi="Times New Roman"/>
                <w:sz w:val="18"/>
                <w:szCs w:val="18"/>
              </w:rPr>
              <w:t>程序运行稳定且正确。代码不规范</w:t>
            </w:r>
            <w:r>
              <w:rPr>
                <w:rFonts w:hint="eastAsia" w:ascii="Times New Roman" w:hAnsi="Times New Roman"/>
                <w:sz w:val="18"/>
                <w:szCs w:val="18"/>
              </w:rPr>
              <w:t>，存在</w:t>
            </w:r>
            <w:r>
              <w:rPr>
                <w:rFonts w:ascii="Times New Roman" w:hAnsi="Times New Roman"/>
                <w:sz w:val="18"/>
                <w:szCs w:val="18"/>
              </w:rPr>
              <w:t>分析测试结果。</w:t>
            </w:r>
          </w:p>
        </w:tc>
        <w:tc>
          <w:tcPr>
            <w:tcW w:w="963" w:type="dxa"/>
            <w:gridSpan w:val="2"/>
          </w:tcPr>
          <w:p w14:paraId="5C7CEABD">
            <w:pPr>
              <w:rPr>
                <w:sz w:val="18"/>
                <w:szCs w:val="18"/>
              </w:rPr>
            </w:pPr>
            <w:r>
              <w:rPr>
                <w:sz w:val="18"/>
                <w:szCs w:val="18"/>
              </w:rPr>
              <w:t>详细的功能模块、类和数据库的设计不合理，结构不清晰。</w:t>
            </w:r>
            <w:r>
              <w:rPr>
                <w:rFonts w:ascii="Times New Roman" w:hAnsi="Times New Roman"/>
                <w:sz w:val="18"/>
                <w:szCs w:val="18"/>
              </w:rPr>
              <w:t>程序运行不稳定</w:t>
            </w:r>
            <w:r>
              <w:rPr>
                <w:rFonts w:hint="eastAsia" w:ascii="Times New Roman" w:hAnsi="Times New Roman"/>
                <w:sz w:val="18"/>
                <w:szCs w:val="18"/>
              </w:rPr>
              <w:t>，</w:t>
            </w:r>
            <w:r>
              <w:rPr>
                <w:rFonts w:ascii="Times New Roman" w:hAnsi="Times New Roman"/>
                <w:sz w:val="18"/>
                <w:szCs w:val="18"/>
              </w:rPr>
              <w:t>无分析测试结果。</w:t>
            </w:r>
          </w:p>
        </w:tc>
      </w:tr>
      <w:tr w14:paraId="2B445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vAlign w:val="center"/>
          </w:tcPr>
          <w:p w14:paraId="5200C734">
            <w:pPr>
              <w:pStyle w:val="4"/>
              <w:rPr>
                <w:b/>
                <w:bCs/>
                <w:sz w:val="18"/>
                <w:szCs w:val="18"/>
              </w:rPr>
            </w:pPr>
            <w:r>
              <w:rPr>
                <w:rFonts w:hint="eastAsia"/>
                <w:b/>
                <w:bCs/>
                <w:sz w:val="18"/>
                <w:szCs w:val="18"/>
              </w:rPr>
              <w:t>课程目标2：</w:t>
            </w:r>
            <w:r>
              <w:rPr>
                <w:rFonts w:hint="eastAsia"/>
                <w:bCs/>
                <w:sz w:val="18"/>
                <w:szCs w:val="18"/>
              </w:rPr>
              <w:t>能够评价</w:t>
            </w:r>
            <w:r>
              <w:rPr>
                <w:rFonts w:hint="eastAsia"/>
                <w:sz w:val="18"/>
                <w:szCs w:val="18"/>
              </w:rPr>
              <w:t>计算机工程问题的实现方案和社会影响因素，并进行总结汇报；通过分组讨论和师生评价分析方案的优缺，制定解决方案的修改计划。</w:t>
            </w:r>
          </w:p>
        </w:tc>
        <w:tc>
          <w:tcPr>
            <w:tcW w:w="1217" w:type="dxa"/>
            <w:vAlign w:val="center"/>
          </w:tcPr>
          <w:p w14:paraId="42F01552">
            <w:pPr>
              <w:jc w:val="center"/>
              <w:rPr>
                <w:bCs/>
                <w:sz w:val="18"/>
                <w:szCs w:val="18"/>
              </w:rPr>
            </w:pPr>
            <w:r>
              <w:rPr>
                <w:rFonts w:hint="eastAsia"/>
                <w:bCs/>
                <w:sz w:val="18"/>
                <w:szCs w:val="18"/>
              </w:rPr>
              <w:t>答辩项目背景、实施意义、系统评价及改进</w:t>
            </w:r>
          </w:p>
        </w:tc>
        <w:tc>
          <w:tcPr>
            <w:tcW w:w="1198" w:type="dxa"/>
          </w:tcPr>
          <w:p w14:paraId="56D7EBEC">
            <w:pPr>
              <w:rPr>
                <w:sz w:val="18"/>
                <w:szCs w:val="18"/>
              </w:rPr>
            </w:pPr>
            <w:r>
              <w:rPr>
                <w:sz w:val="18"/>
                <w:szCs w:val="18"/>
              </w:rPr>
              <w:t>能够简明扼要汇报系统概况，准确回答各相关问题，分析系统的优缺，提出进一步改进的设想，逻辑严密，反映出扎实的专业知识功底。</w:t>
            </w:r>
          </w:p>
        </w:tc>
        <w:tc>
          <w:tcPr>
            <w:tcW w:w="1198" w:type="dxa"/>
          </w:tcPr>
          <w:p w14:paraId="6DEBA0F4">
            <w:pPr>
              <w:rPr>
                <w:sz w:val="18"/>
                <w:szCs w:val="18"/>
              </w:rPr>
            </w:pPr>
            <w:r>
              <w:rPr>
                <w:sz w:val="18"/>
                <w:szCs w:val="18"/>
              </w:rPr>
              <w:t>能够完整汇报系统概况，准确回答各相关问题，分析系统的优缺，逻辑基本严密，反映良好的专业知识功底。</w:t>
            </w:r>
          </w:p>
        </w:tc>
        <w:tc>
          <w:tcPr>
            <w:tcW w:w="1217" w:type="dxa"/>
          </w:tcPr>
          <w:p w14:paraId="762447A8">
            <w:pPr>
              <w:rPr>
                <w:sz w:val="18"/>
                <w:szCs w:val="18"/>
              </w:rPr>
            </w:pPr>
            <w:r>
              <w:rPr>
                <w:sz w:val="18"/>
                <w:szCs w:val="18"/>
              </w:rPr>
              <w:t>能够汇报系统概况，对提出的主要问题一般能回答，分析系统的主要优缺，无原则性错误。</w:t>
            </w:r>
          </w:p>
        </w:tc>
        <w:tc>
          <w:tcPr>
            <w:tcW w:w="1057" w:type="dxa"/>
          </w:tcPr>
          <w:p w14:paraId="707EEB5F">
            <w:pPr>
              <w:rPr>
                <w:sz w:val="18"/>
                <w:szCs w:val="18"/>
              </w:rPr>
            </w:pPr>
            <w:r>
              <w:rPr>
                <w:sz w:val="18"/>
                <w:szCs w:val="18"/>
              </w:rPr>
              <w:t>能够汇报系统概况，描述系统优缺点，回答问题有错误，经提示后能作补充或进行修正。</w:t>
            </w:r>
          </w:p>
        </w:tc>
        <w:tc>
          <w:tcPr>
            <w:tcW w:w="963" w:type="dxa"/>
            <w:gridSpan w:val="2"/>
          </w:tcPr>
          <w:p w14:paraId="2A1026E2">
            <w:pPr>
              <w:rPr>
                <w:sz w:val="18"/>
                <w:szCs w:val="18"/>
              </w:rPr>
            </w:pPr>
            <w:r>
              <w:rPr>
                <w:sz w:val="18"/>
                <w:szCs w:val="18"/>
              </w:rPr>
              <w:t>能够汇报系统概况，回答问题有错误，经提示后仍不能回答清楚。</w:t>
            </w:r>
          </w:p>
        </w:tc>
      </w:tr>
    </w:tbl>
    <w:p w14:paraId="4B2438D8">
      <w:pPr>
        <w:spacing w:before="156" w:beforeLines="50" w:after="156" w:afterLines="50"/>
        <w:rPr>
          <w:rFonts w:ascii="黑体" w:eastAsia="黑体" w:cs="宋体"/>
          <w:b/>
          <w:sz w:val="24"/>
          <w:lang w:bidi="ar"/>
        </w:rPr>
      </w:pPr>
      <w:r>
        <w:rPr>
          <w:rFonts w:hint="eastAsia" w:ascii="黑体" w:eastAsia="黑体" w:cs="宋体"/>
          <w:b/>
          <w:sz w:val="24"/>
          <w:lang w:bidi="ar"/>
        </w:rPr>
        <w:t>七、课程目标达成评价方法</w:t>
      </w:r>
    </w:p>
    <w:p w14:paraId="422D4AD0">
      <w:pPr>
        <w:spacing w:line="400" w:lineRule="exact"/>
        <w:ind w:firstLine="420" w:firstLineChars="200"/>
        <w:rPr>
          <w:rFonts w:cs="宋体"/>
          <w:szCs w:val="21"/>
        </w:rPr>
      </w:pPr>
      <w:r>
        <w:rPr>
          <w:rFonts w:ascii="Times New Roman" w:hAnsi="Times New Roman" w:cs="宋体"/>
          <w:szCs w:val="21"/>
        </w:rPr>
        <w:t>课程目标达成评价采用修课学生调查问卷法</w:t>
      </w:r>
      <w:r>
        <w:rPr>
          <w:rFonts w:hint="eastAsia" w:cs="宋体"/>
          <w:szCs w:val="21"/>
        </w:rPr>
        <w:t>和</w:t>
      </w:r>
      <w:r>
        <w:rPr>
          <w:rFonts w:ascii="Times New Roman" w:hAnsi="Times New Roman" w:cs="宋体"/>
          <w:szCs w:val="21"/>
        </w:rPr>
        <w:t>课程成绩分析法</w:t>
      </w:r>
      <w:r>
        <w:rPr>
          <w:rFonts w:hint="eastAsia" w:ascii="Times New Roman" w:hAnsi="Times New Roman" w:cs="宋体"/>
          <w:szCs w:val="21"/>
        </w:rPr>
        <w:t>，</w:t>
      </w:r>
      <w:r>
        <w:rPr>
          <w:rFonts w:hint="eastAsia" w:cs="宋体"/>
          <w:szCs w:val="21"/>
        </w:rPr>
        <w:t>修课学生调查问卷法是一种定性评价方式，课程成绩分析法是一种定量评价方法。</w:t>
      </w:r>
      <w:r>
        <w:rPr>
          <w:rFonts w:hint="eastAsia"/>
          <w:szCs w:val="21"/>
        </w:rPr>
        <w:t>德育目标的达成评价采用间接法，以调查问卷（学生自评）的形式进行。</w:t>
      </w:r>
      <w:r>
        <w:rPr>
          <w:rFonts w:hint="eastAsia" w:cs="宋体"/>
          <w:szCs w:val="21"/>
        </w:rPr>
        <w:t>以课程成绩分析法为主，定性和定量两种评价方法相互印证课程目标的达成情况，</w:t>
      </w:r>
      <w:r>
        <w:rPr>
          <w:rFonts w:hint="eastAsia" w:ascii="Times New Roman" w:hAnsi="Times New Roman" w:cs="宋体"/>
          <w:szCs w:val="21"/>
        </w:rPr>
        <w:t>详见《计算机与软件学院课程质量评价机制》</w:t>
      </w:r>
      <w:r>
        <w:rPr>
          <w:rFonts w:ascii="Times New Roman" w:hAnsi="Times New Roman" w:cs="宋体"/>
          <w:szCs w:val="21"/>
        </w:rPr>
        <w:t>。</w:t>
      </w:r>
    </w:p>
    <w:p w14:paraId="308885DC">
      <w:pPr>
        <w:spacing w:line="400" w:lineRule="exact"/>
        <w:ind w:firstLine="422" w:firstLineChars="200"/>
        <w:rPr>
          <w:rFonts w:hint="eastAsia" w:ascii="宋体" w:hAnsi="宋体" w:cs="宋体"/>
          <w:b/>
          <w:bCs/>
          <w:szCs w:val="21"/>
        </w:rPr>
      </w:pPr>
      <w:r>
        <w:rPr>
          <w:rFonts w:hint="eastAsia" w:ascii="宋体" w:hAnsi="宋体" w:cs="宋体"/>
          <w:b/>
          <w:bCs/>
          <w:szCs w:val="21"/>
        </w:rPr>
        <w:t>（一）课程成绩分析法</w:t>
      </w:r>
    </w:p>
    <w:p w14:paraId="463EF536">
      <w:pPr>
        <w:spacing w:line="400" w:lineRule="exact"/>
        <w:ind w:firstLine="420" w:firstLineChars="200"/>
        <w:rPr>
          <w:rFonts w:hint="eastAsia" w:ascii="宋体" w:hAnsi="宋体" w:cs="宋体"/>
          <w:szCs w:val="21"/>
        </w:rPr>
      </w:pPr>
      <w:r>
        <w:rPr>
          <w:rFonts w:hint="eastAsia" w:ascii="宋体" w:hAnsi="宋体" w:cs="宋体"/>
          <w:szCs w:val="21"/>
        </w:rPr>
        <w:t>课程目标j的达成情况评价值的计算公式如下：</w:t>
      </w:r>
    </w:p>
    <w:p w14:paraId="54A83ECC">
      <w:pPr>
        <w:ind w:firstLine="420" w:firstLineChars="200"/>
        <w:rPr>
          <w:rFonts w:hint="eastAsia" w:ascii="宋体" w:hAnsi="宋体" w:cs="宋体"/>
          <w:szCs w:val="21"/>
        </w:rPr>
      </w:pPr>
      <m:oMathPara>
        <m:oMath>
          <m:sSub>
            <m:sSubPr>
              <m:ctrlPr>
                <w:rPr>
                  <w:rFonts w:ascii="Cambria Math" w:hAnsi="Cambria Math" w:cs="宋体"/>
                  <w:i/>
                  <w:szCs w:val="21"/>
                </w:rPr>
              </m:ctrlPr>
            </m:sSubPr>
            <m:e>
              <m:r>
                <m:rPr/>
                <w:rPr>
                  <w:rFonts w:ascii="Cambria Math" w:hAnsi="Cambria Math" w:cs="宋体"/>
                  <w:szCs w:val="21"/>
                </w:rPr>
                <m:t>D</m:t>
              </m:r>
              <m:ctrlPr>
                <w:rPr>
                  <w:rFonts w:ascii="Cambria Math" w:hAnsi="Cambria Math" w:cs="宋体"/>
                  <w:i/>
                  <w:szCs w:val="21"/>
                </w:rPr>
              </m:ctrlPr>
            </m:e>
            <m:sub>
              <m:r>
                <m:rPr/>
                <w:rPr>
                  <w:rFonts w:ascii="Cambria Math" w:hAnsi="Cambria Math" w:cs="宋体"/>
                  <w:szCs w:val="21"/>
                </w:rPr>
                <m:t>j_c</m:t>
              </m:r>
              <m:ctrlPr>
                <w:rPr>
                  <w:rFonts w:ascii="Cambria Math" w:hAnsi="Cambria Math" w:cs="宋体"/>
                  <w:i/>
                  <w:szCs w:val="21"/>
                </w:rPr>
              </m:ctrlPr>
            </m:sub>
          </m:sSub>
          <m:r>
            <m:rPr/>
            <w:rPr>
              <w:rFonts w:ascii="Cambria Math" w:hAnsi="Cambria Math" w:cs="宋体"/>
              <w:szCs w:val="21"/>
            </w:rPr>
            <m:t>=</m:t>
          </m:r>
          <m:nary>
            <m:naryPr>
              <m:chr m:val="∑"/>
              <m:limLoc m:val="undOvr"/>
              <m:ctrlPr>
                <w:rPr>
                  <w:rFonts w:ascii="Cambria Math" w:hAnsi="Cambria Math" w:cs="宋体"/>
                  <w:i/>
                  <w:szCs w:val="21"/>
                </w:rPr>
              </m:ctrlPr>
            </m:naryPr>
            <m:sub>
              <m:r>
                <m:rPr/>
                <w:rPr>
                  <w:rFonts w:ascii="Cambria Math" w:hAnsi="Cambria Math" w:cs="宋体"/>
                  <w:szCs w:val="21"/>
                </w:rPr>
                <m:t>i∈</m:t>
              </m:r>
              <m:sSub>
                <m:sSubPr>
                  <m:ctrlPr>
                    <w:rPr>
                      <w:rFonts w:ascii="Cambria Math" w:hAnsi="Cambria Math" w:cs="宋体"/>
                      <w:i/>
                      <w:szCs w:val="21"/>
                    </w:rPr>
                  </m:ctrlPr>
                </m:sSubPr>
                <m:e>
                  <m:r>
                    <m:rPr/>
                    <w:rPr>
                      <w:rFonts w:ascii="Cambria Math" w:hAnsi="Cambria Math" w:cs="宋体"/>
                      <w:szCs w:val="21"/>
                    </w:rPr>
                    <m:t>E</m:t>
                  </m:r>
                  <m:ctrlPr>
                    <w:rPr>
                      <w:rFonts w:ascii="Cambria Math" w:hAnsi="Cambria Math" w:cs="宋体"/>
                      <w:i/>
                      <w:szCs w:val="21"/>
                    </w:rPr>
                  </m:ctrlPr>
                </m:e>
                <m:sub>
                  <m:r>
                    <m:rPr/>
                    <w:rPr>
                      <w:rFonts w:ascii="Cambria Math" w:hAnsi="Cambria Math" w:cs="宋体"/>
                      <w:szCs w:val="21"/>
                    </w:rPr>
                    <m:t>j</m:t>
                  </m:r>
                  <m:ctrlPr>
                    <w:rPr>
                      <w:rFonts w:ascii="Cambria Math" w:hAnsi="Cambria Math" w:cs="宋体"/>
                      <w:i/>
                      <w:szCs w:val="21"/>
                    </w:rPr>
                  </m:ctrlPr>
                </m:sub>
              </m:sSub>
              <m:ctrlPr>
                <w:rPr>
                  <w:rFonts w:ascii="Cambria Math" w:hAnsi="Cambria Math" w:cs="宋体"/>
                  <w:i/>
                  <w:szCs w:val="21"/>
                </w:rPr>
              </m:ctrlPr>
            </m:sub>
            <m:sup>
              <m:ctrlPr>
                <w:rPr>
                  <w:rFonts w:ascii="Cambria Math" w:hAnsi="Cambria Math" w:cs="宋体"/>
                  <w:i/>
                  <w:szCs w:val="21"/>
                </w:rPr>
              </m:ctrlPr>
            </m:sup>
            <m:e>
              <m:f>
                <m:fPr>
                  <m:ctrlPr>
                    <w:rPr>
                      <w:rFonts w:ascii="Cambria Math" w:hAnsi="Cambria Math" w:cs="宋体"/>
                      <w:i/>
                      <w:szCs w:val="21"/>
                    </w:rPr>
                  </m:ctrlPr>
                </m:fPr>
                <m:num>
                  <m:sSub>
                    <m:sSubPr>
                      <m:ctrlPr>
                        <w:rPr>
                          <w:rFonts w:ascii="Cambria Math" w:hAnsi="Cambria Math" w:cs="宋体"/>
                          <w:i/>
                          <w:szCs w:val="21"/>
                        </w:rPr>
                      </m:ctrlPr>
                    </m:sSubPr>
                    <m:e>
                      <m:r>
                        <m:rPr/>
                        <w:rPr>
                          <w:rFonts w:ascii="Cambria Math" w:hAnsi="Cambria Math" w:cs="宋体"/>
                          <w:szCs w:val="21"/>
                        </w:rPr>
                        <m:t>a</m:t>
                      </m:r>
                      <m:ctrlPr>
                        <w:rPr>
                          <w:rFonts w:ascii="Cambria Math" w:hAnsi="Cambria Math" w:cs="宋体"/>
                          <w:i/>
                          <w:szCs w:val="21"/>
                        </w:rPr>
                      </m:ctrlPr>
                    </m:e>
                    <m:sub>
                      <m:r>
                        <m:rPr/>
                        <w:rPr>
                          <w:rFonts w:ascii="Cambria Math" w:hAnsi="Cambria Math" w:cs="宋体"/>
                          <w:szCs w:val="21"/>
                        </w:rPr>
                        <m:t>i</m:t>
                      </m:r>
                      <m:ctrlPr>
                        <w:rPr>
                          <w:rFonts w:ascii="Cambria Math" w:hAnsi="Cambria Math" w:cs="宋体"/>
                          <w:i/>
                          <w:szCs w:val="21"/>
                        </w:rPr>
                      </m:ctrlPr>
                    </m:sub>
                  </m:sSub>
                  <m:ctrlPr>
                    <w:rPr>
                      <w:rFonts w:ascii="Cambria Math" w:hAnsi="Cambria Math" w:cs="宋体"/>
                      <w:i/>
                      <w:szCs w:val="21"/>
                    </w:rPr>
                  </m:ctrlPr>
                </m:num>
                <m:den>
                  <m:sSub>
                    <m:sSubPr>
                      <m:ctrlPr>
                        <w:rPr>
                          <w:rFonts w:ascii="Cambria Math" w:hAnsi="Cambria Math" w:cs="宋体"/>
                          <w:i/>
                          <w:szCs w:val="21"/>
                        </w:rPr>
                      </m:ctrlPr>
                    </m:sSubPr>
                    <m:e>
                      <m:r>
                        <m:rPr/>
                        <w:rPr>
                          <w:rFonts w:ascii="Cambria Math" w:hAnsi="Cambria Math" w:cs="宋体"/>
                          <w:szCs w:val="21"/>
                        </w:rPr>
                        <m:t>t</m:t>
                      </m:r>
                      <m:ctrlPr>
                        <w:rPr>
                          <w:rFonts w:ascii="Cambria Math" w:hAnsi="Cambria Math" w:cs="宋体"/>
                          <w:i/>
                          <w:szCs w:val="21"/>
                        </w:rPr>
                      </m:ctrlPr>
                    </m:e>
                    <m:sub>
                      <m:r>
                        <m:rPr/>
                        <w:rPr>
                          <w:rFonts w:ascii="Cambria Math" w:hAnsi="Cambria Math" w:cs="宋体"/>
                          <w:szCs w:val="21"/>
                        </w:rPr>
                        <m:t>i</m:t>
                      </m:r>
                      <m:ctrlPr>
                        <w:rPr>
                          <w:rFonts w:ascii="Cambria Math" w:hAnsi="Cambria Math" w:cs="宋体"/>
                          <w:i/>
                          <w:szCs w:val="21"/>
                        </w:rPr>
                      </m:ctrlPr>
                    </m:sub>
                  </m:sSub>
                  <m:ctrlPr>
                    <w:rPr>
                      <w:rFonts w:ascii="Cambria Math" w:hAnsi="Cambria Math" w:cs="宋体"/>
                      <w:i/>
                      <w:szCs w:val="21"/>
                    </w:rPr>
                  </m:ctrlPr>
                </m:den>
              </m:f>
              <m:sSub>
                <m:sSubPr>
                  <m:ctrlPr>
                    <w:rPr>
                      <w:rFonts w:ascii="Cambria Math" w:hAnsi="Cambria Math" w:cs="宋体"/>
                      <w:i/>
                      <w:szCs w:val="21"/>
                    </w:rPr>
                  </m:ctrlPr>
                </m:sSubPr>
                <m:e>
                  <m:r>
                    <m:rPr/>
                    <w:rPr>
                      <w:rFonts w:ascii="Cambria Math" w:hAnsi="Cambria Math" w:cs="宋体"/>
                      <w:szCs w:val="21"/>
                    </w:rPr>
                    <m:t>×p</m:t>
                  </m:r>
                  <m:ctrlPr>
                    <w:rPr>
                      <w:rFonts w:ascii="Cambria Math" w:hAnsi="Cambria Math" w:cs="宋体"/>
                      <w:i/>
                      <w:szCs w:val="21"/>
                    </w:rPr>
                  </m:ctrlPr>
                </m:e>
                <m:sub>
                  <m:r>
                    <m:rPr/>
                    <w:rPr>
                      <w:rFonts w:ascii="Cambria Math" w:hAnsi="Cambria Math" w:cs="宋体"/>
                      <w:szCs w:val="21"/>
                    </w:rPr>
                    <m:t>i</m:t>
                  </m:r>
                  <m:ctrlPr>
                    <w:rPr>
                      <w:rFonts w:ascii="Cambria Math" w:hAnsi="Cambria Math" w:cs="宋体"/>
                      <w:i/>
                      <w:szCs w:val="21"/>
                    </w:rPr>
                  </m:ctrlPr>
                </m:sub>
              </m:sSub>
              <m:ctrlPr>
                <w:rPr>
                  <w:rFonts w:ascii="Cambria Math" w:hAnsi="Cambria Math" w:cs="宋体"/>
                  <w:i/>
                  <w:szCs w:val="21"/>
                </w:rPr>
              </m:ctrlPr>
            </m:e>
          </m:nary>
        </m:oMath>
      </m:oMathPara>
    </w:p>
    <w:p w14:paraId="208FC106">
      <w:pPr>
        <w:spacing w:line="400" w:lineRule="exact"/>
        <w:ind w:firstLine="420" w:firstLineChars="200"/>
        <w:rPr>
          <w:rFonts w:hint="eastAsia" w:ascii="宋体" w:hAnsi="宋体" w:cs="宋体"/>
          <w:szCs w:val="21"/>
        </w:rPr>
      </w:pPr>
      <w:r>
        <w:rPr>
          <w:rFonts w:hint="eastAsia" w:ascii="宋体" w:hAnsi="宋体" w:cs="宋体"/>
          <w:szCs w:val="21"/>
        </w:rPr>
        <w:t>其中，</w:t>
      </w:r>
      <m:oMath>
        <m:sSub>
          <m:sSubPr>
            <m:ctrlPr>
              <w:rPr>
                <w:rFonts w:ascii="Cambria Math" w:hAnsi="Cambria Math" w:cs="宋体"/>
                <w:i/>
                <w:szCs w:val="21"/>
              </w:rPr>
            </m:ctrlPr>
          </m:sSubPr>
          <m:e>
            <m:r>
              <m:rPr/>
              <w:rPr>
                <w:rFonts w:ascii="Cambria Math" w:hAnsi="Cambria Math" w:cs="宋体"/>
                <w:szCs w:val="21"/>
              </w:rPr>
              <m:t>E</m:t>
            </m:r>
            <m:ctrlPr>
              <w:rPr>
                <w:rFonts w:ascii="Cambria Math" w:hAnsi="Cambria Math" w:cs="宋体"/>
                <w:i/>
                <w:szCs w:val="21"/>
              </w:rPr>
            </m:ctrlPr>
          </m:e>
          <m:sub>
            <m:r>
              <m:rPr/>
              <w:rPr>
                <w:rFonts w:ascii="Cambria Math" w:hAnsi="Cambria Math" w:cs="宋体"/>
                <w:szCs w:val="21"/>
              </w:rPr>
              <m:t>j</m:t>
            </m:r>
            <m:ctrlPr>
              <w:rPr>
                <w:rFonts w:ascii="Cambria Math" w:hAnsi="Cambria Math" w:cs="宋体"/>
                <w:i/>
                <w:szCs w:val="21"/>
              </w:rPr>
            </m:ctrlPr>
          </m:sub>
        </m:sSub>
      </m:oMath>
      <w:r>
        <w:rPr>
          <w:rFonts w:hint="eastAsia" w:ascii="宋体" w:hAnsi="宋体" w:cs="宋体"/>
          <w:szCs w:val="21"/>
        </w:rPr>
        <w:t>是第</w:t>
      </w:r>
      <m:oMath>
        <m:r>
          <m:rPr>
            <m:sty m:val="p"/>
          </m:rPr>
          <w:rPr>
            <w:rFonts w:ascii="Cambria Math" w:hAnsi="Cambria Math" w:cs="宋体"/>
            <w:szCs w:val="21"/>
          </w:rPr>
          <m:t>j</m:t>
        </m:r>
      </m:oMath>
      <w:r>
        <w:rPr>
          <w:rFonts w:hint="eastAsia" w:ascii="宋体" w:hAnsi="宋体" w:cs="宋体"/>
          <w:szCs w:val="21"/>
        </w:rPr>
        <w:t>个课程目标的考核方式集合，</w:t>
      </w:r>
      <m:oMath>
        <m:sSub>
          <m:sSubPr>
            <m:ctrlPr>
              <w:rPr>
                <w:rFonts w:ascii="Cambria Math" w:hAnsi="Cambria Math" w:cs="宋体"/>
                <w:i/>
                <w:szCs w:val="21"/>
              </w:rPr>
            </m:ctrlPr>
          </m:sSubPr>
          <m:e>
            <m:r>
              <m:rPr/>
              <w:rPr>
                <w:rFonts w:ascii="Cambria Math" w:hAnsi="Cambria Math" w:cs="宋体"/>
                <w:szCs w:val="21"/>
              </w:rPr>
              <m:t>a</m:t>
            </m:r>
            <m:ctrlPr>
              <w:rPr>
                <w:rFonts w:ascii="Cambria Math" w:hAnsi="Cambria Math" w:cs="宋体"/>
                <w:i/>
                <w:szCs w:val="21"/>
              </w:rPr>
            </m:ctrlPr>
          </m:e>
          <m:sub>
            <m:r>
              <m:rPr/>
              <w:rPr>
                <w:rFonts w:ascii="Cambria Math" w:hAnsi="Cambria Math" w:cs="宋体"/>
                <w:szCs w:val="21"/>
              </w:rPr>
              <m:t>i</m:t>
            </m:r>
            <m:ctrlPr>
              <w:rPr>
                <w:rFonts w:ascii="Cambria Math" w:hAnsi="Cambria Math" w:cs="宋体"/>
                <w:i/>
                <w:szCs w:val="21"/>
              </w:rPr>
            </m:ctrlPr>
          </m:sub>
        </m:sSub>
      </m:oMath>
      <w:r>
        <w:rPr>
          <w:rFonts w:hint="eastAsia" w:ascii="宋体" w:hAnsi="宋体" w:cs="宋体"/>
          <w:szCs w:val="21"/>
        </w:rPr>
        <w:t>是考核方式</w:t>
      </w:r>
      <m:oMath>
        <m:r>
          <m:rPr>
            <m:sty m:val="p"/>
          </m:rPr>
          <w:rPr>
            <w:rFonts w:ascii="Cambria Math" w:hAnsi="Cambria Math" w:cs="宋体"/>
            <w:szCs w:val="21"/>
          </w:rPr>
          <m:t>i</m:t>
        </m:r>
      </m:oMath>
      <w:r>
        <w:rPr>
          <w:rFonts w:hint="eastAsia" w:ascii="宋体" w:hAnsi="宋体" w:cs="宋体"/>
          <w:szCs w:val="21"/>
        </w:rPr>
        <w:t>的平均得分，</w:t>
      </w:r>
      <m:oMath>
        <m:sSub>
          <m:sSubPr>
            <m:ctrlPr>
              <w:rPr>
                <w:rFonts w:ascii="Cambria Math" w:hAnsi="Cambria Math" w:cs="宋体"/>
                <w:i/>
                <w:szCs w:val="21"/>
              </w:rPr>
            </m:ctrlPr>
          </m:sSubPr>
          <m:e>
            <m:r>
              <m:rPr/>
              <w:rPr>
                <w:rFonts w:ascii="Cambria Math" w:hAnsi="Cambria Math" w:cs="宋体"/>
                <w:szCs w:val="21"/>
              </w:rPr>
              <m:t>t</m:t>
            </m:r>
            <m:ctrlPr>
              <w:rPr>
                <w:rFonts w:ascii="Cambria Math" w:hAnsi="Cambria Math" w:cs="宋体"/>
                <w:i/>
                <w:szCs w:val="21"/>
              </w:rPr>
            </m:ctrlPr>
          </m:e>
          <m:sub>
            <m:r>
              <m:rPr/>
              <w:rPr>
                <w:rFonts w:ascii="Cambria Math" w:hAnsi="Cambria Math" w:cs="宋体"/>
                <w:szCs w:val="21"/>
              </w:rPr>
              <m:t>i</m:t>
            </m:r>
            <m:ctrlPr>
              <w:rPr>
                <w:rFonts w:ascii="Cambria Math" w:hAnsi="Cambria Math" w:cs="宋体"/>
                <w:i/>
                <w:szCs w:val="21"/>
              </w:rPr>
            </m:ctrlPr>
          </m:sub>
        </m:sSub>
      </m:oMath>
      <w:r>
        <w:rPr>
          <w:rFonts w:hint="eastAsia" w:ascii="宋体" w:hAnsi="宋体" w:cs="宋体"/>
          <w:szCs w:val="21"/>
        </w:rPr>
        <w:t>是考核方式</w:t>
      </w:r>
      <m:oMath>
        <m:r>
          <m:rPr>
            <m:sty m:val="p"/>
          </m:rPr>
          <w:rPr>
            <w:rFonts w:ascii="Cambria Math" w:hAnsi="Cambria Math" w:cs="宋体"/>
            <w:szCs w:val="21"/>
          </w:rPr>
          <m:t>i</m:t>
        </m:r>
      </m:oMath>
      <w:r>
        <w:rPr>
          <w:rFonts w:hint="eastAsia" w:ascii="宋体" w:hAnsi="宋体" w:cs="宋体"/>
          <w:szCs w:val="21"/>
        </w:rPr>
        <w:t>的目标总分，</w:t>
      </w:r>
      <m:oMath>
        <m:sSub>
          <m:sSubPr>
            <m:ctrlPr>
              <w:rPr>
                <w:rFonts w:ascii="Cambria Math" w:hAnsi="Cambria Math" w:cs="宋体"/>
                <w:i/>
                <w:szCs w:val="21"/>
              </w:rPr>
            </m:ctrlPr>
          </m:sSubPr>
          <m:e>
            <m:r>
              <m:rPr/>
              <w:rPr>
                <w:rFonts w:ascii="Cambria Math" w:hAnsi="Cambria Math" w:cs="宋体"/>
                <w:szCs w:val="21"/>
              </w:rPr>
              <m:t>p</m:t>
            </m:r>
            <m:ctrlPr>
              <w:rPr>
                <w:rFonts w:ascii="Cambria Math" w:hAnsi="Cambria Math" w:cs="宋体"/>
                <w:i/>
                <w:szCs w:val="21"/>
              </w:rPr>
            </m:ctrlPr>
          </m:e>
          <m:sub>
            <m:r>
              <m:rPr/>
              <w:rPr>
                <w:rFonts w:ascii="Cambria Math" w:hAnsi="Cambria Math" w:cs="宋体"/>
                <w:szCs w:val="21"/>
              </w:rPr>
              <m:t>i</m:t>
            </m:r>
            <m:ctrlPr>
              <w:rPr>
                <w:rFonts w:ascii="Cambria Math" w:hAnsi="Cambria Math" w:cs="宋体"/>
                <w:i/>
                <w:szCs w:val="21"/>
              </w:rPr>
            </m:ctrlPr>
          </m:sub>
        </m:sSub>
      </m:oMath>
      <w:r>
        <w:rPr>
          <w:rFonts w:hint="eastAsia" w:ascii="宋体" w:hAnsi="宋体" w:cs="宋体"/>
          <w:szCs w:val="21"/>
        </w:rPr>
        <w:t>是考核方式</w:t>
      </w:r>
      <m:oMath>
        <m:r>
          <m:rPr>
            <m:sty m:val="p"/>
          </m:rPr>
          <w:rPr>
            <w:rFonts w:ascii="Cambria Math" w:hAnsi="Cambria Math" w:cs="宋体"/>
            <w:szCs w:val="21"/>
          </w:rPr>
          <m:t>i</m:t>
        </m:r>
      </m:oMath>
      <w:r>
        <w:rPr>
          <w:rFonts w:hint="eastAsia" w:hAnsi="Cambria Math" w:cs="宋体"/>
          <w:szCs w:val="21"/>
        </w:rPr>
        <w:t>支撑课程目标</w:t>
      </w:r>
      <m:oMath>
        <m:r>
          <m:rPr>
            <m:sty m:val="p"/>
          </m:rPr>
          <w:rPr>
            <w:rFonts w:ascii="Cambria Math" w:hAnsi="Cambria Math" w:cs="宋体"/>
            <w:szCs w:val="21"/>
          </w:rPr>
          <m:t>j</m:t>
        </m:r>
      </m:oMath>
      <w:r>
        <w:rPr>
          <w:rFonts w:hint="eastAsia" w:ascii="宋体" w:hAnsi="宋体" w:cs="宋体"/>
          <w:szCs w:val="21"/>
        </w:rPr>
        <w:t>的权重。</w:t>
      </w:r>
    </w:p>
    <w:p w14:paraId="04106ACD">
      <w:pPr>
        <w:spacing w:line="400" w:lineRule="exact"/>
        <w:ind w:firstLine="422" w:firstLineChars="200"/>
        <w:rPr>
          <w:rFonts w:hint="eastAsia" w:ascii="宋体" w:hAnsi="宋体" w:cs="宋体"/>
          <w:b/>
          <w:bCs/>
          <w:szCs w:val="21"/>
        </w:rPr>
      </w:pPr>
      <w:r>
        <w:rPr>
          <w:rFonts w:hint="eastAsia" w:ascii="宋体" w:hAnsi="宋体" w:cs="宋体"/>
          <w:b/>
          <w:bCs/>
          <w:szCs w:val="21"/>
        </w:rPr>
        <w:t>（二）修课学生调查问卷法</w:t>
      </w:r>
    </w:p>
    <w:p w14:paraId="317E792E">
      <w:pPr>
        <w:spacing w:line="400" w:lineRule="exact"/>
        <w:ind w:firstLine="420" w:firstLineChars="200"/>
        <w:rPr>
          <w:rFonts w:hint="eastAsia" w:ascii="宋体" w:hAnsi="宋体" w:cs="宋体"/>
          <w:szCs w:val="21"/>
        </w:rPr>
      </w:pPr>
      <w:r>
        <w:rPr>
          <w:rFonts w:hint="eastAsia" w:ascii="宋体" w:hAnsi="宋体" w:cs="宋体"/>
          <w:szCs w:val="21"/>
        </w:rPr>
        <w:t>针对课程的每一个课程目标</w:t>
      </w:r>
      <m:oMath>
        <m:r>
          <m:rPr>
            <m:sty m:val="p"/>
          </m:rPr>
          <w:rPr>
            <w:rFonts w:ascii="Cambria Math" w:hAnsi="Cambria Math" w:cs="宋体"/>
            <w:szCs w:val="21"/>
          </w:rPr>
          <m:t>j</m:t>
        </m:r>
      </m:oMath>
      <w:r>
        <w:rPr>
          <w:rFonts w:hint="eastAsia" w:ascii="宋体" w:hAnsi="宋体" w:cs="宋体"/>
          <w:szCs w:val="21"/>
        </w:rPr>
        <w:t>，分别统计课程目标达成情况（很好、好、一般、差、很差）的调查问卷份数，每种达成情况的量化值分别为5、4、3、2、1，利用下面公式计算课程目标</w:t>
      </w:r>
      <m:oMath>
        <m:r>
          <m:rPr>
            <m:sty m:val="p"/>
          </m:rPr>
          <w:rPr>
            <w:rFonts w:ascii="Cambria Math" w:hAnsi="Cambria Math" w:cs="宋体"/>
            <w:szCs w:val="21"/>
          </w:rPr>
          <m:t>j</m:t>
        </m:r>
      </m:oMath>
      <w:r>
        <w:rPr>
          <w:rFonts w:hint="eastAsia" w:hAnsi="Cambria Math" w:cs="宋体"/>
          <w:szCs w:val="21"/>
        </w:rPr>
        <w:t>的</w:t>
      </w:r>
      <w:r>
        <w:rPr>
          <w:rFonts w:hint="eastAsia" w:ascii="宋体" w:hAnsi="宋体" w:cs="宋体"/>
          <w:szCs w:val="21"/>
        </w:rPr>
        <w:t>达成情况的调查问卷评价值：</w:t>
      </w:r>
    </w:p>
    <w:p w14:paraId="68600420">
      <w:pPr>
        <w:ind w:firstLine="420" w:firstLineChars="200"/>
        <w:rPr>
          <w:rFonts w:hint="eastAsia" w:ascii="宋体" w:hAnsi="宋体" w:cs="宋体"/>
          <w:szCs w:val="21"/>
        </w:rPr>
      </w:pPr>
      <m:oMathPara>
        <m:oMath>
          <m:sSub>
            <m:sSubPr>
              <m:ctrlPr>
                <w:rPr>
                  <w:rFonts w:ascii="Cambria Math" w:hAnsi="Cambria Math" w:cs="宋体"/>
                  <w:i/>
                  <w:szCs w:val="21"/>
                </w:rPr>
              </m:ctrlPr>
            </m:sSubPr>
            <m:e>
              <m:r>
                <m:rPr/>
                <w:rPr>
                  <w:rFonts w:ascii="Cambria Math" w:hAnsi="Cambria Math" w:cs="宋体"/>
                  <w:szCs w:val="21"/>
                </w:rPr>
                <m:t>D</m:t>
              </m:r>
              <m:ctrlPr>
                <w:rPr>
                  <w:rFonts w:ascii="Cambria Math" w:hAnsi="Cambria Math" w:cs="宋体"/>
                  <w:i/>
                  <w:szCs w:val="21"/>
                </w:rPr>
              </m:ctrlPr>
            </m:e>
            <m:sub>
              <m:r>
                <m:rPr/>
                <w:rPr>
                  <w:rFonts w:ascii="Cambria Math" w:hAnsi="Cambria Math" w:cs="宋体"/>
                  <w:szCs w:val="21"/>
                </w:rPr>
                <m:t>j_w</m:t>
              </m:r>
              <m:ctrlPr>
                <w:rPr>
                  <w:rFonts w:ascii="Cambria Math" w:hAnsi="Cambria Math" w:cs="宋体"/>
                  <w:i/>
                  <w:szCs w:val="21"/>
                </w:rPr>
              </m:ctrlPr>
            </m:sub>
          </m:sSub>
          <m:r>
            <m:rPr/>
            <w:rPr>
              <w:rFonts w:ascii="Cambria Math" w:hAnsi="Cambria Math" w:cs="宋体"/>
              <w:szCs w:val="21"/>
            </w:rPr>
            <m:t>=</m:t>
          </m:r>
          <m:f>
            <m:fPr>
              <m:ctrlPr>
                <w:rPr>
                  <w:rFonts w:ascii="Cambria Math" w:hAnsi="Cambria Math" w:cs="宋体"/>
                  <w:i/>
                  <w:szCs w:val="21"/>
                </w:rPr>
              </m:ctrlPr>
            </m:fPr>
            <m:num>
              <m:nary>
                <m:naryPr>
                  <m:chr m:val="∑"/>
                  <m:limLoc m:val="undOvr"/>
                  <m:ctrlPr>
                    <w:rPr>
                      <w:rFonts w:ascii="Cambria Math" w:hAnsi="Cambria Math" w:cs="宋体"/>
                      <w:i/>
                      <w:szCs w:val="21"/>
                    </w:rPr>
                  </m:ctrlPr>
                </m:naryPr>
                <m:sub>
                  <m:r>
                    <m:rPr/>
                    <w:rPr>
                      <w:rFonts w:ascii="Cambria Math" w:hAnsi="Cambria Math" w:cs="宋体"/>
                      <w:szCs w:val="21"/>
                    </w:rPr>
                    <m:t>i=1</m:t>
                  </m:r>
                  <m:ctrlPr>
                    <w:rPr>
                      <w:rFonts w:ascii="Cambria Math" w:hAnsi="Cambria Math" w:cs="宋体"/>
                      <w:i/>
                      <w:szCs w:val="21"/>
                    </w:rPr>
                  </m:ctrlPr>
                </m:sub>
                <m:sup>
                  <m:r>
                    <m:rPr/>
                    <w:rPr>
                      <w:rFonts w:ascii="Cambria Math" w:hAnsi="Cambria Math" w:cs="宋体"/>
                      <w:szCs w:val="21"/>
                    </w:rPr>
                    <m:t>5</m:t>
                  </m:r>
                  <m:ctrlPr>
                    <w:rPr>
                      <w:rFonts w:ascii="Cambria Math" w:hAnsi="Cambria Math" w:cs="宋体"/>
                      <w:i/>
                      <w:szCs w:val="21"/>
                    </w:rPr>
                  </m:ctrlPr>
                </m:sup>
                <m:e>
                  <m:sSub>
                    <m:sSubPr>
                      <m:ctrlPr>
                        <w:rPr>
                          <w:rFonts w:ascii="Cambria Math" w:hAnsi="Cambria Math" w:cs="宋体"/>
                          <w:i/>
                          <w:szCs w:val="21"/>
                        </w:rPr>
                      </m:ctrlPr>
                    </m:sSubPr>
                    <m:e>
                      <m:r>
                        <m:rPr/>
                        <w:rPr>
                          <w:rFonts w:ascii="Cambria Math" w:hAnsi="Cambria Math" w:cs="宋体"/>
                          <w:szCs w:val="21"/>
                        </w:rPr>
                        <m:t>x</m:t>
                      </m:r>
                      <m:ctrlPr>
                        <w:rPr>
                          <w:rFonts w:ascii="Cambria Math" w:hAnsi="Cambria Math" w:cs="宋体"/>
                          <w:i/>
                          <w:szCs w:val="21"/>
                        </w:rPr>
                      </m:ctrlPr>
                    </m:e>
                    <m:sub>
                      <m:r>
                        <m:rPr/>
                        <w:rPr>
                          <w:rFonts w:ascii="Cambria Math" w:hAnsi="Cambria Math" w:cs="宋体"/>
                          <w:szCs w:val="21"/>
                        </w:rPr>
                        <m:t>i</m:t>
                      </m:r>
                      <m:ctrlPr>
                        <w:rPr>
                          <w:rFonts w:ascii="Cambria Math" w:hAnsi="Cambria Math" w:cs="宋体"/>
                          <w:i/>
                          <w:szCs w:val="21"/>
                        </w:rPr>
                      </m:ctrlPr>
                    </m:sub>
                  </m:sSub>
                  <m:r>
                    <m:rPr/>
                    <w:rPr>
                      <w:rFonts w:ascii="Cambria Math" w:hAnsi="Cambria Math" w:cs="宋体"/>
                      <w:szCs w:val="21"/>
                    </w:rPr>
                    <m:t>×i</m:t>
                  </m:r>
                  <m:ctrlPr>
                    <w:rPr>
                      <w:rFonts w:ascii="Cambria Math" w:hAnsi="Cambria Math" w:cs="宋体"/>
                      <w:i/>
                      <w:szCs w:val="21"/>
                    </w:rPr>
                  </m:ctrlPr>
                </m:e>
              </m:nary>
              <m:ctrlPr>
                <w:rPr>
                  <w:rFonts w:ascii="Cambria Math" w:hAnsi="Cambria Math" w:cs="宋体"/>
                  <w:i/>
                  <w:szCs w:val="21"/>
                </w:rPr>
              </m:ctrlPr>
            </m:num>
            <m:den>
              <m:nary>
                <m:naryPr>
                  <m:chr m:val="∑"/>
                  <m:limLoc m:val="undOvr"/>
                  <m:ctrlPr>
                    <w:rPr>
                      <w:rFonts w:ascii="Cambria Math" w:hAnsi="Cambria Math" w:cs="宋体"/>
                      <w:i/>
                      <w:szCs w:val="21"/>
                    </w:rPr>
                  </m:ctrlPr>
                </m:naryPr>
                <m:sub>
                  <m:r>
                    <m:rPr/>
                    <w:rPr>
                      <w:rFonts w:ascii="Cambria Math" w:hAnsi="Cambria Math" w:cs="宋体"/>
                      <w:szCs w:val="21"/>
                    </w:rPr>
                    <m:t>i=1</m:t>
                  </m:r>
                  <m:ctrlPr>
                    <w:rPr>
                      <w:rFonts w:ascii="Cambria Math" w:hAnsi="Cambria Math" w:cs="宋体"/>
                      <w:i/>
                      <w:szCs w:val="21"/>
                    </w:rPr>
                  </m:ctrlPr>
                </m:sub>
                <m:sup>
                  <m:r>
                    <m:rPr/>
                    <w:rPr>
                      <w:rFonts w:ascii="Cambria Math" w:hAnsi="Cambria Math" w:cs="宋体"/>
                      <w:szCs w:val="21"/>
                    </w:rPr>
                    <m:t>5</m:t>
                  </m:r>
                  <m:ctrlPr>
                    <w:rPr>
                      <w:rFonts w:ascii="Cambria Math" w:hAnsi="Cambria Math" w:cs="宋体"/>
                      <w:i/>
                      <w:szCs w:val="21"/>
                    </w:rPr>
                  </m:ctrlPr>
                </m:sup>
                <m:e>
                  <m:sSub>
                    <m:sSubPr>
                      <m:ctrlPr>
                        <w:rPr>
                          <w:rFonts w:ascii="Cambria Math" w:hAnsi="Cambria Math" w:cs="宋体"/>
                          <w:i/>
                          <w:szCs w:val="21"/>
                        </w:rPr>
                      </m:ctrlPr>
                    </m:sSubPr>
                    <m:e>
                      <m:r>
                        <m:rPr/>
                        <w:rPr>
                          <w:rFonts w:ascii="Cambria Math" w:hAnsi="Cambria Math" w:cs="宋体"/>
                          <w:szCs w:val="21"/>
                        </w:rPr>
                        <m:t>x</m:t>
                      </m:r>
                      <m:ctrlPr>
                        <w:rPr>
                          <w:rFonts w:ascii="Cambria Math" w:hAnsi="Cambria Math" w:cs="宋体"/>
                          <w:i/>
                          <w:szCs w:val="21"/>
                        </w:rPr>
                      </m:ctrlPr>
                    </m:e>
                    <m:sub>
                      <m:r>
                        <m:rPr/>
                        <w:rPr>
                          <w:rFonts w:ascii="Cambria Math" w:hAnsi="Cambria Math" w:cs="宋体"/>
                          <w:szCs w:val="21"/>
                        </w:rPr>
                        <m:t>i</m:t>
                      </m:r>
                      <m:ctrlPr>
                        <w:rPr>
                          <w:rFonts w:ascii="Cambria Math" w:hAnsi="Cambria Math" w:cs="宋体"/>
                          <w:i/>
                          <w:szCs w:val="21"/>
                        </w:rPr>
                      </m:ctrlPr>
                    </m:sub>
                  </m:sSub>
                  <m:ctrlPr>
                    <w:rPr>
                      <w:rFonts w:ascii="Cambria Math" w:hAnsi="Cambria Math" w:cs="宋体"/>
                      <w:i/>
                      <w:szCs w:val="21"/>
                    </w:rPr>
                  </m:ctrlPr>
                </m:e>
              </m:nary>
              <m:ctrlPr>
                <w:rPr>
                  <w:rFonts w:ascii="Cambria Math" w:hAnsi="Cambria Math" w:cs="宋体"/>
                  <w:i/>
                  <w:szCs w:val="21"/>
                </w:rPr>
              </m:ctrlPr>
            </m:den>
          </m:f>
          <m:r>
            <m:rPr/>
            <w:rPr>
              <w:rFonts w:ascii="Cambria Math" w:hAnsi="Cambria Math" w:cs="宋体"/>
              <w:szCs w:val="21"/>
            </w:rPr>
            <m:t>/5</m:t>
          </m:r>
        </m:oMath>
      </m:oMathPara>
    </w:p>
    <w:p w14:paraId="472ABDA6">
      <w:pPr>
        <w:spacing w:line="400" w:lineRule="exact"/>
        <w:ind w:firstLine="420" w:firstLineChars="200"/>
        <w:rPr>
          <w:rFonts w:hint="eastAsia" w:ascii="黑体" w:hAnsi="黑体" w:eastAsia="黑体"/>
          <w:sz w:val="24"/>
        </w:rPr>
      </w:pPr>
      <w:r>
        <w:rPr>
          <w:rFonts w:hint="eastAsia" w:ascii="宋体" w:hAnsi="宋体" w:cs="宋体"/>
          <w:szCs w:val="21"/>
        </w:rPr>
        <w:t>其中，</w:t>
      </w:r>
      <m:oMath>
        <m:r>
          <m:rPr>
            <m:sty m:val="p"/>
          </m:rPr>
          <w:rPr>
            <w:rFonts w:ascii="Cambria Math" w:hAnsi="Cambria Math" w:cs="宋体"/>
            <w:szCs w:val="21"/>
          </w:rPr>
          <m:t>i</m:t>
        </m:r>
      </m:oMath>
      <w:r>
        <w:rPr>
          <w:rFonts w:hint="eastAsia" w:ascii="宋体" w:hAnsi="宋体" w:cs="宋体"/>
          <w:szCs w:val="21"/>
        </w:rPr>
        <w:t>表示课程目标</w:t>
      </w:r>
      <m:oMath>
        <m:r>
          <m:rPr>
            <m:sty m:val="p"/>
          </m:rPr>
          <w:rPr>
            <w:rFonts w:ascii="Cambria Math" w:hAnsi="Cambria Math" w:cs="宋体"/>
            <w:szCs w:val="21"/>
          </w:rPr>
          <m:t>j</m:t>
        </m:r>
      </m:oMath>
      <w:r>
        <w:rPr>
          <w:rFonts w:hint="eastAsia" w:ascii="宋体" w:hAnsi="宋体" w:cs="宋体"/>
          <w:szCs w:val="21"/>
        </w:rPr>
        <w:t>达成情况的量化值,</w:t>
      </w:r>
      <m:oMath>
        <m:sSub>
          <m:sSubPr>
            <m:ctrlPr>
              <w:rPr>
                <w:rFonts w:ascii="Cambria Math" w:hAnsi="Cambria Math" w:cs="宋体"/>
                <w:i/>
                <w:szCs w:val="21"/>
              </w:rPr>
            </m:ctrlPr>
          </m:sSubPr>
          <m:e>
            <m:r>
              <m:rPr/>
              <w:rPr>
                <w:rFonts w:ascii="Cambria Math" w:hAnsi="Cambria Math" w:cs="宋体"/>
                <w:szCs w:val="21"/>
              </w:rPr>
              <m:t>x</m:t>
            </m:r>
            <m:ctrlPr>
              <w:rPr>
                <w:rFonts w:ascii="Cambria Math" w:hAnsi="Cambria Math" w:cs="宋体"/>
                <w:i/>
                <w:szCs w:val="21"/>
              </w:rPr>
            </m:ctrlPr>
          </m:e>
          <m:sub>
            <m:r>
              <m:rPr/>
              <w:rPr>
                <w:rFonts w:ascii="Cambria Math" w:hAnsi="Cambria Math" w:cs="宋体"/>
                <w:szCs w:val="21"/>
              </w:rPr>
              <m:t>i</m:t>
            </m:r>
            <m:ctrlPr>
              <w:rPr>
                <w:rFonts w:ascii="Cambria Math" w:hAnsi="Cambria Math" w:cs="宋体"/>
                <w:i/>
                <w:szCs w:val="21"/>
              </w:rPr>
            </m:ctrlPr>
          </m:sub>
        </m:sSub>
      </m:oMath>
      <w:r>
        <w:rPr>
          <w:rFonts w:hint="eastAsia" w:hAnsi="Cambria Math" w:cs="宋体"/>
          <w:szCs w:val="21"/>
        </w:rPr>
        <w:t>表示课程目标</w:t>
      </w:r>
      <m:oMath>
        <m:r>
          <m:rPr>
            <m:sty m:val="p"/>
          </m:rPr>
          <w:rPr>
            <w:rFonts w:ascii="Cambria Math" w:hAnsi="Cambria Math" w:cs="宋体"/>
            <w:szCs w:val="21"/>
          </w:rPr>
          <m:t>j</m:t>
        </m:r>
      </m:oMath>
      <w:r>
        <w:rPr>
          <w:rFonts w:hint="eastAsia" w:hAnsi="Cambria Math" w:cs="宋体"/>
          <w:szCs w:val="21"/>
        </w:rPr>
        <w:t>达成情况等级的</w:t>
      </w:r>
      <w:r>
        <w:rPr>
          <w:rFonts w:hint="eastAsia" w:ascii="宋体" w:hAnsi="宋体" w:cs="宋体"/>
          <w:szCs w:val="21"/>
        </w:rPr>
        <w:t>调查问卷份数。</w:t>
      </w:r>
    </w:p>
    <w:p w14:paraId="657001FA">
      <w:pPr>
        <w:spacing w:before="156" w:beforeLines="50" w:after="156" w:afterLines="50"/>
        <w:rPr>
          <w:rFonts w:hint="eastAsia" w:ascii="黑体" w:hAnsi="黑体" w:eastAsia="黑体"/>
          <w:b/>
          <w:bCs/>
          <w:sz w:val="24"/>
        </w:rPr>
      </w:pPr>
      <w:r>
        <w:rPr>
          <w:rFonts w:hint="eastAsia" w:ascii="黑体" w:hAnsi="黑体" w:eastAsia="黑体"/>
          <w:b/>
          <w:bCs/>
          <w:sz w:val="24"/>
        </w:rPr>
        <w:t>八、参考书目</w:t>
      </w:r>
    </w:p>
    <w:p w14:paraId="533DBC2B">
      <w:pPr>
        <w:widowControl/>
        <w:shd w:val="clear" w:color="auto" w:fill="FFFFFF"/>
        <w:spacing w:line="300" w:lineRule="auto"/>
        <w:rPr>
          <w:rFonts w:ascii="Times New Roman" w:hAnsi="Times New Roman"/>
          <w:szCs w:val="24"/>
        </w:rPr>
      </w:pPr>
      <w:r>
        <w:rPr>
          <w:rFonts w:hint="eastAsia" w:ascii="Times New Roman" w:hAnsi="Times New Roman"/>
          <w:szCs w:val="24"/>
        </w:rPr>
        <w:t>[1] 钟林森，罗剑. Spring Boot企业级项目开发——入门到精通[M].武汉:华中科技大学出版社,2020.</w:t>
      </w:r>
    </w:p>
    <w:p w14:paraId="630236D2">
      <w:pPr>
        <w:widowControl/>
        <w:shd w:val="clear" w:color="auto" w:fill="FFFFFF"/>
        <w:spacing w:line="300" w:lineRule="auto"/>
        <w:rPr>
          <w:rFonts w:ascii="Times New Roman" w:hAnsi="Times New Roman"/>
          <w:szCs w:val="24"/>
        </w:rPr>
      </w:pPr>
      <w:r>
        <w:rPr>
          <w:rFonts w:hint="eastAsia" w:ascii="Times New Roman" w:hAnsi="Times New Roman"/>
          <w:bCs/>
          <w:szCs w:val="24"/>
        </w:rPr>
        <w:t xml:space="preserve">[2] </w:t>
      </w:r>
      <w:r>
        <w:rPr>
          <w:rFonts w:ascii="Times New Roman" w:hAnsi="Times New Roman"/>
          <w:bCs/>
          <w:szCs w:val="24"/>
        </w:rPr>
        <w:t>肖睿</w:t>
      </w:r>
      <w:r>
        <w:rPr>
          <w:rFonts w:hint="eastAsia" w:ascii="Times New Roman" w:hAnsi="Times New Roman"/>
          <w:bCs/>
          <w:szCs w:val="24"/>
        </w:rPr>
        <w:t xml:space="preserve">. </w:t>
      </w:r>
      <w:r>
        <w:rPr>
          <w:rFonts w:ascii="Times New Roman" w:hAnsi="Times New Roman"/>
          <w:bCs/>
          <w:szCs w:val="24"/>
        </w:rPr>
        <w:t>Vue 企业开发实战</w:t>
      </w:r>
      <w:r>
        <w:rPr>
          <w:rFonts w:hint="eastAsia" w:ascii="Times New Roman" w:hAnsi="Times New Roman"/>
          <w:bCs/>
          <w:szCs w:val="24"/>
        </w:rPr>
        <w:t xml:space="preserve"> [M]. 清华大学出版社, 2018.</w:t>
      </w:r>
    </w:p>
    <w:p w14:paraId="79D907FA">
      <w:pPr>
        <w:pStyle w:val="2"/>
        <w:keepNext w:val="0"/>
        <w:keepLines w:val="0"/>
        <w:widowControl/>
        <w:shd w:val="clear" w:color="auto" w:fill="FFFFFF"/>
        <w:spacing w:before="0" w:after="0" w:line="240" w:lineRule="atLeast"/>
        <w:rPr>
          <w:rFonts w:ascii="Times New Roman" w:hAnsi="Times New Roman"/>
          <w:b w:val="0"/>
          <w:bCs w:val="0"/>
          <w:kern w:val="2"/>
          <w:sz w:val="21"/>
          <w:szCs w:val="24"/>
        </w:rPr>
      </w:pPr>
      <w:r>
        <w:rPr>
          <w:rFonts w:hint="eastAsia" w:ascii="Times New Roman" w:hAnsi="Times New Roman"/>
          <w:b w:val="0"/>
          <w:bCs w:val="0"/>
          <w:kern w:val="2"/>
          <w:sz w:val="21"/>
          <w:szCs w:val="24"/>
        </w:rPr>
        <w:t xml:space="preserve">[3] 李刚. </w:t>
      </w:r>
      <w:r>
        <w:rPr>
          <w:rFonts w:ascii="Times New Roman" w:hAnsi="Times New Roman"/>
          <w:b w:val="0"/>
          <w:bCs w:val="0"/>
          <w:kern w:val="2"/>
          <w:sz w:val="21"/>
          <w:szCs w:val="24"/>
        </w:rPr>
        <w:t>轻量级Java Web企业应用实战――Spring MVC Spring MyBatis整合开发</w:t>
      </w:r>
      <w:r>
        <w:rPr>
          <w:rFonts w:hint="eastAsia" w:ascii="Times New Roman" w:hAnsi="Times New Roman"/>
          <w:b w:val="0"/>
          <w:bCs w:val="0"/>
          <w:kern w:val="2"/>
          <w:sz w:val="21"/>
          <w:szCs w:val="24"/>
        </w:rPr>
        <w:t>[M]. 北京：电子工业出版社, 2020.</w:t>
      </w:r>
    </w:p>
    <w:p w14:paraId="6DAB2ECF">
      <w:pPr>
        <w:pStyle w:val="2"/>
        <w:keepNext w:val="0"/>
        <w:keepLines w:val="0"/>
        <w:widowControl/>
        <w:shd w:val="clear" w:color="auto" w:fill="FFFFFF"/>
        <w:spacing w:before="0" w:after="0" w:line="240" w:lineRule="atLeast"/>
        <w:rPr>
          <w:rFonts w:ascii="Times New Roman" w:hAnsi="Times New Roman"/>
          <w:b w:val="0"/>
          <w:bCs w:val="0"/>
          <w:kern w:val="2"/>
          <w:sz w:val="21"/>
          <w:szCs w:val="24"/>
        </w:rPr>
      </w:pPr>
      <w:r>
        <w:rPr>
          <w:rFonts w:hint="eastAsia" w:ascii="Times New Roman" w:hAnsi="Times New Roman"/>
          <w:b w:val="0"/>
          <w:bCs w:val="0"/>
          <w:kern w:val="2"/>
          <w:sz w:val="21"/>
          <w:szCs w:val="24"/>
        </w:rPr>
        <w:t xml:space="preserve">[4] </w:t>
      </w:r>
      <w:r>
        <w:fldChar w:fldCharType="begin"/>
      </w:r>
      <w:r>
        <w:instrText xml:space="preserve"> HYPERLINK "http://search.dangdang.com/?key2=%C2%C0%B9%FA%D3%A2&amp;medium=01&amp;category_path=01.00.00.00.00.00" \t "http://product.dangdang.com/_blank" </w:instrText>
      </w:r>
      <w:r>
        <w:fldChar w:fldCharType="separate"/>
      </w:r>
      <w:r>
        <w:rPr>
          <w:rFonts w:ascii="Times New Roman" w:hAnsi="Times New Roman"/>
          <w:b w:val="0"/>
          <w:bCs w:val="0"/>
          <w:kern w:val="2"/>
          <w:sz w:val="21"/>
          <w:szCs w:val="24"/>
        </w:rPr>
        <w:t>吕鸣</w:t>
      </w:r>
      <w:r>
        <w:rPr>
          <w:rFonts w:ascii="Times New Roman" w:hAnsi="Times New Roman"/>
          <w:b w:val="0"/>
          <w:bCs w:val="0"/>
          <w:kern w:val="2"/>
          <w:sz w:val="21"/>
          <w:szCs w:val="24"/>
        </w:rPr>
        <w:fldChar w:fldCharType="end"/>
      </w:r>
      <w:r>
        <w:rPr>
          <w:rFonts w:hint="eastAsia" w:ascii="Times New Roman" w:hAnsi="Times New Roman"/>
          <w:b w:val="0"/>
          <w:bCs w:val="0"/>
          <w:kern w:val="2"/>
          <w:sz w:val="21"/>
          <w:szCs w:val="24"/>
        </w:rPr>
        <w:t xml:space="preserve">. </w:t>
      </w:r>
      <w:r>
        <w:rPr>
          <w:rFonts w:ascii="Times New Roman" w:hAnsi="Times New Roman"/>
          <w:b w:val="0"/>
          <w:bCs w:val="0"/>
          <w:kern w:val="2"/>
          <w:sz w:val="21"/>
          <w:szCs w:val="24"/>
        </w:rPr>
        <w:t>HTML5移动Web+Vue.js应用开发实战</w:t>
      </w:r>
      <w:r>
        <w:rPr>
          <w:rFonts w:hint="eastAsia" w:ascii="Times New Roman" w:hAnsi="Times New Roman"/>
          <w:szCs w:val="24"/>
        </w:rPr>
        <w:t xml:space="preserve"> </w:t>
      </w:r>
      <w:r>
        <w:rPr>
          <w:rFonts w:hint="eastAsia" w:ascii="Times New Roman" w:hAnsi="Times New Roman"/>
          <w:b w:val="0"/>
          <w:bCs w:val="0"/>
          <w:kern w:val="2"/>
          <w:sz w:val="21"/>
          <w:szCs w:val="24"/>
        </w:rPr>
        <w:t>[M]. 北京：清华大学出版社, 2020.</w:t>
      </w:r>
    </w:p>
    <w:p w14:paraId="607C66CE">
      <w:pPr>
        <w:pStyle w:val="16"/>
        <w:ind w:firstLine="0" w:firstLineChars="0"/>
        <w:rPr>
          <w:rFonts w:ascii="Times New Roman" w:hAnsi="Times New Roman"/>
        </w:rPr>
      </w:pPr>
      <w:r>
        <w:rPr>
          <w:rFonts w:hint="eastAsia" w:ascii="Times New Roman" w:hAnsi="Times New Roman"/>
          <w:szCs w:val="24"/>
        </w:rPr>
        <w:t xml:space="preserve">[5] </w:t>
      </w:r>
      <w:r>
        <w:rPr>
          <w:rFonts w:hint="eastAsia" w:ascii="Times New Roman" w:hAnsi="Times New Roman"/>
        </w:rPr>
        <w:t>周红亮.</w:t>
      </w:r>
      <w:r>
        <w:rPr>
          <w:rFonts w:ascii="Times New Roman" w:hAnsi="Times New Roman"/>
        </w:rPr>
        <w:t>SpringBoot3核心技术与最佳实践</w:t>
      </w:r>
      <w:r>
        <w:rPr>
          <w:rFonts w:hint="eastAsia" w:ascii="Times New Roman" w:hAnsi="Times New Roman"/>
        </w:rPr>
        <w:t>[M]. </w:t>
      </w:r>
      <w:bookmarkStart w:id="5" w:name="P_cbs"/>
      <w:r>
        <w:rPr>
          <w:rFonts w:hint="eastAsia" w:ascii="Times New Roman" w:hAnsi="Times New Roman"/>
        </w:rPr>
        <w:t>北京：</w:t>
      </w:r>
      <w:bookmarkEnd w:id="5"/>
      <w:r>
        <w:rPr>
          <w:rFonts w:hint="eastAsia" w:ascii="Times New Roman" w:hAnsi="Times New Roman"/>
        </w:rPr>
        <w:t>电子工业出版社.2023.</w:t>
      </w:r>
    </w:p>
    <w:p w14:paraId="7F2A37C7"/>
    <w:tbl>
      <w:tblPr>
        <w:tblStyle w:val="8"/>
        <w:tblpPr w:leftFromText="180" w:rightFromText="180" w:vertAnchor="text" w:horzAnchor="page" w:tblpX="2336" w:tblpY="25"/>
        <w:tblOverlap w:val="never"/>
        <w:tblW w:w="0" w:type="auto"/>
        <w:tblInd w:w="0" w:type="dxa"/>
        <w:tblLayout w:type="fixed"/>
        <w:tblCellMar>
          <w:top w:w="0" w:type="dxa"/>
          <w:left w:w="108" w:type="dxa"/>
          <w:bottom w:w="0" w:type="dxa"/>
          <w:right w:w="108" w:type="dxa"/>
        </w:tblCellMar>
      </w:tblPr>
      <w:tblGrid>
        <w:gridCol w:w="3233"/>
        <w:gridCol w:w="2841"/>
        <w:gridCol w:w="2082"/>
      </w:tblGrid>
      <w:tr w14:paraId="21DF05D7">
        <w:tblPrEx>
          <w:tblCellMar>
            <w:top w:w="0" w:type="dxa"/>
            <w:left w:w="108" w:type="dxa"/>
            <w:bottom w:w="0" w:type="dxa"/>
            <w:right w:w="108" w:type="dxa"/>
          </w:tblCellMar>
        </w:tblPrEx>
        <w:trPr>
          <w:trHeight w:val="411" w:hRule="atLeast"/>
        </w:trPr>
        <w:tc>
          <w:tcPr>
            <w:tcW w:w="3233" w:type="dxa"/>
          </w:tcPr>
          <w:p w14:paraId="7A384852">
            <w:pPr>
              <w:rPr>
                <w:rFonts w:eastAsia="黑体"/>
                <w:b/>
              </w:rPr>
            </w:pPr>
            <w:r>
              <w:rPr>
                <w:rFonts w:hint="eastAsia" w:ascii="黑体" w:hAnsi="黑体" w:eastAsia="黑体"/>
                <w:szCs w:val="21"/>
              </w:rPr>
              <w:t>制订人：</w:t>
            </w:r>
            <w:r>
              <w:rPr>
                <w:rFonts w:ascii="宋体" w:hAnsi="宋体"/>
                <w:color w:val="000000"/>
                <w:szCs w:val="21"/>
              </w:rPr>
              <w:drawing>
                <wp:inline distT="0" distB="0" distL="0" distR="0">
                  <wp:extent cx="659130" cy="262890"/>
                  <wp:effectExtent l="0" t="0" r="7620" b="3810"/>
                  <wp:docPr id="1287495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95793"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675467" cy="269775"/>
                          </a:xfrm>
                          <a:prstGeom prst="rect">
                            <a:avLst/>
                          </a:prstGeom>
                          <a:noFill/>
                          <a:ln>
                            <a:noFill/>
                          </a:ln>
                        </pic:spPr>
                      </pic:pic>
                    </a:graphicData>
                  </a:graphic>
                </wp:inline>
              </w:drawing>
            </w:r>
          </w:p>
        </w:tc>
        <w:tc>
          <w:tcPr>
            <w:tcW w:w="2841" w:type="dxa"/>
          </w:tcPr>
          <w:p w14:paraId="2E00E5D6">
            <w:pPr>
              <w:rPr>
                <w:rFonts w:eastAsia="黑体"/>
                <w:b/>
              </w:rPr>
            </w:pPr>
            <w:r>
              <w:rPr>
                <w:rFonts w:hint="eastAsia" w:ascii="黑体" w:hAnsi="黑体" w:eastAsia="黑体"/>
                <w:szCs w:val="21"/>
              </w:rPr>
              <w:t>审订人：</w:t>
            </w:r>
            <w:r>
              <w:rPr>
                <w:rFonts w:ascii="黑体" w:hAnsi="黑体" w:eastAsia="黑体"/>
                <w:szCs w:val="21"/>
              </w:rPr>
              <w:drawing>
                <wp:inline distT="0" distB="0" distL="0" distR="0">
                  <wp:extent cx="618490" cy="275590"/>
                  <wp:effectExtent l="0" t="0" r="0" b="0"/>
                  <wp:docPr id="2001882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82155"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21277" cy="276909"/>
                          </a:xfrm>
                          <a:prstGeom prst="rect">
                            <a:avLst/>
                          </a:prstGeom>
                          <a:noFill/>
                        </pic:spPr>
                      </pic:pic>
                    </a:graphicData>
                  </a:graphic>
                </wp:inline>
              </w:drawing>
            </w:r>
          </w:p>
        </w:tc>
        <w:tc>
          <w:tcPr>
            <w:tcW w:w="2082" w:type="dxa"/>
          </w:tcPr>
          <w:p w14:paraId="45D53A16">
            <w:pPr>
              <w:rPr>
                <w:rFonts w:eastAsia="黑体"/>
                <w:b/>
              </w:rPr>
            </w:pPr>
            <w:r>
              <w:rPr>
                <w:rFonts w:hint="eastAsia" w:ascii="黑体" w:hAnsi="黑体" w:eastAsia="黑体"/>
                <w:szCs w:val="21"/>
              </w:rPr>
              <w:t>审批人：</w:t>
            </w:r>
            <w:r>
              <w:rPr>
                <w:rFonts w:ascii="黑体" w:hAnsi="黑体" w:eastAsia="黑体"/>
                <w:szCs w:val="21"/>
              </w:rPr>
              <w:drawing>
                <wp:inline distT="0" distB="0" distL="0" distR="0">
                  <wp:extent cx="597535" cy="237490"/>
                  <wp:effectExtent l="0" t="0" r="0" b="0"/>
                  <wp:docPr id="1885681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81894"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8375" cy="238134"/>
                          </a:xfrm>
                          <a:prstGeom prst="rect">
                            <a:avLst/>
                          </a:prstGeom>
                          <a:noFill/>
                        </pic:spPr>
                      </pic:pic>
                    </a:graphicData>
                  </a:graphic>
                </wp:inline>
              </w:drawing>
            </w:r>
          </w:p>
        </w:tc>
      </w:tr>
      <w:tr w14:paraId="607770FB">
        <w:tblPrEx>
          <w:tblCellMar>
            <w:top w:w="0" w:type="dxa"/>
            <w:left w:w="108" w:type="dxa"/>
            <w:bottom w:w="0" w:type="dxa"/>
            <w:right w:w="108" w:type="dxa"/>
          </w:tblCellMar>
        </w:tblPrEx>
        <w:tc>
          <w:tcPr>
            <w:tcW w:w="3233" w:type="dxa"/>
          </w:tcPr>
          <w:p w14:paraId="3FB1BE03">
            <w:pPr>
              <w:rPr>
                <w:rFonts w:eastAsia="黑体"/>
                <w:b/>
              </w:rPr>
            </w:pPr>
          </w:p>
        </w:tc>
        <w:tc>
          <w:tcPr>
            <w:tcW w:w="2841" w:type="dxa"/>
          </w:tcPr>
          <w:p w14:paraId="1BEBA2C5">
            <w:pPr>
              <w:rPr>
                <w:rFonts w:eastAsia="黑体"/>
                <w:b/>
              </w:rPr>
            </w:pPr>
          </w:p>
        </w:tc>
        <w:tc>
          <w:tcPr>
            <w:tcW w:w="2082" w:type="dxa"/>
          </w:tcPr>
          <w:p w14:paraId="58DC9B4A">
            <w:pPr>
              <w:jc w:val="right"/>
              <w:rPr>
                <w:rFonts w:eastAsia="黑体"/>
                <w:b/>
              </w:rPr>
            </w:pPr>
            <w:r>
              <w:rPr>
                <w:rFonts w:hint="eastAsia" w:ascii="黑体" w:hAnsi="宋体" w:eastAsia="黑体" w:cs="黑体"/>
                <w:szCs w:val="21"/>
              </w:rPr>
              <w:t>2023.08</w:t>
            </w:r>
          </w:p>
        </w:tc>
      </w:tr>
    </w:tbl>
    <w:p w14:paraId="253190FA">
      <w:pPr>
        <w:pStyle w:val="5"/>
      </w:pPr>
    </w:p>
    <w:p w14:paraId="765F7DC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
    <w:altName w:val="Times New Roman"/>
    <w:panose1 w:val="00000000000000000000"/>
    <w:charset w:val="00"/>
    <w:family w:val="roman"/>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DB563F"/>
    <w:multiLevelType w:val="singleLevel"/>
    <w:tmpl w:val="6DDB563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c3ZDkwYmQ4YjE0MzhlNjZlNzk4ZTdmMmVhY2Y2MzUifQ=="/>
  </w:docVars>
  <w:rsids>
    <w:rsidRoot w:val="00117D21"/>
    <w:rsid w:val="000424CF"/>
    <w:rsid w:val="000709CB"/>
    <w:rsid w:val="000B1C5C"/>
    <w:rsid w:val="001132B8"/>
    <w:rsid w:val="00117D21"/>
    <w:rsid w:val="001455FC"/>
    <w:rsid w:val="001672AE"/>
    <w:rsid w:val="001E2412"/>
    <w:rsid w:val="001E5B0B"/>
    <w:rsid w:val="00210E9B"/>
    <w:rsid w:val="0022580E"/>
    <w:rsid w:val="002E4D52"/>
    <w:rsid w:val="003009CB"/>
    <w:rsid w:val="00306152"/>
    <w:rsid w:val="003224EC"/>
    <w:rsid w:val="003554FB"/>
    <w:rsid w:val="003821ED"/>
    <w:rsid w:val="003A3B96"/>
    <w:rsid w:val="003B354D"/>
    <w:rsid w:val="003D0407"/>
    <w:rsid w:val="00436395"/>
    <w:rsid w:val="005169D2"/>
    <w:rsid w:val="005976E5"/>
    <w:rsid w:val="005B30E9"/>
    <w:rsid w:val="005D501D"/>
    <w:rsid w:val="00613BBB"/>
    <w:rsid w:val="00690BCE"/>
    <w:rsid w:val="00750803"/>
    <w:rsid w:val="00793FA0"/>
    <w:rsid w:val="007C4422"/>
    <w:rsid w:val="007D592F"/>
    <w:rsid w:val="00861605"/>
    <w:rsid w:val="00866D30"/>
    <w:rsid w:val="00940E06"/>
    <w:rsid w:val="00966115"/>
    <w:rsid w:val="00972410"/>
    <w:rsid w:val="00980E7F"/>
    <w:rsid w:val="00982E9C"/>
    <w:rsid w:val="00991D6C"/>
    <w:rsid w:val="00A60ED6"/>
    <w:rsid w:val="00A7710D"/>
    <w:rsid w:val="00AC1E28"/>
    <w:rsid w:val="00AE4E82"/>
    <w:rsid w:val="00B549D9"/>
    <w:rsid w:val="00B97F5B"/>
    <w:rsid w:val="00CE254A"/>
    <w:rsid w:val="00D538E8"/>
    <w:rsid w:val="00DA5C9B"/>
    <w:rsid w:val="00DD1013"/>
    <w:rsid w:val="00E12F0C"/>
    <w:rsid w:val="00E211AC"/>
    <w:rsid w:val="00E71000"/>
    <w:rsid w:val="00EA5DAF"/>
    <w:rsid w:val="00F00783"/>
    <w:rsid w:val="00FA5425"/>
    <w:rsid w:val="00FF42A8"/>
    <w:rsid w:val="016C1BB0"/>
    <w:rsid w:val="02D001B2"/>
    <w:rsid w:val="04692BE7"/>
    <w:rsid w:val="046C392C"/>
    <w:rsid w:val="04C256F2"/>
    <w:rsid w:val="08DF628D"/>
    <w:rsid w:val="0AF15FA7"/>
    <w:rsid w:val="0CFC075B"/>
    <w:rsid w:val="0DF17957"/>
    <w:rsid w:val="129D0D9B"/>
    <w:rsid w:val="133A376E"/>
    <w:rsid w:val="15E26DDC"/>
    <w:rsid w:val="1C3C604B"/>
    <w:rsid w:val="1D142F37"/>
    <w:rsid w:val="1EA2498B"/>
    <w:rsid w:val="2069264B"/>
    <w:rsid w:val="271F52C1"/>
    <w:rsid w:val="28522E68"/>
    <w:rsid w:val="2B850A91"/>
    <w:rsid w:val="2B91037D"/>
    <w:rsid w:val="2D9470AC"/>
    <w:rsid w:val="2FBA2B12"/>
    <w:rsid w:val="34FA5FBD"/>
    <w:rsid w:val="35701D02"/>
    <w:rsid w:val="370528E6"/>
    <w:rsid w:val="37086042"/>
    <w:rsid w:val="3BA3683F"/>
    <w:rsid w:val="3C7A09A0"/>
    <w:rsid w:val="3E654ABF"/>
    <w:rsid w:val="3ED93BE4"/>
    <w:rsid w:val="44B14105"/>
    <w:rsid w:val="49086163"/>
    <w:rsid w:val="4922246A"/>
    <w:rsid w:val="4A83702C"/>
    <w:rsid w:val="4B20256E"/>
    <w:rsid w:val="52911BE2"/>
    <w:rsid w:val="52BB0D49"/>
    <w:rsid w:val="54B91166"/>
    <w:rsid w:val="551A12CA"/>
    <w:rsid w:val="55F37E5E"/>
    <w:rsid w:val="565A305B"/>
    <w:rsid w:val="591452DE"/>
    <w:rsid w:val="5BB33C97"/>
    <w:rsid w:val="5D0070FB"/>
    <w:rsid w:val="5D047455"/>
    <w:rsid w:val="5D070C62"/>
    <w:rsid w:val="5D48142C"/>
    <w:rsid w:val="615E33ED"/>
    <w:rsid w:val="62394C68"/>
    <w:rsid w:val="6247618A"/>
    <w:rsid w:val="666A39E2"/>
    <w:rsid w:val="673B1F70"/>
    <w:rsid w:val="67F3687B"/>
    <w:rsid w:val="7A1842AF"/>
    <w:rsid w:val="7A614623"/>
    <w:rsid w:val="7D207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5"/>
    <w:autoRedefine/>
    <w:qFormat/>
    <w:uiPriority w:val="99"/>
    <w:pPr>
      <w:keepNext/>
      <w:keepLines/>
      <w:spacing w:before="340" w:after="330" w:line="578" w:lineRule="auto"/>
      <w:outlineLvl w:val="0"/>
    </w:pPr>
    <w:rPr>
      <w:b/>
      <w:bCs/>
      <w:kern w:val="44"/>
      <w:sz w:val="44"/>
      <w:szCs w:val="44"/>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w:basedOn w:val="1"/>
    <w:next w:val="1"/>
    <w:autoRedefine/>
    <w:qFormat/>
    <w:uiPriority w:val="0"/>
    <w:pPr>
      <w:spacing w:after="120"/>
    </w:pPr>
    <w:rPr>
      <w:rFonts w:ascii="Times New Roman" w:hAnsi="Times New Roman"/>
      <w:szCs w:val="24"/>
    </w:rPr>
  </w:style>
  <w:style w:type="paragraph" w:styleId="5">
    <w:name w:val="Body Text Indent"/>
    <w:basedOn w:val="1"/>
    <w:link w:val="14"/>
    <w:autoRedefine/>
    <w:qFormat/>
    <w:uiPriority w:val="99"/>
    <w:pPr>
      <w:spacing w:line="330" w:lineRule="exact"/>
      <w:ind w:firstLine="420" w:firstLineChars="200"/>
      <w:jc w:val="left"/>
    </w:pPr>
    <w:rPr>
      <w:bCs/>
    </w:rPr>
  </w:style>
  <w:style w:type="paragraph" w:styleId="6">
    <w:name w:val="footer"/>
    <w:basedOn w:val="1"/>
    <w:link w:val="13"/>
    <w:autoRedefine/>
    <w:qFormat/>
    <w:uiPriority w:val="0"/>
    <w:pPr>
      <w:tabs>
        <w:tab w:val="center" w:pos="4153"/>
        <w:tab w:val="right" w:pos="8306"/>
      </w:tabs>
      <w:snapToGrid w:val="0"/>
      <w:jc w:val="left"/>
    </w:pPr>
    <w:rPr>
      <w:sz w:val="18"/>
      <w:szCs w:val="18"/>
    </w:rPr>
  </w:style>
  <w:style w:type="paragraph" w:styleId="7">
    <w:name w:val="header"/>
    <w:basedOn w:val="1"/>
    <w:link w:val="12"/>
    <w:autoRedefine/>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列出段落2"/>
    <w:basedOn w:val="1"/>
    <w:autoRedefine/>
    <w:qFormat/>
    <w:uiPriority w:val="99"/>
    <w:pPr>
      <w:ind w:firstLine="420" w:firstLineChars="200"/>
    </w:pPr>
    <w:rPr>
      <w:rFonts w:cs="Calibri"/>
      <w:szCs w:val="21"/>
    </w:rPr>
  </w:style>
  <w:style w:type="character" w:customStyle="1" w:styleId="12">
    <w:name w:val="页眉 字符"/>
    <w:basedOn w:val="10"/>
    <w:link w:val="7"/>
    <w:autoRedefine/>
    <w:qFormat/>
    <w:uiPriority w:val="0"/>
    <w:rPr>
      <w:rFonts w:ascii="Calibri" w:hAnsi="Calibri"/>
      <w:kern w:val="2"/>
      <w:sz w:val="18"/>
      <w:szCs w:val="18"/>
    </w:rPr>
  </w:style>
  <w:style w:type="character" w:customStyle="1" w:styleId="13">
    <w:name w:val="页脚 字符"/>
    <w:basedOn w:val="10"/>
    <w:link w:val="6"/>
    <w:autoRedefine/>
    <w:qFormat/>
    <w:uiPriority w:val="0"/>
    <w:rPr>
      <w:rFonts w:ascii="Calibri" w:hAnsi="Calibri"/>
      <w:kern w:val="2"/>
      <w:sz w:val="18"/>
      <w:szCs w:val="18"/>
    </w:rPr>
  </w:style>
  <w:style w:type="character" w:customStyle="1" w:styleId="14">
    <w:name w:val="正文文本缩进 字符"/>
    <w:basedOn w:val="10"/>
    <w:link w:val="5"/>
    <w:autoRedefine/>
    <w:qFormat/>
    <w:uiPriority w:val="0"/>
    <w:rPr>
      <w:bCs/>
      <w:kern w:val="2"/>
      <w:sz w:val="21"/>
      <w:szCs w:val="24"/>
    </w:rPr>
  </w:style>
  <w:style w:type="character" w:customStyle="1" w:styleId="15">
    <w:name w:val="标题 1 字符"/>
    <w:link w:val="2"/>
    <w:autoRedefine/>
    <w:qFormat/>
    <w:uiPriority w:val="99"/>
    <w:rPr>
      <w:rFonts w:ascii="Calibri" w:hAnsi="Calibri"/>
      <w:b/>
      <w:bCs/>
      <w:kern w:val="44"/>
      <w:sz w:val="44"/>
      <w:szCs w:val="44"/>
    </w:rPr>
  </w:style>
  <w:style w:type="paragraph" w:styleId="16">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4306</Words>
  <Characters>4540</Characters>
  <Lines>40</Lines>
  <Paragraphs>11</Paragraphs>
  <TotalTime>3</TotalTime>
  <ScaleCrop>false</ScaleCrop>
  <LinksUpToDate>false</LinksUpToDate>
  <CharactersWithSpaces>4570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2025-05-21T07:43:00Z</dcterms:created>
  <dc:creator>Administrator</dc:creator>
  <cp:lastModifiedBy>德刚</cp:lastModifiedBy>
  <dcterms:modified xsi:type="dcterms:W3CDTF">2025-09-07T00:43:54Z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F5B1420DD18A4FBFA1FB41E2F5A0E5F6_13</vt:lpwstr>
  </property>
  <property fmtid="{D5CDD505-2E9C-101B-9397-08002B2CF9AE}" pid="4" name="KSOTemplateDocerSaveRecord">
    <vt:lpwstr>eyJoZGlkIjoiNDI3NDdjYWQyNjBjMjk3ODE2YWE2MDk2ZjBiNGUzMWUiLCJ1c2VySWQiOiI3MDcwMjY0OTYifQ==</vt:lpwstr>
  </property>
</Properties>
</file>