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季度报告 Quarterly report</w:t>
      </w:r>
    </w:p>
    <w:p>
      <w:r>
        <w:t>第一段：收入增长 12%。</w:t>
      </w:r>
    </w:p>
    <w:p>
      <w:pPr>
        <w:pStyle w:val="ListBullet"/>
      </w:pPr>
      <w:r>
        <w:t>要点一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地区</w:t>
            </w:r>
          </w:p>
        </w:tc>
        <w:tc>
          <w:tcPr>
            <w:tcW w:type="dxa" w:w="4320"/>
          </w:tcPr>
          <w:p>
            <w:r>
              <w:t>收入</w:t>
            </w:r>
          </w:p>
        </w:tc>
      </w:tr>
      <w:tr>
        <w:tc>
          <w:tcPr>
            <w:tcW w:type="dxa" w:w="4320"/>
          </w:tcPr>
          <w:p>
            <w:r>
              <w:t>华东</w:t>
            </w:r>
          </w:p>
        </w:tc>
        <w:tc>
          <w:tcPr>
            <w:tcW w:type="dxa" w:w="4320"/>
          </w:tcPr>
          <w:p>
            <w:r>
              <w:t>&lt;b&gt;42&lt;/b&gt;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