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参考文献</w:t>
      </w:r>
    </w:p>
    <w:p>
      <w:r>
        <w:rPr>
          <w:rFonts w:ascii="Times New Roman" w:hAnsi="Times New Roman" w:eastAsia="宋体"/>
          <w:b/>
          <w:sz w:val="24"/>
        </w:rPr>
        <w:t>一、中文期刊文献</w:t>
      </w:r>
    </w:p>
    <w:p>
      <w:r>
        <w:rPr>
          <w:rFonts w:ascii="Times New Roman" w:hAnsi="Times New Roman" w:eastAsia="宋体"/>
          <w:b w:val="0"/>
          <w:sz w:val="24"/>
        </w:rPr>
        <w:t>[1] 鲁宗相, 王彩霞, 闵勇, 等. 微电网研究综述[J]. 电力系统自动化, 2007, 31(19): 100-107.</w:t>
      </w:r>
    </w:p>
    <w:p>
      <w:r>
        <w:rPr>
          <w:rFonts w:ascii="Times New Roman" w:hAnsi="Times New Roman" w:eastAsia="宋体"/>
          <w:b w:val="0"/>
          <w:color w:val="808080"/>
          <w:sz w:val="18"/>
        </w:rPr>
        <w:t>【可引用点】微电网概念、结构与运行控制方式的权威综述, 可在引言中用来界定微电网定义与研究背景。</w:t>
      </w:r>
    </w:p>
    <w:p>
      <w:r>
        <w:rPr>
          <w:rFonts w:ascii="Times New Roman" w:hAnsi="Times New Roman" w:eastAsia="宋体"/>
          <w:b w:val="0"/>
          <w:sz w:val="24"/>
        </w:rPr>
        <w:t>[2] 杨新法, 苏剑, 吕志鹏, 等. 微电网技术综述[J]. 中国电机工程学报, 2014, 34(1): 57-70.</w:t>
      </w:r>
    </w:p>
    <w:p>
      <w:r>
        <w:rPr>
          <w:rFonts w:ascii="Times New Roman" w:hAnsi="Times New Roman" w:eastAsia="宋体"/>
          <w:b w:val="0"/>
          <w:color w:val="808080"/>
          <w:sz w:val="18"/>
        </w:rPr>
        <w:t>【可引用点】系统梳理微电网建模、控制与能量管理关键技术, 可支撑本文光储微电网系统架构的描述。</w:t>
      </w:r>
    </w:p>
    <w:p>
      <w:r>
        <w:rPr>
          <w:rFonts w:ascii="Times New Roman" w:hAnsi="Times New Roman" w:eastAsia="宋体"/>
          <w:b w:val="0"/>
          <w:sz w:val="24"/>
        </w:rPr>
        <w:t>[3] 王成山, 武震, 李鹏. 微电网关键技术研究[J]. 电工技术学报, 2014, 29(2): 1-12.</w:t>
      </w:r>
    </w:p>
    <w:p>
      <w:r>
        <w:rPr>
          <w:rFonts w:ascii="Times New Roman" w:hAnsi="Times New Roman" w:eastAsia="宋体"/>
          <w:b w:val="0"/>
          <w:color w:val="808080"/>
          <w:sz w:val="18"/>
        </w:rPr>
        <w:t>【可引用点】微电网关键技术高被引文献, 可引用其对微电网优化运行与能量管理研究方向的归纳。</w:t>
      </w:r>
    </w:p>
    <w:p>
      <w:r>
        <w:rPr>
          <w:rFonts w:ascii="Times New Roman" w:hAnsi="Times New Roman" w:eastAsia="宋体"/>
          <w:b w:val="0"/>
          <w:sz w:val="24"/>
        </w:rPr>
        <w:t>[4] 丁明, 张颖媛, 茆美琴. 微网研究中的关键技术[J]. 电网技术, 2009, 33(11): 6-11.</w:t>
      </w:r>
    </w:p>
    <w:p>
      <w:r>
        <w:rPr>
          <w:rFonts w:ascii="Times New Roman" w:hAnsi="Times New Roman" w:eastAsia="宋体"/>
          <w:b w:val="0"/>
          <w:color w:val="808080"/>
          <w:sz w:val="18"/>
        </w:rPr>
        <w:t>【可引用点】微网关键技术早期经典文献, 可用于说明微网经济运行问题的提出背景与技术脉络。</w:t>
      </w:r>
    </w:p>
    <w:p>
      <w:r>
        <w:rPr>
          <w:rFonts w:ascii="Times New Roman" w:hAnsi="Times New Roman" w:eastAsia="宋体"/>
          <w:b w:val="0"/>
          <w:sz w:val="24"/>
        </w:rPr>
        <w:t>[5] 周林, 黄勇, 郭珂, 等. 微电网储能技术研究综述[J]. 电力系统保护与控制, 2011, 39(7): 147-152.</w:t>
      </w:r>
    </w:p>
    <w:p>
      <w:r>
        <w:rPr>
          <w:rFonts w:ascii="Times New Roman" w:hAnsi="Times New Roman" w:eastAsia="宋体"/>
          <w:b w:val="0"/>
          <w:color w:val="808080"/>
          <w:sz w:val="18"/>
        </w:rPr>
        <w:t>【可引用点】综述储能在微电网中的作用, 可支撑"储能平抑光伏波动、削峰填谷"的建模动机。</w:t>
      </w:r>
    </w:p>
    <w:p>
      <w:r>
        <w:rPr>
          <w:rFonts w:ascii="Times New Roman" w:hAnsi="Times New Roman" w:eastAsia="宋体"/>
          <w:b w:val="0"/>
          <w:sz w:val="24"/>
        </w:rPr>
        <w:t>[6] 李霞林, 郭力, 王成山, 等. 直流微电网关键技术研究综述[J]. 中国电机工程学报, 2016, 36(1): 2-17.</w:t>
      </w:r>
    </w:p>
    <w:p>
      <w:r>
        <w:rPr>
          <w:rFonts w:ascii="Times New Roman" w:hAnsi="Times New Roman" w:eastAsia="宋体"/>
          <w:b w:val="0"/>
          <w:color w:val="808080"/>
          <w:sz w:val="18"/>
        </w:rPr>
        <w:t>【可引用点】直流微电网关键技术综述, 可用于比较交流/直流微电网结构及变换器损耗建模差异。</w:t>
      </w:r>
    </w:p>
    <w:p>
      <w:r>
        <w:rPr>
          <w:rFonts w:ascii="Times New Roman" w:hAnsi="Times New Roman" w:eastAsia="宋体"/>
          <w:b w:val="0"/>
          <w:sz w:val="24"/>
        </w:rPr>
        <w:t>[7] 吴雄, 王秀丽, 刘世民, 等. 微电网能量管理系统研究综述[J]. 电力自动化设备, 2014, 34(10): 7-14.</w:t>
      </w:r>
    </w:p>
    <w:p>
      <w:r>
        <w:rPr>
          <w:rFonts w:ascii="Times New Roman" w:hAnsi="Times New Roman" w:eastAsia="宋体"/>
          <w:b w:val="0"/>
          <w:color w:val="808080"/>
          <w:sz w:val="18"/>
        </w:rPr>
        <w:t>【可引用点】微电网能量管理系统(EMS)综述, 可引用其能量管理功能架构作为本文调度框架的依据。</w:t>
      </w:r>
    </w:p>
    <w:p>
      <w:r>
        <w:rPr>
          <w:rFonts w:ascii="Times New Roman" w:hAnsi="Times New Roman" w:eastAsia="宋体"/>
          <w:b w:val="0"/>
          <w:sz w:val="24"/>
        </w:rPr>
        <w:t>[8] 桑丙玉, 王德顺, 杨波, 等. 平滑新能源输出波动的储能优化配置方法[J]. 中国电机工程学报, 2014, 34(22): 3700-3706.</w:t>
      </w:r>
    </w:p>
    <w:p>
      <w:r>
        <w:rPr>
          <w:rFonts w:ascii="Times New Roman" w:hAnsi="Times New Roman" w:eastAsia="宋体"/>
          <w:b w:val="0"/>
          <w:color w:val="808080"/>
          <w:sz w:val="18"/>
        </w:rPr>
        <w:t>【可引用点】用储能平滑新能源出力波动的优化配置方法, 可支撑储能功率/容量约束的建模思路。</w:t>
      </w:r>
    </w:p>
    <w:p>
      <w:r>
        <w:rPr>
          <w:rFonts w:ascii="Times New Roman" w:hAnsi="Times New Roman" w:eastAsia="宋体"/>
          <w:b w:val="0"/>
          <w:sz w:val="24"/>
        </w:rPr>
        <w:t>[9] 张钦, 王锡凡, 王建学, 等. 电力市场下需求响应研究综述[J]. 电力系统自动化, 2008, 32(3): 97-106.</w:t>
      </w:r>
    </w:p>
    <w:p>
      <w:r>
        <w:rPr>
          <w:rFonts w:ascii="Times New Roman" w:hAnsi="Times New Roman" w:eastAsia="宋体"/>
          <w:b w:val="0"/>
          <w:color w:val="808080"/>
          <w:sz w:val="18"/>
        </w:rPr>
        <w:t>【可引用点】电力市场下需求响应研究综述, 可支撑分时电价机制与负荷响应潜力的分析。</w:t>
      </w:r>
    </w:p>
    <w:p>
      <w:r>
        <w:rPr>
          <w:rFonts w:ascii="Times New Roman" w:hAnsi="Times New Roman" w:eastAsia="宋体"/>
          <w:b w:val="0"/>
          <w:sz w:val="24"/>
        </w:rPr>
        <w:t>[10] 刘卫亮, 刘长良, 林永君, 等. 计及雾霾影响因素的光伏发电超短期功率预测[J]. 中国电机工程学报, 2018, 38(14): 4086-4095.</w:t>
      </w:r>
    </w:p>
    <w:p>
      <w:r>
        <w:rPr>
          <w:rFonts w:ascii="Times New Roman" w:hAnsi="Times New Roman" w:eastAsia="宋体"/>
          <w:b w:val="0"/>
          <w:color w:val="808080"/>
          <w:sz w:val="18"/>
        </w:rPr>
        <w:t>【可引用点】光伏超短期功率预测的代表性研究, 可支撑光伏出力预测建模与预测误差处理。</w:t>
      </w:r>
    </w:p>
    <w:p>
      <w:r>
        <w:rPr>
          <w:rFonts w:ascii="Times New Roman" w:hAnsi="Times New Roman" w:eastAsia="宋体"/>
          <w:b/>
          <w:sz w:val="24"/>
        </w:rPr>
        <w:t>二、专著与教材</w:t>
      </w:r>
    </w:p>
    <w:p>
      <w:r>
        <w:rPr>
          <w:rFonts w:ascii="Times New Roman" w:hAnsi="Times New Roman" w:eastAsia="宋体"/>
          <w:b w:val="0"/>
          <w:sz w:val="24"/>
        </w:rPr>
        <w:t>[11] 《运筹学》教材编写组. 运筹学(第5版)[M]. 北京: 清华大学出版社, 2021.</w:t>
      </w:r>
    </w:p>
    <w:p>
      <w:r>
        <w:rPr>
          <w:rFonts w:ascii="Times New Roman" w:hAnsi="Times New Roman" w:eastAsia="宋体"/>
          <w:b w:val="0"/>
          <w:color w:val="808080"/>
          <w:sz w:val="18"/>
        </w:rPr>
        <w:t>【可引用点】线性规划建模与单纯形法求解原理的经典教材依据, 可在模型求解方法处引用。</w:t>
      </w:r>
    </w:p>
    <w:p>
      <w:r>
        <w:rPr>
          <w:rFonts w:ascii="Times New Roman" w:hAnsi="Times New Roman" w:eastAsia="宋体"/>
          <w:b w:val="0"/>
          <w:sz w:val="24"/>
        </w:rPr>
        <w:t>[12] 姜启源, 谢金星, 叶俊. 数学模型(第五版)[M]. 北京: 高等教育出版社, 2018.</w:t>
      </w:r>
    </w:p>
    <w:p>
      <w:r>
        <w:rPr>
          <w:rFonts w:ascii="Times New Roman" w:hAnsi="Times New Roman" w:eastAsia="宋体"/>
          <w:b w:val="0"/>
          <w:color w:val="808080"/>
          <w:sz w:val="18"/>
        </w:rPr>
        <w:t>【可引用点】数学建模方法论与优化模型章节的通用参考书, 可作为整体建模流程的方法依据。</w:t>
      </w:r>
    </w:p>
    <w:p>
      <w:r>
        <w:rPr>
          <w:rFonts w:ascii="Times New Roman" w:hAnsi="Times New Roman" w:eastAsia="宋体"/>
          <w:b w:val="0"/>
          <w:sz w:val="24"/>
        </w:rPr>
        <w:t>[13] 盛骤, 谢式千, 潘承毅. 概率论与数理统计(第四版)[M]. 北京: 高等教育出版社, 2008.</w:t>
      </w:r>
    </w:p>
    <w:p>
      <w:r>
        <w:rPr>
          <w:rFonts w:ascii="Times New Roman" w:hAnsi="Times New Roman" w:eastAsia="宋体"/>
          <w:b w:val="0"/>
          <w:color w:val="808080"/>
          <w:sz w:val="18"/>
        </w:rPr>
        <w:t>【可引用点】概率分布、置信区间与假设检验方法的经典教材, 可支撑数据处理与误差统计检验。</w:t>
      </w:r>
    </w:p>
    <w:p>
      <w:r>
        <w:rPr>
          <w:rFonts w:ascii="Times New Roman" w:hAnsi="Times New Roman" w:eastAsia="宋体"/>
          <w:b/>
          <w:sz w:val="24"/>
        </w:rPr>
        <w:t>三、英文文献</w:t>
      </w:r>
    </w:p>
    <w:p>
      <w:r>
        <w:rPr>
          <w:rFonts w:ascii="Times New Roman" w:hAnsi="Times New Roman" w:eastAsia="宋体"/>
          <w:b w:val="0"/>
          <w:sz w:val="24"/>
        </w:rPr>
        <w:t>[14] Virtanen P, Gommers R, Oliphant T E, et al. SciPy 1.0: fundamental algorithms for scientific computing in Python[J]. Nature Methods, 2020, 17(3): 261-272.</w:t>
      </w:r>
    </w:p>
    <w:p>
      <w:r>
        <w:rPr>
          <w:rFonts w:ascii="Times New Roman" w:hAnsi="Times New Roman" w:eastAsia="宋体"/>
          <w:b w:val="0"/>
          <w:color w:val="808080"/>
          <w:sz w:val="18"/>
        </w:rPr>
        <w:t>【可引用点】本文线性规划求解所依赖的 SciPy 科学计算库的权威出处, 可在求解工具说明处引用。</w:t>
      </w:r>
    </w:p>
    <w:p>
      <w:r>
        <w:rPr>
          <w:rFonts w:ascii="Times New Roman" w:hAnsi="Times New Roman" w:eastAsia="宋体"/>
          <w:b w:val="0"/>
          <w:sz w:val="24"/>
        </w:rPr>
        <w:t>[15] Palma-Behnke R, Benavides C, Lanas F, et al. A microgrid energy management system based on the rolling horizon strategy[J]. IEEE Transactions on Smart Grid, 2013, 4(2): 996-1006.</w:t>
      </w:r>
    </w:p>
    <w:p>
      <w:r>
        <w:rPr>
          <w:rFonts w:ascii="Times New Roman" w:hAnsi="Times New Roman" w:eastAsia="宋体"/>
          <w:b w:val="0"/>
          <w:color w:val="808080"/>
          <w:sz w:val="18"/>
        </w:rPr>
        <w:t>【可引用点】基于滚动时域(rolling horizon)的微电网能量管理系统, 是本文滚动调度策略的代表性依据。</w:t>
      </w:r>
    </w:p>
    <w:p>
      <w:r>
        <w:rPr>
          <w:rFonts w:ascii="Times New Roman" w:hAnsi="Times New Roman" w:eastAsia="宋体"/>
          <w:b w:val="0"/>
          <w:sz w:val="24"/>
        </w:rPr>
        <w:t>[16] Parisio A, Rikos E, Glielmo L. A model predictive control approach to microgrid operation optimization[J]. IEEE Transactions on Control Systems Technology, 2014, 22(5): 1813-1827.</w:t>
      </w:r>
    </w:p>
    <w:p>
      <w:r>
        <w:rPr>
          <w:rFonts w:ascii="Times New Roman" w:hAnsi="Times New Roman" w:eastAsia="宋体"/>
          <w:b w:val="0"/>
          <w:color w:val="808080"/>
          <w:sz w:val="18"/>
        </w:rPr>
        <w:t>【可引用点】微电网运行优化的模型预测控制(MPC)方法, 可支撑"预测-优化-校正"调度框架及对比实验。</w:t>
      </w:r>
    </w:p>
    <w:p>
      <w:r>
        <w:rPr>
          <w:rFonts w:ascii="Times New Roman" w:hAnsi="Times New Roman" w:eastAsia="宋体"/>
          <w:b w:val="0"/>
          <w:sz w:val="24"/>
        </w:rPr>
        <w:t>[17] Huangfu Q, Hall J A J. Parallelizing the dual revised simplex method[J]. Mathematical Programming Computation, 2018, 10(1): 119-142.</w:t>
      </w:r>
    </w:p>
    <w:p>
      <w:r>
        <w:rPr>
          <w:rFonts w:ascii="Times New Roman" w:hAnsi="Times New Roman" w:eastAsia="宋体"/>
          <w:b w:val="0"/>
          <w:color w:val="808080"/>
          <w:sz w:val="18"/>
        </w:rPr>
        <w:t>【可引用点】对偶单纯形法并行化的代表性工作, 可在大规模线性规划求解算法说明处引用。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