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9DB774" w14:textId="77777777" w:rsidR="00880E72" w:rsidRDefault="00000000">
      <w:pPr>
        <w:pBdr>
          <w:bottom w:val="single" w:sz="24" w:space="1" w:color="006600"/>
        </w:pBdr>
        <w:spacing w:after="80"/>
        <w:jc w:val="center"/>
      </w:pPr>
      <w:r>
        <w:rPr>
          <w:rFonts w:ascii="Calibri" w:eastAsia="Calibri" w:hAnsi="Calibri" w:cs="Calibri"/>
          <w:b/>
          <w:sz w:val="20"/>
        </w:rPr>
        <w:t>COLLEGE OF COMPUTER STUDIES DEPARTMENT</w:t>
      </w:r>
    </w:p>
    <w:p w14:paraId="2293B855" w14:textId="77777777" w:rsidR="00880E72" w:rsidRDefault="00000000">
      <w:pPr>
        <w:spacing w:after="0"/>
        <w:jc w:val="center"/>
      </w:pPr>
      <w:r>
        <w:rPr>
          <w:rFonts w:ascii="Calibri" w:eastAsia="Calibri" w:hAnsi="Calibri" w:cs="Calibri"/>
          <w:b/>
          <w:color w:val="006600"/>
          <w:sz w:val="32"/>
        </w:rPr>
        <w:t>THESIS PROJECT</w:t>
      </w:r>
    </w:p>
    <w:p w14:paraId="18134A88" w14:textId="77777777" w:rsidR="00880E72" w:rsidRDefault="00000000">
      <w:pPr>
        <w:spacing w:after="0"/>
        <w:jc w:val="center"/>
      </w:pPr>
      <w:r>
        <w:rPr>
          <w:rFonts w:ascii="Calibri" w:eastAsia="Calibri" w:hAnsi="Calibri" w:cs="Calibri"/>
          <w:b/>
          <w:color w:val="006600"/>
          <w:sz w:val="32"/>
        </w:rPr>
        <w:t>TITLE PROPOSAL</w:t>
      </w:r>
    </w:p>
    <w:p w14:paraId="371EF8FB" w14:textId="77777777" w:rsidR="00880E72" w:rsidRDefault="00000000">
      <w:pPr>
        <w:spacing w:after="0"/>
        <w:jc w:val="center"/>
      </w:pPr>
      <w:r>
        <w:rPr>
          <w:rFonts w:ascii="Calibri" w:eastAsia="Calibri" w:hAnsi="Calibri" w:cs="Calibri"/>
          <w:b/>
          <w:color w:val="006600"/>
          <w:sz w:val="28"/>
        </w:rPr>
        <w:t>(CS0025 – Software Engineering 1)</w:t>
      </w:r>
    </w:p>
    <w:p w14:paraId="3A428A27" w14:textId="77777777" w:rsidR="00880E72" w:rsidRDefault="00880E72">
      <w:pPr>
        <w:spacing w:after="280"/>
      </w:pPr>
    </w:p>
    <w:tbl>
      <w:tblPr>
        <w:tblW w:w="0" w:type="auto"/>
        <w:tblInd w:w="-120" w:type="dxa"/>
        <w:tblLayout w:type="fixed"/>
        <w:tblLook w:val="04A0" w:firstRow="1" w:lastRow="0" w:firstColumn="1" w:lastColumn="0" w:noHBand="0" w:noVBand="1"/>
      </w:tblPr>
      <w:tblGrid>
        <w:gridCol w:w="3320"/>
        <w:gridCol w:w="3320"/>
        <w:gridCol w:w="3280"/>
      </w:tblGrid>
      <w:tr w:rsidR="00880E72" w14:paraId="0B4763B2" w14:textId="77777777">
        <w:trPr>
          <w:trHeight w:val="420"/>
        </w:trPr>
        <w:tc>
          <w:tcPr>
            <w:tcW w:w="9920" w:type="dxa"/>
            <w:gridSpan w:val="3"/>
            <w:tcBorders>
              <w:top w:val="single" w:sz="8" w:space="0" w:color="006600"/>
              <w:left w:val="single" w:sz="8" w:space="0" w:color="006600"/>
              <w:bottom w:val="single" w:sz="8" w:space="0" w:color="006600"/>
              <w:right w:val="single" w:sz="8" w:space="0" w:color="006600"/>
            </w:tcBorders>
            <w:shd w:val="clear" w:color="auto" w:fill="00B050"/>
            <w:tcMar>
              <w:top w:w="0" w:type="dxa"/>
              <w:left w:w="112" w:type="dxa"/>
              <w:bottom w:w="0" w:type="dxa"/>
              <w:right w:w="112" w:type="dxa"/>
            </w:tcMar>
          </w:tcPr>
          <w:p w14:paraId="25BAD342" w14:textId="77777777" w:rsidR="00880E72" w:rsidRDefault="00880E72">
            <w:pPr>
              <w:spacing w:after="0"/>
            </w:pPr>
          </w:p>
        </w:tc>
      </w:tr>
      <w:tr w:rsidR="00880E72" w14:paraId="466115CB" w14:textId="77777777">
        <w:trPr>
          <w:trHeight w:val="1200"/>
        </w:trPr>
        <w:tc>
          <w:tcPr>
            <w:tcW w:w="3320" w:type="dxa"/>
            <w:tcBorders>
              <w:top w:val="single" w:sz="8" w:space="0" w:color="006600"/>
              <w:left w:val="single" w:sz="8" w:space="0" w:color="006600"/>
              <w:bottom w:val="single" w:sz="8" w:space="0" w:color="006600"/>
              <w:right w:val="single" w:sz="8" w:space="0" w:color="006600"/>
            </w:tcBorders>
            <w:tcMar>
              <w:top w:w="0" w:type="dxa"/>
              <w:left w:w="112" w:type="dxa"/>
              <w:bottom w:w="0" w:type="dxa"/>
              <w:right w:w="112" w:type="dxa"/>
            </w:tcMar>
          </w:tcPr>
          <w:p w14:paraId="4CC85989" w14:textId="77777777" w:rsidR="00880E72" w:rsidRDefault="00000000">
            <w:pPr>
              <w:spacing w:after="80"/>
            </w:pPr>
            <w:r>
              <w:rPr>
                <w:rFonts w:cs="Times New Roman"/>
              </w:rPr>
              <w:t xml:space="preserve">Group Name: </w:t>
            </w:r>
            <w:r>
              <w:rPr>
                <w:rFonts w:cs="Times New Roman"/>
                <w:b/>
              </w:rPr>
              <w:t>Statisfied</w:t>
            </w:r>
          </w:p>
        </w:tc>
        <w:tc>
          <w:tcPr>
            <w:tcW w:w="6600" w:type="dxa"/>
            <w:gridSpan w:val="2"/>
            <w:tcBorders>
              <w:top w:val="single" w:sz="8" w:space="0" w:color="006600"/>
              <w:left w:val="single" w:sz="8" w:space="0" w:color="006600"/>
              <w:bottom w:val="single" w:sz="8" w:space="0" w:color="006600"/>
              <w:right w:val="single" w:sz="8" w:space="0" w:color="006600"/>
            </w:tcBorders>
            <w:tcMar>
              <w:top w:w="0" w:type="dxa"/>
              <w:left w:w="112" w:type="dxa"/>
              <w:bottom w:w="0" w:type="dxa"/>
              <w:right w:w="112" w:type="dxa"/>
            </w:tcMar>
          </w:tcPr>
          <w:p w14:paraId="3D1FCD9D" w14:textId="77777777" w:rsidR="00880E72" w:rsidRDefault="00000000">
            <w:pPr>
              <w:spacing w:after="80"/>
            </w:pPr>
            <w:r>
              <w:rPr>
                <w:rFonts w:cs="Times New Roman"/>
              </w:rPr>
              <w:t xml:space="preserve">Program: </w:t>
            </w:r>
          </w:p>
          <w:p w14:paraId="081FC8A5" w14:textId="77777777" w:rsidR="00880E72" w:rsidRDefault="00000000">
            <w:pPr>
              <w:spacing w:after="80"/>
            </w:pPr>
            <w:r>
              <w:rPr>
                <w:rFonts w:cs="Times New Roman"/>
                <w:b/>
              </w:rPr>
              <w:t>Bachelor of Science in Computer Science</w:t>
            </w:r>
            <w:r>
              <w:rPr>
                <w:rFonts w:cs="Times New Roman"/>
                <w:b/>
              </w:rPr>
              <w:br/>
              <w:t>with specialization in Data Science</w:t>
            </w:r>
          </w:p>
        </w:tc>
      </w:tr>
      <w:tr w:rsidR="00880E72" w14:paraId="58B3721D" w14:textId="77777777">
        <w:trPr>
          <w:trHeight w:val="2640"/>
        </w:trPr>
        <w:tc>
          <w:tcPr>
            <w:tcW w:w="3320" w:type="dxa"/>
            <w:tcBorders>
              <w:top w:val="single" w:sz="8" w:space="0" w:color="006600"/>
              <w:left w:val="single" w:sz="8" w:space="0" w:color="006600"/>
              <w:bottom w:val="single" w:sz="8" w:space="0" w:color="006600"/>
              <w:right w:val="single" w:sz="8" w:space="0" w:color="006600"/>
            </w:tcBorders>
            <w:tcMar>
              <w:top w:w="0" w:type="dxa"/>
              <w:left w:w="112" w:type="dxa"/>
              <w:bottom w:w="0" w:type="dxa"/>
              <w:right w:w="112" w:type="dxa"/>
            </w:tcMar>
          </w:tcPr>
          <w:p w14:paraId="158DDAE6" w14:textId="77777777" w:rsidR="00880E72" w:rsidRDefault="00000000">
            <w:pPr>
              <w:spacing w:after="80"/>
            </w:pPr>
            <w:r>
              <w:rPr>
                <w:rFonts w:cs="Times New Roman"/>
              </w:rPr>
              <w:t>Member’s Name:</w:t>
            </w:r>
          </w:p>
          <w:p w14:paraId="7E136E56" w14:textId="77777777" w:rsidR="00880E72" w:rsidRDefault="00000000">
            <w:pPr>
              <w:spacing w:after="80"/>
            </w:pPr>
            <w:r>
              <w:rPr>
                <w:rFonts w:cs="Times New Roman"/>
              </w:rPr>
              <w:t>1.  Dawn Andrei Pamesa (Project Manager)</w:t>
            </w:r>
          </w:p>
          <w:p w14:paraId="4A7CCFB4" w14:textId="77777777" w:rsidR="00880E72" w:rsidRDefault="00000000">
            <w:pPr>
              <w:spacing w:after="80"/>
            </w:pPr>
            <w:r>
              <w:rPr>
                <w:rFonts w:cs="Times New Roman"/>
              </w:rPr>
              <w:t>2.  Rogelio Porras (Member 1)</w:t>
            </w:r>
          </w:p>
          <w:p w14:paraId="31390CF9" w14:textId="77777777" w:rsidR="00880E72" w:rsidRDefault="00000000">
            <w:pPr>
              <w:spacing w:after="80"/>
            </w:pPr>
            <w:r>
              <w:rPr>
                <w:rFonts w:cs="Times New Roman"/>
              </w:rPr>
              <w:t>3.  John Ashley Alba (Member 2)</w:t>
            </w:r>
          </w:p>
          <w:p w14:paraId="74B38B77" w14:textId="77777777" w:rsidR="00880E72" w:rsidRDefault="00000000">
            <w:pPr>
              <w:spacing w:after="80"/>
            </w:pPr>
            <w:r>
              <w:rPr>
                <w:rFonts w:cs="Times New Roman"/>
              </w:rPr>
              <w:t>4.  Ralph Blanco (Member 3)</w:t>
            </w:r>
          </w:p>
        </w:tc>
        <w:tc>
          <w:tcPr>
            <w:tcW w:w="3320" w:type="dxa"/>
            <w:tcBorders>
              <w:top w:val="single" w:sz="8" w:space="0" w:color="006600"/>
              <w:left w:val="single" w:sz="8" w:space="0" w:color="006600"/>
              <w:bottom w:val="single" w:sz="8" w:space="0" w:color="006600"/>
              <w:right w:val="single" w:sz="8" w:space="0" w:color="006600"/>
            </w:tcBorders>
            <w:tcMar>
              <w:top w:w="0" w:type="dxa"/>
              <w:left w:w="112" w:type="dxa"/>
              <w:bottom w:w="0" w:type="dxa"/>
              <w:right w:w="112" w:type="dxa"/>
            </w:tcMar>
          </w:tcPr>
          <w:p w14:paraId="26FA3A5C" w14:textId="77777777" w:rsidR="00880E72" w:rsidRDefault="00000000">
            <w:pPr>
              <w:spacing w:after="80"/>
            </w:pPr>
            <w:r>
              <w:rPr>
                <w:rFonts w:cs="Times New Roman"/>
              </w:rPr>
              <w:t>Term:</w:t>
            </w:r>
          </w:p>
          <w:p w14:paraId="689DA513" w14:textId="77777777" w:rsidR="00880E72" w:rsidRDefault="00000000">
            <w:pPr>
              <w:spacing w:after="80"/>
            </w:pPr>
            <w:r>
              <w:rPr>
                <w:rFonts w:cs="Times New Roman"/>
              </w:rPr>
              <w:t>[</w:t>
            </w:r>
            <w:r>
              <w:rPr>
                <w:rFonts w:ascii="Segoe UI Symbol" w:eastAsia="Segoe UI Symbol" w:hAnsi="Segoe UI Symbol" w:cs="Segoe UI Symbol"/>
              </w:rPr>
              <w:t>✓</w:t>
            </w:r>
            <w:r>
              <w:rPr>
                <w:rFonts w:cs="Times New Roman"/>
              </w:rPr>
              <w:t>] 1st    [   ] 2nd    [   ] 3rd</w:t>
            </w:r>
          </w:p>
        </w:tc>
        <w:tc>
          <w:tcPr>
            <w:tcW w:w="3280" w:type="dxa"/>
            <w:tcBorders>
              <w:top w:val="single" w:sz="8" w:space="0" w:color="006600"/>
              <w:left w:val="single" w:sz="8" w:space="0" w:color="006600"/>
              <w:bottom w:val="single" w:sz="8" w:space="0" w:color="006600"/>
              <w:right w:val="single" w:sz="8" w:space="0" w:color="006600"/>
            </w:tcBorders>
            <w:tcMar>
              <w:top w:w="0" w:type="dxa"/>
              <w:left w:w="112" w:type="dxa"/>
              <w:bottom w:w="0" w:type="dxa"/>
              <w:right w:w="112" w:type="dxa"/>
            </w:tcMar>
          </w:tcPr>
          <w:p w14:paraId="02D2B8F3" w14:textId="77777777" w:rsidR="00880E72" w:rsidRDefault="00000000">
            <w:pPr>
              <w:spacing w:after="80"/>
            </w:pPr>
            <w:r>
              <w:rPr>
                <w:rFonts w:cs="Times New Roman"/>
              </w:rPr>
              <w:t>Academic Year:</w:t>
            </w:r>
          </w:p>
          <w:p w14:paraId="690DFD18" w14:textId="77777777" w:rsidR="00880E72" w:rsidRDefault="00000000">
            <w:pPr>
              <w:spacing w:after="80"/>
            </w:pPr>
            <w:r>
              <w:rPr>
                <w:rFonts w:cs="Times New Roman"/>
              </w:rPr>
              <w:t>2026 - 2027</w:t>
            </w:r>
          </w:p>
        </w:tc>
      </w:tr>
      <w:tr w:rsidR="00880E72" w14:paraId="7B3E06EE" w14:textId="77777777">
        <w:trPr>
          <w:trHeight w:val="1120"/>
        </w:trPr>
        <w:tc>
          <w:tcPr>
            <w:tcW w:w="9920" w:type="dxa"/>
            <w:gridSpan w:val="3"/>
            <w:tcBorders>
              <w:top w:val="single" w:sz="8" w:space="0" w:color="006600"/>
              <w:left w:val="single" w:sz="8" w:space="0" w:color="006600"/>
              <w:bottom w:val="single" w:sz="8" w:space="0" w:color="006600"/>
              <w:right w:val="single" w:sz="8" w:space="0" w:color="006600"/>
            </w:tcBorders>
            <w:tcMar>
              <w:top w:w="0" w:type="dxa"/>
              <w:left w:w="112" w:type="dxa"/>
              <w:bottom w:w="0" w:type="dxa"/>
              <w:right w:w="112" w:type="dxa"/>
            </w:tcMar>
          </w:tcPr>
          <w:p w14:paraId="772D9EB2" w14:textId="77777777" w:rsidR="00880E72" w:rsidRDefault="00000000">
            <w:pPr>
              <w:spacing w:after="0"/>
            </w:pPr>
            <w:r>
              <w:rPr>
                <w:rFonts w:cs="Times New Roman"/>
                <w:b/>
              </w:rPr>
              <w:t>Proposed Project Title 2:</w:t>
            </w:r>
          </w:p>
          <w:p w14:paraId="2C2DFC8A" w14:textId="77777777" w:rsidR="00880E72" w:rsidRDefault="00000000">
            <w:pPr>
              <w:spacing w:after="0"/>
              <w:jc w:val="center"/>
            </w:pPr>
            <w:r>
              <w:rPr>
                <w:rFonts w:cs="Times New Roman"/>
                <w:b/>
              </w:rPr>
              <w:t>Cash-Flow-Aware Prediction of Progress Billing Payment Delay for a Construction Firm Using Modified Gradient Boosting Loss</w:t>
            </w:r>
          </w:p>
        </w:tc>
      </w:tr>
    </w:tbl>
    <w:p w14:paraId="159CDFA2" w14:textId="77777777" w:rsidR="00880E72" w:rsidRDefault="00880E72"/>
    <w:tbl>
      <w:tblPr>
        <w:tblW w:w="0" w:type="auto"/>
        <w:tblLayout w:type="fixed"/>
        <w:tblLook w:val="04A0" w:firstRow="1" w:lastRow="0" w:firstColumn="1" w:lastColumn="0" w:noHBand="0" w:noVBand="1"/>
      </w:tblPr>
      <w:tblGrid>
        <w:gridCol w:w="9920"/>
      </w:tblGrid>
      <w:tr w:rsidR="00880E72" w14:paraId="225AA42F" w14:textId="77777777">
        <w:tc>
          <w:tcPr>
            <w:tcW w:w="9920" w:type="dxa"/>
            <w:tcBorders>
              <w:top w:val="single" w:sz="8" w:space="0" w:color="006600"/>
              <w:left w:val="single" w:sz="8" w:space="0" w:color="006600"/>
              <w:bottom w:val="single" w:sz="8" w:space="0" w:color="006600"/>
              <w:right w:val="single" w:sz="8" w:space="0" w:color="006600"/>
            </w:tcBorders>
            <w:shd w:val="clear" w:color="auto" w:fill="00B050"/>
            <w:tcMar>
              <w:top w:w="20" w:type="dxa"/>
              <w:left w:w="112" w:type="dxa"/>
              <w:bottom w:w="20" w:type="dxa"/>
              <w:right w:w="112" w:type="dxa"/>
            </w:tcMar>
          </w:tcPr>
          <w:p w14:paraId="3E3C1767" w14:textId="77777777" w:rsidR="00880E72" w:rsidRDefault="00000000">
            <w:pPr>
              <w:keepNext/>
              <w:tabs>
                <w:tab w:val="left" w:pos="720"/>
              </w:tabs>
              <w:spacing w:after="0"/>
            </w:pPr>
            <w:r>
              <w:rPr>
                <w:rFonts w:cs="Times New Roman"/>
                <w:b/>
              </w:rPr>
              <w:t>1.0</w:t>
            </w:r>
            <w:r>
              <w:rPr>
                <w:rFonts w:cs="Times New Roman"/>
                <w:b/>
              </w:rPr>
              <w:tab/>
              <w:t>Area of Investigation:</w:t>
            </w:r>
          </w:p>
        </w:tc>
      </w:tr>
      <w:tr w:rsidR="00880E72" w14:paraId="4010F0D7" w14:textId="77777777">
        <w:tc>
          <w:tcPr>
            <w:tcW w:w="9920" w:type="dxa"/>
            <w:tcBorders>
              <w:top w:val="nil"/>
              <w:left w:val="single" w:sz="8" w:space="0" w:color="006600"/>
              <w:bottom w:val="single" w:sz="8" w:space="0" w:color="006600"/>
              <w:right w:val="single" w:sz="8" w:space="0" w:color="006600"/>
            </w:tcBorders>
            <w:tcMar>
              <w:top w:w="40" w:type="dxa"/>
              <w:left w:w="112" w:type="dxa"/>
              <w:bottom w:w="40" w:type="dxa"/>
              <w:right w:w="112" w:type="dxa"/>
            </w:tcMar>
          </w:tcPr>
          <w:p w14:paraId="0A5969C8" w14:textId="77777777" w:rsidR="00880E72" w:rsidRDefault="00000000">
            <w:pPr>
              <w:spacing w:after="240"/>
              <w:jc w:val="both"/>
            </w:pPr>
            <w:r>
              <w:rPr>
                <w:rFonts w:cs="Times New Roman"/>
              </w:rPr>
              <w:t xml:space="preserve">Construction firms carry large upfront costs for labour, materials and equipment while payment arrives in progress billings that the client approves slowly. The firm says late collection and cash flow cause the most delay and loss, and that it decides pricing, manpower and scheduling mostly by experience. A model that tells the firm how many days each billing is likely to take would let it plan cash from data (Appel et al., 2020; Bahrami et al., 2020; Moore &amp; van Vuuren, 2024). </w:t>
            </w:r>
          </w:p>
          <w:p w14:paraId="233BD4CE" w14:textId="77777777" w:rsidR="00880E72" w:rsidRDefault="00000000">
            <w:pPr>
              <w:spacing w:after="240"/>
              <w:jc w:val="both"/>
            </w:pPr>
            <w:r>
              <w:rPr>
                <w:rFonts w:cs="Times New Roman"/>
              </w:rPr>
              <w:t>The firm's three problems, in its own words, and the one chosen:</w:t>
            </w:r>
          </w:p>
          <w:tbl>
            <w:tblPr>
              <w:tblW w:w="0" w:type="auto"/>
              <w:tblLayout w:type="fixed"/>
              <w:tblLook w:val="04A0" w:firstRow="1" w:lastRow="0" w:firstColumn="1" w:lastColumn="0" w:noHBand="0" w:noVBand="1"/>
            </w:tblPr>
            <w:tblGrid>
              <w:gridCol w:w="1957"/>
              <w:gridCol w:w="3494"/>
              <w:gridCol w:w="3789"/>
            </w:tblGrid>
            <w:tr w:rsidR="00880E72" w14:paraId="1F57F29D" w14:textId="77777777">
              <w:tc>
                <w:tcPr>
                  <w:tcW w:w="1957"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495FB0B0" w14:textId="77777777" w:rsidR="00880E72" w:rsidRDefault="00000000">
                  <w:pPr>
                    <w:spacing w:after="0"/>
                  </w:pPr>
                  <w:r>
                    <w:rPr>
                      <w:rFonts w:cs="Times New Roman"/>
                      <w:b/>
                      <w:sz w:val="22"/>
                    </w:rPr>
                    <w:t>Problem</w:t>
                  </w:r>
                </w:p>
              </w:tc>
              <w:tc>
                <w:tcPr>
                  <w:tcW w:w="3494"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770A1F35" w14:textId="77777777" w:rsidR="00880E72" w:rsidRDefault="00000000">
                  <w:pPr>
                    <w:spacing w:after="0"/>
                  </w:pPr>
                  <w:r>
                    <w:rPr>
                      <w:rFonts w:cs="Times New Roman"/>
                      <w:b/>
                      <w:sz w:val="22"/>
                    </w:rPr>
                    <w:t>What the firm said</w:t>
                  </w:r>
                </w:p>
              </w:tc>
              <w:tc>
                <w:tcPr>
                  <w:tcW w:w="3789"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5A5C3B33" w14:textId="77777777" w:rsidR="00880E72" w:rsidRDefault="00000000">
                  <w:pPr>
                    <w:spacing w:after="0"/>
                  </w:pPr>
                  <w:r>
                    <w:rPr>
                      <w:rFonts w:cs="Times New Roman"/>
                      <w:b/>
                      <w:sz w:val="22"/>
                    </w:rPr>
                    <w:t>Status</w:t>
                  </w:r>
                </w:p>
              </w:tc>
            </w:tr>
            <w:tr w:rsidR="00880E72" w14:paraId="1258CE6C" w14:textId="77777777">
              <w:tc>
                <w:tcPr>
                  <w:tcW w:w="1957"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0C0337C5" w14:textId="77777777" w:rsidR="00880E72" w:rsidRDefault="00000000">
                  <w:pPr>
                    <w:spacing w:after="0"/>
                  </w:pPr>
                  <w:r>
                    <w:rPr>
                      <w:rFonts w:cs="Times New Roman"/>
                      <w:sz w:val="22"/>
                    </w:rPr>
                    <w:t>1. Late collection and cash flow</w:t>
                  </w:r>
                </w:p>
              </w:tc>
              <w:tc>
                <w:tcPr>
                  <w:tcW w:w="3494"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27F4606" w14:textId="77777777" w:rsidR="00880E72" w:rsidRDefault="00000000">
                  <w:pPr>
                    <w:spacing w:after="0"/>
                  </w:pPr>
                  <w:r>
                    <w:rPr>
                      <w:rFonts w:cs="Times New Roman"/>
                      <w:sz w:val="22"/>
                    </w:rPr>
                    <w:t>Collection from the main client takes long; late payments and cash flow cause the most delay and loss.</w:t>
                  </w:r>
                </w:p>
              </w:tc>
              <w:tc>
                <w:tcPr>
                  <w:tcW w:w="3789"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7AE3CA2" w14:textId="77777777" w:rsidR="00880E72" w:rsidRDefault="00000000">
                  <w:pPr>
                    <w:spacing w:after="0"/>
                  </w:pPr>
                  <w:r>
                    <w:rPr>
                      <w:rFonts w:cs="Times New Roman"/>
                      <w:sz w:val="22"/>
                    </w:rPr>
                    <w:t>CHOSEN. Slow collection from its main client and cash flow were named by the firm among its top problems in its questionnaire answers. The outcome (days to payment) can be checked against the firm's own dates.</w:t>
                  </w:r>
                </w:p>
              </w:tc>
            </w:tr>
            <w:tr w:rsidR="00880E72" w14:paraId="72F7C0FF" w14:textId="77777777">
              <w:tc>
                <w:tcPr>
                  <w:tcW w:w="1957"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3F3C838" w14:textId="77777777" w:rsidR="00880E72" w:rsidRDefault="00000000">
                  <w:pPr>
                    <w:spacing w:after="0"/>
                  </w:pPr>
                  <w:r>
                    <w:rPr>
                      <w:rFonts w:cs="Times New Roman"/>
                      <w:sz w:val="22"/>
                    </w:rPr>
                    <w:lastRenderedPageBreak/>
                    <w:t>2. Materials needed</w:t>
                  </w:r>
                </w:p>
              </w:tc>
              <w:tc>
                <w:tcPr>
                  <w:tcW w:w="3494"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6A54F504" w14:textId="77777777" w:rsidR="00880E72" w:rsidRDefault="00000000">
                  <w:pPr>
                    <w:spacing w:after="0"/>
                  </w:pPr>
                  <w:r>
                    <w:rPr>
                      <w:rFonts w:cs="Times New Roman"/>
                      <w:sz w:val="22"/>
                    </w:rPr>
                    <w:t>Hardest to predict; weekly ordering from 5 suppliers.</w:t>
                  </w:r>
                </w:p>
              </w:tc>
              <w:tc>
                <w:tcPr>
                  <w:tcW w:w="3789"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8489137" w14:textId="77777777" w:rsidR="00880E72" w:rsidRDefault="00000000">
                  <w:pPr>
                    <w:spacing w:after="0"/>
                  </w:pPr>
                  <w:r>
                    <w:rPr>
                      <w:rFonts w:cs="Times New Roman"/>
                      <w:sz w:val="22"/>
                    </w:rPr>
                    <w:t>Not chosen. Its records may be used as optional extra predictors.</w:t>
                  </w:r>
                </w:p>
              </w:tc>
            </w:tr>
            <w:tr w:rsidR="00880E72" w14:paraId="7C47FE36" w14:textId="77777777">
              <w:tc>
                <w:tcPr>
                  <w:tcW w:w="1957"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5B3E48F" w14:textId="77777777" w:rsidR="00880E72" w:rsidRDefault="00000000">
                  <w:pPr>
                    <w:spacing w:after="0"/>
                  </w:pPr>
                  <w:r>
                    <w:rPr>
                      <w:rFonts w:cs="Times New Roman"/>
                      <w:sz w:val="22"/>
                    </w:rPr>
                    <w:t>3. Cost and schedule changes</w:t>
                  </w:r>
                </w:p>
              </w:tc>
              <w:tc>
                <w:tcPr>
                  <w:tcW w:w="3494"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01540769" w14:textId="77777777" w:rsidR="00880E72" w:rsidRDefault="00000000">
                  <w:pPr>
                    <w:spacing w:after="0"/>
                  </w:pPr>
                  <w:r>
                    <w:rPr>
                      <w:rFonts w:cs="Times New Roman"/>
                      <w:sz w:val="22"/>
                    </w:rPr>
                    <w:t>Final cost differs from the estimate; permits, rain, changed decisions and site obstructions.</w:t>
                  </w:r>
                </w:p>
              </w:tc>
              <w:tc>
                <w:tcPr>
                  <w:tcW w:w="3789"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0FAD093C" w14:textId="77777777" w:rsidR="00880E72" w:rsidRDefault="00000000">
                  <w:pPr>
                    <w:spacing w:after="0"/>
                  </w:pPr>
                  <w:r>
                    <w:rPr>
                      <w:rFonts w:cs="Times New Roman"/>
                      <w:sz w:val="22"/>
                    </w:rPr>
                    <w:t>Not chosen. Its project change records may be used as optional extra predictors.</w:t>
                  </w:r>
                </w:p>
              </w:tc>
            </w:tr>
          </w:tbl>
          <w:p w14:paraId="70F06AE4" w14:textId="77777777" w:rsidR="00880E72" w:rsidRDefault="00880E72"/>
          <w:p w14:paraId="5241AC6E" w14:textId="77777777" w:rsidR="00880E72" w:rsidRDefault="00880E72">
            <w:pPr>
              <w:spacing w:after="120"/>
            </w:pPr>
          </w:p>
          <w:p w14:paraId="3C80DEB0" w14:textId="77777777" w:rsidR="00880E72" w:rsidRDefault="00000000">
            <w:pPr>
              <w:spacing w:after="240"/>
              <w:jc w:val="both"/>
            </w:pPr>
            <w:r>
              <w:rPr>
                <w:rFonts w:cs="Times New Roman"/>
              </w:rPr>
              <w:t>Payroll and manpower were also named, but they involve personal data and are outside the scope.</w:t>
            </w:r>
          </w:p>
          <w:p w14:paraId="36EBE0E7" w14:textId="77777777" w:rsidR="00880E72" w:rsidRDefault="00000000">
            <w:pPr>
              <w:keepNext/>
              <w:spacing w:after="120"/>
            </w:pPr>
            <w:r>
              <w:rPr>
                <w:rFonts w:cs="Times New Roman"/>
                <w:b/>
              </w:rPr>
              <w:t>Algorithm/Technique Justification</w:t>
            </w:r>
          </w:p>
          <w:tbl>
            <w:tblPr>
              <w:tblW w:w="0" w:type="auto"/>
              <w:tblLayout w:type="fixed"/>
              <w:tblLook w:val="04A0" w:firstRow="1" w:lastRow="0" w:firstColumn="1" w:lastColumn="0" w:noHBand="0" w:noVBand="1"/>
            </w:tblPr>
            <w:tblGrid>
              <w:gridCol w:w="2320"/>
              <w:gridCol w:w="6920"/>
            </w:tblGrid>
            <w:tr w:rsidR="00880E72" w14:paraId="2619C588" w14:textId="77777777">
              <w:tc>
                <w:tcPr>
                  <w:tcW w:w="23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21FC507" w14:textId="77777777" w:rsidR="00880E72" w:rsidRDefault="00000000">
                  <w:pPr>
                    <w:spacing w:after="0"/>
                  </w:pPr>
                  <w:r>
                    <w:rPr>
                      <w:rFonts w:cs="Times New Roman"/>
                      <w:b/>
                      <w:sz w:val="22"/>
                    </w:rPr>
                    <w:t>Identified problem</w:t>
                  </w:r>
                </w:p>
              </w:tc>
              <w:tc>
                <w:tcPr>
                  <w:tcW w:w="69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67D65F7A" w14:textId="77777777" w:rsidR="00880E72" w:rsidRDefault="00000000">
                  <w:pPr>
                    <w:spacing w:after="0"/>
                  </w:pPr>
                  <w:r>
                    <w:rPr>
                      <w:rFonts w:cs="Times New Roman"/>
                      <w:sz w:val="22"/>
                    </w:rPr>
                    <w:t>Slow collection and cash flow: billings are paid later than the firm can plan for.</w:t>
                  </w:r>
                </w:p>
              </w:tc>
            </w:tr>
            <w:tr w:rsidR="00880E72" w14:paraId="3B47D4FF" w14:textId="77777777">
              <w:tc>
                <w:tcPr>
                  <w:tcW w:w="23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5BBAFB3" w14:textId="77777777" w:rsidR="00880E72" w:rsidRDefault="00000000">
                  <w:pPr>
                    <w:spacing w:after="0"/>
                  </w:pPr>
                  <w:r>
                    <w:rPr>
                      <w:rFonts w:cs="Times New Roman"/>
                      <w:b/>
                      <w:sz w:val="22"/>
                    </w:rPr>
                    <w:t>Computational task</w:t>
                  </w:r>
                </w:p>
              </w:tc>
              <w:tc>
                <w:tcPr>
                  <w:tcW w:w="69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C502FD5" w14:textId="77777777" w:rsidR="00880E72" w:rsidRDefault="00000000">
                  <w:pPr>
                    <w:spacing w:after="0"/>
                  </w:pPr>
                  <w:r>
                    <w:rPr>
                      <w:rFonts w:cs="Times New Roman"/>
                      <w:sz w:val="22"/>
                    </w:rPr>
                    <w:t>Predict days to payment for each progress billing (regression); late-or-on-time is derived from the same prediction.</w:t>
                  </w:r>
                </w:p>
              </w:tc>
            </w:tr>
            <w:tr w:rsidR="00880E72" w14:paraId="67D6BBF9" w14:textId="77777777">
              <w:tc>
                <w:tcPr>
                  <w:tcW w:w="23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DC31393" w14:textId="77777777" w:rsidR="00880E72" w:rsidRDefault="00000000">
                  <w:pPr>
                    <w:spacing w:after="0"/>
                  </w:pPr>
                  <w:r>
                    <w:rPr>
                      <w:rFonts w:cs="Times New Roman"/>
                      <w:b/>
                      <w:sz w:val="22"/>
                    </w:rPr>
                    <w:t>Proposed technique</w:t>
                  </w:r>
                </w:p>
              </w:tc>
              <w:tc>
                <w:tcPr>
                  <w:tcW w:w="69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FD2DF8B" w14:textId="77777777" w:rsidR="00880E72" w:rsidRDefault="00000000">
                  <w:pPr>
                    <w:spacing w:after="0"/>
                  </w:pPr>
                  <w:r>
                    <w:rPr>
                      <w:rFonts w:cs="Times New Roman"/>
                      <w:sz w:val="22"/>
                    </w:rPr>
                    <w:t xml:space="preserve">Gradient boosting with a modified loss: weighted by billing amount and asymmetric, penalizing predictions that are too early more than too late (Bauer et al., 2024; Laimighofer et al., 2022; Masnadi-Shirazi &amp; Vasconcelos, 2011). The unmodified version is kept as a control so the effect of the change is measured by itself. </w:t>
                  </w:r>
                </w:p>
              </w:tc>
            </w:tr>
            <w:tr w:rsidR="00880E72" w14:paraId="1E205F13" w14:textId="77777777">
              <w:tc>
                <w:tcPr>
                  <w:tcW w:w="23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33F62F8D" w14:textId="77777777" w:rsidR="00880E72" w:rsidRDefault="00000000">
                  <w:pPr>
                    <w:spacing w:after="0"/>
                  </w:pPr>
                  <w:r>
                    <w:rPr>
                      <w:rFonts w:cs="Times New Roman"/>
                      <w:b/>
                      <w:sz w:val="22"/>
                    </w:rPr>
                    <w:t>Comparison</w:t>
                  </w:r>
                </w:p>
              </w:tc>
              <w:tc>
                <w:tcPr>
                  <w:tcW w:w="69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068B03E0" w14:textId="77777777" w:rsidR="00880E72" w:rsidRDefault="00000000">
                  <w:pPr>
                    <w:spacing w:after="0"/>
                  </w:pPr>
                  <w:r>
                    <w:rPr>
                      <w:rFonts w:cs="Times New Roman"/>
                      <w:sz w:val="22"/>
                    </w:rPr>
                    <w:t xml:space="preserve">Variants A to H described in 2.0: the firm's average delay, gradient boosting with squared, absolute and quantile loss, amount weights only, asymmetric penalty only, both together (proposed), and one other algorithm (Egwim et al., 2021; Fouad et al., 2025; Moore &amp; van Vuuren, 2024; Saini et al., 2024). The final list and its number depend on the literature. </w:t>
                  </w:r>
                </w:p>
              </w:tc>
            </w:tr>
            <w:tr w:rsidR="00880E72" w14:paraId="2F10CF94" w14:textId="77777777">
              <w:tc>
                <w:tcPr>
                  <w:tcW w:w="23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AEC264E" w14:textId="77777777" w:rsidR="00880E72" w:rsidRDefault="00000000">
                  <w:pPr>
                    <w:spacing w:after="0"/>
                  </w:pPr>
                  <w:r>
                    <w:rPr>
                      <w:rFonts w:cs="Times New Roman"/>
                      <w:b/>
                      <w:sz w:val="22"/>
                    </w:rPr>
                    <w:t>Required data</w:t>
                  </w:r>
                </w:p>
              </w:tc>
              <w:tc>
                <w:tcPr>
                  <w:tcW w:w="69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30866656" w14:textId="77777777" w:rsidR="00880E72" w:rsidRDefault="00000000">
                  <w:pPr>
                    <w:spacing w:after="0"/>
                  </w:pPr>
                  <w:r>
                    <w:rPr>
                      <w:rFonts w:cs="Times New Roman"/>
                      <w:sz w:val="22"/>
                    </w:rPr>
                    <w:t>About 2 years, up to the latest billing, with more than 500 progress billings, including billings not yet paid with the payment date left blank. Billing and payment dates, amounts and project for each progress billing, plus approval-stage dates if kept. Optional: material spending and project cost changes. No personal data.</w:t>
                  </w:r>
                </w:p>
              </w:tc>
            </w:tr>
            <w:tr w:rsidR="00880E72" w14:paraId="045B672E" w14:textId="77777777">
              <w:tc>
                <w:tcPr>
                  <w:tcW w:w="23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32F82E8B" w14:textId="77777777" w:rsidR="00880E72" w:rsidRDefault="00000000">
                  <w:pPr>
                    <w:spacing w:after="0"/>
                  </w:pPr>
                  <w:r>
                    <w:rPr>
                      <w:rFonts w:cs="Times New Roman"/>
                      <w:b/>
                      <w:sz w:val="22"/>
                    </w:rPr>
                    <w:t>Expected output</w:t>
                  </w:r>
                </w:p>
              </w:tc>
              <w:tc>
                <w:tcPr>
                  <w:tcW w:w="69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61E52CD" w14:textId="77777777" w:rsidR="00880E72" w:rsidRDefault="00000000">
                  <w:pPr>
                    <w:spacing w:after="0"/>
                  </w:pPr>
                  <w:r>
                    <w:rPr>
                      <w:rFonts w:cs="Times New Roman"/>
                      <w:sz w:val="22"/>
                    </w:rPr>
                    <w:t>A predicted days-to-payment for each billing, a flag for billings likely to be late, and a plain comparison of the modified and unmodified models.</w:t>
                  </w:r>
                </w:p>
              </w:tc>
            </w:tr>
            <w:tr w:rsidR="00880E72" w14:paraId="003DF691" w14:textId="77777777">
              <w:tc>
                <w:tcPr>
                  <w:tcW w:w="23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19207FB" w14:textId="77777777" w:rsidR="00880E72" w:rsidRDefault="00000000">
                  <w:pPr>
                    <w:spacing w:after="0"/>
                  </w:pPr>
                  <w:r>
                    <w:rPr>
                      <w:rFonts w:cs="Times New Roman"/>
                      <w:b/>
                      <w:sz w:val="22"/>
                    </w:rPr>
                    <w:t>Evaluation</w:t>
                  </w:r>
                </w:p>
              </w:tc>
              <w:tc>
                <w:tcPr>
                  <w:tcW w:w="69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A4911D6" w14:textId="77777777" w:rsidR="00880E72" w:rsidRDefault="00000000">
                  <w:pPr>
                    <w:spacing w:after="0"/>
                  </w:pPr>
                  <w:r>
                    <w:rPr>
                      <w:rFonts w:cs="Times New Roman"/>
                      <w:sz w:val="22"/>
                    </w:rPr>
                    <w:t xml:space="preserve">Expanding-window chronological evaluation over several forward windows, a final untouched test period (about 60% / 20% / 20% of the billings by billing date for training, validation and test), and no leakage (a payment outcome counts only once it is known). Metrics proposed with the algorithm: mean absolute error in days; the same weighted by billing amount; underprediction exposure U, meaning the billing amount times the days by which payment arrives later than predicted, added up (peso-days), and overprediction exposure O, the same for payment arriving earlier than predicted, so that a model cannot look good by predicting every payment very late; a balanced cost C = c_u x U + c_o x O in pesos, with c_u and c_o expressed as estimated cost per peso-day of exposure (for example a daily </w:t>
                  </w:r>
                  <w:r>
                    <w:rPr>
                      <w:rFonts w:cs="Times New Roman"/>
                      <w:sz w:val="22"/>
                    </w:rPr>
                    <w:lastRenderedPageBreak/>
                    <w:t xml:space="preserve">financing cost per peso, taken from the firm's cost of a late payment and cost of holding extra cash) with the values to be obtained from the firm's finance staff, and any conversion from other units documented; U and O are potential cash-planning exposure, not realized loss; and the share of billings predicted paid too early by more than an agreed number of days; recall and F2 on late billings (secondary, only where due dates are known). Efficiency: training and prediction time. Primary metric: the balanced cost C; if the firm's costs are not available, U and O across the grid of k with dominance as defined under Setting k, and amount-weighted MAE reported next to them. The key comparisons are G against B, G against E and F, G against D, and G against B+shift, with a paired bootstrap that resamples whole projects. Metrics to be agreed with the adviser and the firm (Laimighofer et al., 2022; Saini et al., 2024). </w:t>
                  </w:r>
                </w:p>
              </w:tc>
            </w:tr>
          </w:tbl>
          <w:p w14:paraId="6428D883" w14:textId="77777777" w:rsidR="00880E72" w:rsidRDefault="00880E72"/>
          <w:p w14:paraId="0E071082" w14:textId="77777777" w:rsidR="00880E72" w:rsidRDefault="00880E72">
            <w:pPr>
              <w:spacing w:after="120"/>
            </w:pPr>
          </w:p>
        </w:tc>
      </w:tr>
    </w:tbl>
    <w:p w14:paraId="64F448FC" w14:textId="77777777" w:rsidR="00880E72" w:rsidRDefault="00880E72">
      <w:pPr>
        <w:spacing w:after="120"/>
      </w:pPr>
    </w:p>
    <w:tbl>
      <w:tblPr>
        <w:tblW w:w="0" w:type="auto"/>
        <w:tblLayout w:type="fixed"/>
        <w:tblLook w:val="04A0" w:firstRow="1" w:lastRow="0" w:firstColumn="1" w:lastColumn="0" w:noHBand="0" w:noVBand="1"/>
      </w:tblPr>
      <w:tblGrid>
        <w:gridCol w:w="9920"/>
      </w:tblGrid>
      <w:tr w:rsidR="00880E72" w14:paraId="59B4DF9A" w14:textId="77777777">
        <w:tc>
          <w:tcPr>
            <w:tcW w:w="9920" w:type="dxa"/>
            <w:tcBorders>
              <w:top w:val="single" w:sz="8" w:space="0" w:color="006600"/>
              <w:left w:val="single" w:sz="8" w:space="0" w:color="006600"/>
              <w:bottom w:val="single" w:sz="8" w:space="0" w:color="006600"/>
              <w:right w:val="single" w:sz="8" w:space="0" w:color="006600"/>
            </w:tcBorders>
            <w:shd w:val="clear" w:color="auto" w:fill="00B050"/>
            <w:tcMar>
              <w:top w:w="20" w:type="dxa"/>
              <w:left w:w="112" w:type="dxa"/>
              <w:bottom w:w="20" w:type="dxa"/>
              <w:right w:w="112" w:type="dxa"/>
            </w:tcMar>
          </w:tcPr>
          <w:p w14:paraId="0AA0E66F" w14:textId="77777777" w:rsidR="00880E72" w:rsidRDefault="00000000">
            <w:pPr>
              <w:keepNext/>
              <w:tabs>
                <w:tab w:val="left" w:pos="720"/>
              </w:tabs>
              <w:spacing w:after="0"/>
            </w:pPr>
            <w:r>
              <w:rPr>
                <w:rFonts w:cs="Times New Roman"/>
                <w:b/>
              </w:rPr>
              <w:t>2.0</w:t>
            </w:r>
            <w:r>
              <w:rPr>
                <w:rFonts w:cs="Times New Roman"/>
                <w:b/>
              </w:rPr>
              <w:tab/>
              <w:t>Background and Rationale of the Project/System:</w:t>
            </w:r>
          </w:p>
        </w:tc>
      </w:tr>
      <w:tr w:rsidR="00880E72" w14:paraId="575D5D36" w14:textId="77777777">
        <w:tc>
          <w:tcPr>
            <w:tcW w:w="9920" w:type="dxa"/>
            <w:tcBorders>
              <w:top w:val="nil"/>
              <w:left w:val="single" w:sz="8" w:space="0" w:color="006600"/>
              <w:bottom w:val="single" w:sz="8" w:space="0" w:color="006600"/>
              <w:right w:val="single" w:sz="8" w:space="0" w:color="006600"/>
            </w:tcBorders>
            <w:tcMar>
              <w:top w:w="40" w:type="dxa"/>
              <w:left w:w="112" w:type="dxa"/>
              <w:bottom w:w="40" w:type="dxa"/>
              <w:right w:w="112" w:type="dxa"/>
            </w:tcMar>
          </w:tcPr>
          <w:p w14:paraId="0AF30864" w14:textId="77777777" w:rsidR="00880E72" w:rsidRDefault="00000000">
            <w:pPr>
              <w:spacing w:after="240"/>
              <w:jc w:val="both"/>
            </w:pPr>
            <w:r>
              <w:rPr>
                <w:rFonts w:cs="Times New Roman"/>
              </w:rPr>
              <w:t xml:space="preserve">The task is to predict, for each progress billing, the number of days until it is paid, from billing information such as amount, project, billing stage dates, the client's past payment behaviour and the time of year. The target is days to payment, counted from the billing submission date to the payment date; if the contract's payment terms or due dates are available, a billing is called late when it is paid after its due date, and that flag comes from the same prediction. Plain error measures treat every billing and every mistake the same. For the firm, a late payment predicted as early is the costly mistake, because cash is planned on money that has not arrived, and a large billing matters more than a small one. The proposed modification changes the training objective of gradient boosting so that errors are weighted by billing amount and predicting a payment too early is penalized more than predicting it too late (Bauer et al., 2024; Laimighofer et al., 2022; Masnadi-Shirazi &amp; Vasconcelos, 2011). </w:t>
            </w:r>
          </w:p>
          <w:p w14:paraId="289597F5" w14:textId="77777777" w:rsidR="00880E72" w:rsidRDefault="00000000">
            <w:pPr>
              <w:spacing w:after="240"/>
              <w:jc w:val="both"/>
            </w:pPr>
            <w:r>
              <w:rPr>
                <w:rFonts w:cs="Times New Roman"/>
              </w:rPr>
              <w:t>How the loss is defined and how its penalty is set. For billing i, let the error be the predicted days minus the actual days. The loss for that billing is its weight times the squared error, and when the prediction is too early (negative error) the squared error is multiplied by a penalty k of at least 1. The weight is the billing amount divided by the median billing amount, capped at an upper limit so that one very large billing cannot dominate training; the cap is itself tested. Setting k to 1 and every weight to 1 gives the ordinary squared loss, which is the unmodified control. The asymmetric squared loss is the expectile loss (Newey &amp; Powell, 1987), and the quantile loss used in variant D comes from quantile regression (Koenker &amp; Bassett, 1978).</w:t>
            </w:r>
          </w:p>
          <w:p w14:paraId="0DF34B41" w14:textId="77777777" w:rsidR="00880E72" w:rsidRDefault="00000000">
            <w:pPr>
              <w:spacing w:after="240"/>
              <w:jc w:val="both"/>
            </w:pPr>
            <w:r>
              <w:rPr>
                <w:rFonts w:cs="Times New Roman"/>
              </w:rPr>
              <w:t xml:space="preserve">Setting k. The penalty k is not chosen by guess. First choice: the firm's own cost ratio, that is the cost of one day of unplanned cash shortfall (for example short-term borrowing interest or penalties) divided by the cost of one day of unnecessary cash buffer, taken from the finance staff's answers once the firm provides them. This cost ratio is a starting hypothesis for k, not an exact equivalent in a squared loss, so it is also checked on validation billings. If the firm cannot give these costs, k is </w:t>
            </w:r>
            <w:r>
              <w:rPr>
                <w:rFonts w:cs="Times New Roman"/>
              </w:rPr>
              <w:lastRenderedPageBreak/>
              <w:t>evaluated over a fixed grid (1, 2, 3, 5 and 10) and the result is reported for every value in a sensitivity table; the value used in the final model is picked on validation billings by a rule fixed in advance: the lowest balanced cost C (defined under Evaluation), when the firm's costs are known. If they are not available, amount-weighted error alone cannot say which balance between early and late predictions is financially preferable, so no single best k is claimed; G is reported at every k in the grid next to B and the quantile model D, and one model is said to dominate another only when it is no worse on both U and O and strictly better on at least one. Otherwise the result is reported as a trade-off, not as overall superiority.</w:t>
            </w:r>
          </w:p>
          <w:p w14:paraId="499AA766" w14:textId="77777777" w:rsidR="00880E72" w:rsidRDefault="00000000">
            <w:pPr>
              <w:spacing w:after="240"/>
              <w:jc w:val="both"/>
            </w:pPr>
            <w:r>
              <w:rPr>
                <w:rFonts w:cs="Times New Roman"/>
              </w:rPr>
              <w:t xml:space="preserve">Implementation. The loss is implemented as a custom objective in the chosen gradient boosting library (Friedman, 2001; for example XGBoost, Chen &amp; Guestrin, 2016), with first derivative 2 x w x a x error and second derivative 2 x w x a, where a is k when the prediction is too early and 1 otherwise (one fixed convention is used at zero error); the median billing amount comes from training billings only, the weight cap is chosen on validation billings, and predictions are kept at zero days or more (Laimighofer et al., 2022). </w:t>
            </w:r>
          </w:p>
          <w:p w14:paraId="4D14C307" w14:textId="77777777" w:rsidR="00880E72" w:rsidRDefault="00000000">
            <w:pPr>
              <w:spacing w:after="240"/>
              <w:jc w:val="both"/>
            </w:pPr>
            <w:r>
              <w:rPr>
                <w:rFonts w:cs="Times New Roman"/>
              </w:rPr>
              <w:t>How the modification is tested fairly. Every model sees only information known when the billing is issued; approval-stage dates that happen after the billing is issued are not used as predictors, and a table of which fields are known at billing time is made once the files are opened.</w:t>
            </w:r>
          </w:p>
          <w:p w14:paraId="308ACE9E" w14:textId="77777777" w:rsidR="00880E72" w:rsidRDefault="00000000">
            <w:pPr>
              <w:spacing w:after="240"/>
              <w:jc w:val="both"/>
            </w:pPr>
            <w:r>
              <w:rPr>
                <w:rFonts w:cs="Times New Roman"/>
              </w:rPr>
              <w:t>Training and testing. Training uses an expanding window (Hyndman &amp; Athanasopoulos, 2021): at each training cutoff date only billings whose payment date is on or before the cutoff count as completed training examples, so a billing issued before the cutoff but paid after it is not used as a known outcome; the firm's past payment behaviour used as a predictor, the median billing amount and any scaling are computed from those billings only. Testing uses later billings, repeated over several forward windows (the number depends on how many billings exist), and a final test period is kept untouched until the model, k and the weight cap are fixed on validation windows. In numbers, the billings are split by billing date into about 60% for training, 20% for validation and 20% for the final untouched test period, and the training window expands over the forward windows.</w:t>
            </w:r>
          </w:p>
          <w:p w14:paraId="58254C87" w14:textId="77777777" w:rsidR="00880E72" w:rsidRDefault="00000000">
            <w:pPr>
              <w:spacing w:after="240"/>
              <w:jc w:val="both"/>
            </w:pPr>
            <w:r>
              <w:rPr>
                <w:rFonts w:cs="Times New Roman"/>
              </w:rPr>
              <w:t>Comparison. The proposed model is compared with these variants so that the effect of each part is measured separately: (A) the firm's average payment delay; (B) gradient boosting with standard squared loss; (C) gradient boosting with absolute loss; (D) gradient boosting with a quantile loss; (E) amount weights only; (F) asymmetric penalty only; (G) both together, which is the proposed model; and (H) one other algorithm such as a random forest (Breiman, 2001). All models get the same predictors, the same chronological windows and the same tuning effort. The quantile level in D is chosen on validation billings by the same rule used for k, the firm's average delay in A is computed only from earlier, already-paid billings, and variant C is optional if the literature gives no reason to keep it. As a simple extra reference, B with a constant number of days added to its predictions (B+shift, the shift chosen on validation by the same rule as k) is also reported, because predicting later by a fixed amount is the easiest way to lower U, and G has to do better than that.</w:t>
            </w:r>
          </w:p>
          <w:p w14:paraId="29F5BBAC" w14:textId="77777777" w:rsidR="00880E72" w:rsidRDefault="00000000">
            <w:pPr>
              <w:spacing w:after="240"/>
              <w:jc w:val="both"/>
            </w:pPr>
            <w:r>
              <w:rPr>
                <w:rFonts w:cs="Times New Roman"/>
              </w:rPr>
              <w:t xml:space="preserve">Statistical test. The difference between G and B on the primary metric (the balanced cost C; if the firm's costs are not available, the separate differences in U and O, each with its own interval) is checked with a paired bootstrap on the same test billings that resamples whole projects, because billings from one project are not independent. The number of distinct projects is reported; if there </w:t>
            </w:r>
            <w:r>
              <w:rPr>
                <w:rFonts w:cs="Times New Roman"/>
              </w:rPr>
              <w:lastRenderedPageBreak/>
              <w:t>are too few for this to be reliable, a time-block bootstrap is used instead. The estimated difference and a 95 percent interval are reported with the size of the improvement; an interval that includes zero is reported as no clear difference, not as equivalence. If G does not beat B, that is reported as a finding and the thesis still stands as an evaluation of whether the modification helps.</w:t>
            </w:r>
          </w:p>
          <w:p w14:paraId="532D8D26" w14:textId="77777777" w:rsidR="00880E72" w:rsidRDefault="00000000">
            <w:pPr>
              <w:spacing w:after="240"/>
              <w:jc w:val="both"/>
            </w:pPr>
            <w:r>
              <w:rPr>
                <w:rFonts w:cs="Times New Roman"/>
              </w:rPr>
              <w:t xml:space="preserve">Billings that are not paid yet. Some billings will still be unpaid when the data is taken, and the slowest payers are the likeliest to be among them, so leaving them out would make every model look better than it is. A data cutoff date is fixed before modelling. Each model is scored on completed billings issued early enough before the cutoff that most are expected to be paid, with the rule fixed in advance, and the number of unpaid billings is reported. An unpaid billing's true waiting time is only known to be at least the days waited so far (a right-censored case), so it is never given an invented payment date. Ordinary error measures use only completed billings, and this limit is stated. For the unpaid billings a separate check counts the cases where the prediction is below the waiting time already observed (the larger of 0 and the waiting time minus the prediction), because those predictions are certainly too early; where the prediction is above the waiting time the error direction is still unknown, so this check does not rank the models by itself. If many billings are unpaid, a survival-analysis baseline is considered (Moore &amp; van Vuuren, 2024; Saini et al., 2024). </w:t>
            </w:r>
          </w:p>
          <w:p w14:paraId="158CD894" w14:textId="77777777" w:rsidR="00880E72" w:rsidRDefault="00000000">
            <w:pPr>
              <w:spacing w:after="120"/>
              <w:jc w:val="both"/>
            </w:pPr>
            <w:r>
              <w:rPr>
                <w:rFonts w:cs="Times New Roman"/>
              </w:rPr>
              <w:t>What the literature gap means. Based on the literature reviewed so far, studies predict invoice payment with standard classification, survival and ensemble models (Appel et al., 2020; Bahrami et al., 2020; Moore &amp; van Vuuren, 2024; Saini et al., 2024; Schoonbee et al., 2022; Zeng et al., 2007). In construction, payment delay has been studied for its causes and effects (Azman et al., 2014; Bageis, 2024; Xie et al., 2019), and one recent study predicts the severity of payment delay from survey answers about client and contractor relationships (Wang et al., 2026). Construction studies on project delay and material demand also compare boosting with other models (Egwim et al., 2021; Fouad et al., 2025), and studies elsewhere change the loss to match unequal costs (Bauer et al., 2024; Laimighofer et al., 2022; Masnadi-Shirazi &amp; Vasconcelos, 2011). Limited evidence was found for a combined amount-weighted, direction-sensitive loss in predicting construction progress billing payment time from a firm's own billing records (searches done, not exhaustive). The asymmetric squared loss is closely related to expectile regression (Laimighofer et al., 2022), so the group does not claim a first or a new algorithm; the contribution is the combined, amount-weighted objective and its evaluation on this problem. The thesis therefore treats the benefit as a hypothesis and tests it directly against the unmodified model on the firm's own data.</w:t>
            </w:r>
          </w:p>
        </w:tc>
      </w:tr>
    </w:tbl>
    <w:p w14:paraId="33CDCA58" w14:textId="77777777" w:rsidR="00880E72" w:rsidRDefault="00880E72">
      <w:pPr>
        <w:spacing w:after="120"/>
      </w:pPr>
    </w:p>
    <w:tbl>
      <w:tblPr>
        <w:tblW w:w="0" w:type="auto"/>
        <w:tblLayout w:type="fixed"/>
        <w:tblLook w:val="04A0" w:firstRow="1" w:lastRow="0" w:firstColumn="1" w:lastColumn="0" w:noHBand="0" w:noVBand="1"/>
      </w:tblPr>
      <w:tblGrid>
        <w:gridCol w:w="9920"/>
      </w:tblGrid>
      <w:tr w:rsidR="00880E72" w14:paraId="1D9F048F" w14:textId="77777777">
        <w:tc>
          <w:tcPr>
            <w:tcW w:w="9920" w:type="dxa"/>
            <w:tcBorders>
              <w:top w:val="single" w:sz="8" w:space="0" w:color="006600"/>
              <w:left w:val="single" w:sz="8" w:space="0" w:color="006600"/>
              <w:bottom w:val="single" w:sz="8" w:space="0" w:color="006600"/>
              <w:right w:val="single" w:sz="8" w:space="0" w:color="006600"/>
            </w:tcBorders>
            <w:shd w:val="clear" w:color="auto" w:fill="00B050"/>
            <w:tcMar>
              <w:top w:w="20" w:type="dxa"/>
              <w:left w:w="112" w:type="dxa"/>
              <w:bottom w:w="20" w:type="dxa"/>
              <w:right w:w="112" w:type="dxa"/>
            </w:tcMar>
          </w:tcPr>
          <w:p w14:paraId="78D850C1" w14:textId="77777777" w:rsidR="00880E72" w:rsidRDefault="00000000">
            <w:pPr>
              <w:keepNext/>
              <w:tabs>
                <w:tab w:val="left" w:pos="720"/>
              </w:tabs>
              <w:spacing w:after="0"/>
            </w:pPr>
            <w:r>
              <w:rPr>
                <w:rFonts w:cs="Times New Roman"/>
                <w:b/>
              </w:rPr>
              <w:t>3.0</w:t>
            </w:r>
            <w:r>
              <w:rPr>
                <w:rFonts w:cs="Times New Roman"/>
                <w:b/>
              </w:rPr>
              <w:tab/>
              <w:t>Statement of Objectives:</w:t>
            </w:r>
          </w:p>
        </w:tc>
      </w:tr>
      <w:tr w:rsidR="00880E72" w14:paraId="6C559FF0" w14:textId="77777777">
        <w:tc>
          <w:tcPr>
            <w:tcW w:w="9920" w:type="dxa"/>
            <w:tcBorders>
              <w:top w:val="nil"/>
              <w:left w:val="single" w:sz="8" w:space="0" w:color="006600"/>
              <w:bottom w:val="single" w:sz="8" w:space="0" w:color="006600"/>
              <w:right w:val="single" w:sz="8" w:space="0" w:color="006600"/>
            </w:tcBorders>
            <w:tcMar>
              <w:top w:w="40" w:type="dxa"/>
              <w:left w:w="112" w:type="dxa"/>
              <w:bottom w:w="40" w:type="dxa"/>
              <w:right w:w="112" w:type="dxa"/>
            </w:tcMar>
          </w:tcPr>
          <w:p w14:paraId="787EB2F2" w14:textId="77777777" w:rsidR="00880E72" w:rsidRDefault="00000000">
            <w:pPr>
              <w:spacing w:after="480"/>
              <w:jc w:val="both"/>
            </w:pPr>
            <w:r>
              <w:rPr>
                <w:rFonts w:cs="Times New Roman"/>
                <w:b/>
              </w:rPr>
              <w:t>General objective.</w:t>
            </w:r>
            <w:r>
              <w:rPr>
                <w:rFonts w:cs="Times New Roman"/>
              </w:rPr>
              <w:t xml:space="preserve"> To develop and evaluate a gradient boosting model with a modified, cash-flow-aware loss that predicts the payment delay of the firm's progress billings, using the firm's own records.</w:t>
            </w:r>
          </w:p>
          <w:p w14:paraId="2FA3D551" w14:textId="77777777" w:rsidR="00880E72" w:rsidRDefault="00000000">
            <w:pPr>
              <w:spacing w:after="120"/>
              <w:jc w:val="both"/>
            </w:pPr>
            <w:r>
              <w:rPr>
                <w:rFonts w:cs="Times New Roman"/>
              </w:rPr>
              <w:t>Specific objectives:</w:t>
            </w:r>
          </w:p>
          <w:p w14:paraId="3B3B5161" w14:textId="77777777" w:rsidR="00880E72" w:rsidRDefault="00000000">
            <w:pPr>
              <w:spacing w:after="120"/>
              <w:ind w:left="720" w:hanging="360"/>
              <w:jc w:val="both"/>
            </w:pPr>
            <w:r>
              <w:rPr>
                <w:rFonts w:cs="Times New Roman"/>
              </w:rPr>
              <w:lastRenderedPageBreak/>
              <w:t>1. Build a cleaned billing data set from the firm's shareable records, with documented cleaning rules and a time-based split.</w:t>
            </w:r>
          </w:p>
          <w:p w14:paraId="6DADBE9E" w14:textId="77777777" w:rsidR="00880E72" w:rsidRDefault="00000000">
            <w:pPr>
              <w:spacing w:after="120"/>
              <w:ind w:left="720" w:hanging="360"/>
              <w:jc w:val="both"/>
            </w:pPr>
            <w:r>
              <w:rPr>
                <w:rFonts w:cs="Times New Roman"/>
              </w:rPr>
              <w:t>2. Set a transparent baseline and fit gradient boosting with its standard loss, a quantile-loss model and at least one other algorithm.</w:t>
            </w:r>
          </w:p>
          <w:p w14:paraId="3D769F12" w14:textId="77777777" w:rsidR="00880E72" w:rsidRDefault="00000000">
            <w:pPr>
              <w:spacing w:after="120"/>
              <w:ind w:left="720" w:hanging="360"/>
              <w:jc w:val="both"/>
            </w:pPr>
            <w:r>
              <w:rPr>
                <w:rFonts w:cs="Times New Roman"/>
              </w:rPr>
              <w:t>3. Implement the amount-weighted, asymmetric loss, set its penalty from the firm's costs or a validated grid, and test whether it improves on the unmodified model, with each part (weights, asymmetry) measured separately.</w:t>
            </w:r>
          </w:p>
          <w:p w14:paraId="0AC15022" w14:textId="77777777" w:rsidR="00880E72" w:rsidRDefault="00000000">
            <w:pPr>
              <w:spacing w:after="120"/>
              <w:ind w:left="720" w:hanging="360"/>
              <w:jc w:val="both"/>
            </w:pPr>
            <w:r>
              <w:rPr>
                <w:rFonts w:cs="Times New Roman"/>
              </w:rPr>
              <w:t>4. Evaluate all models with accuracy and directional exposure metrics on later billings, estimate the balanced cost in pesos when the firm's costs allow, and report where they fail.</w:t>
            </w:r>
          </w:p>
          <w:p w14:paraId="352BCC9E" w14:textId="77777777" w:rsidR="00880E72" w:rsidRDefault="00000000">
            <w:pPr>
              <w:spacing w:after="120"/>
              <w:ind w:left="720" w:hanging="360"/>
              <w:jc w:val="both"/>
            </w:pPr>
            <w:r>
              <w:rPr>
                <w:rFonts w:cs="Times New Roman"/>
              </w:rPr>
              <w:t>5. Secondary, only if time allows: test whether optional predictors (material spending, project cost changes) add value, and explain predictions in terms the firm's staff can use.</w:t>
            </w:r>
          </w:p>
        </w:tc>
      </w:tr>
    </w:tbl>
    <w:p w14:paraId="2BE5B286" w14:textId="77777777" w:rsidR="00880E72" w:rsidRDefault="00880E72">
      <w:pPr>
        <w:spacing w:after="120"/>
      </w:pPr>
    </w:p>
    <w:tbl>
      <w:tblPr>
        <w:tblW w:w="0" w:type="auto"/>
        <w:tblLayout w:type="fixed"/>
        <w:tblLook w:val="04A0" w:firstRow="1" w:lastRow="0" w:firstColumn="1" w:lastColumn="0" w:noHBand="0" w:noVBand="1"/>
      </w:tblPr>
      <w:tblGrid>
        <w:gridCol w:w="9920"/>
      </w:tblGrid>
      <w:tr w:rsidR="00880E72" w14:paraId="31900A9D" w14:textId="77777777">
        <w:tc>
          <w:tcPr>
            <w:tcW w:w="9920" w:type="dxa"/>
            <w:tcBorders>
              <w:top w:val="single" w:sz="8" w:space="0" w:color="006600"/>
              <w:left w:val="single" w:sz="8" w:space="0" w:color="006600"/>
              <w:bottom w:val="single" w:sz="8" w:space="0" w:color="006600"/>
              <w:right w:val="single" w:sz="8" w:space="0" w:color="006600"/>
            </w:tcBorders>
            <w:shd w:val="clear" w:color="auto" w:fill="00B050"/>
            <w:tcMar>
              <w:top w:w="20" w:type="dxa"/>
              <w:left w:w="112" w:type="dxa"/>
              <w:bottom w:w="20" w:type="dxa"/>
              <w:right w:w="112" w:type="dxa"/>
            </w:tcMar>
          </w:tcPr>
          <w:p w14:paraId="25FE8DBB" w14:textId="77777777" w:rsidR="00880E72" w:rsidRDefault="00000000">
            <w:pPr>
              <w:keepNext/>
              <w:tabs>
                <w:tab w:val="left" w:pos="720"/>
              </w:tabs>
              <w:spacing w:after="0"/>
            </w:pPr>
            <w:r>
              <w:rPr>
                <w:rFonts w:cs="Times New Roman"/>
                <w:b/>
              </w:rPr>
              <w:t>4.0</w:t>
            </w:r>
            <w:r>
              <w:rPr>
                <w:rFonts w:cs="Times New Roman"/>
                <w:b/>
              </w:rPr>
              <w:tab/>
              <w:t>Scope and Limitations of the Study:</w:t>
            </w:r>
          </w:p>
        </w:tc>
      </w:tr>
      <w:tr w:rsidR="00880E72" w14:paraId="5F927663" w14:textId="77777777">
        <w:tc>
          <w:tcPr>
            <w:tcW w:w="9920" w:type="dxa"/>
            <w:tcBorders>
              <w:top w:val="nil"/>
              <w:left w:val="single" w:sz="8" w:space="0" w:color="006600"/>
              <w:bottom w:val="single" w:sz="8" w:space="0" w:color="006600"/>
              <w:right w:val="single" w:sz="8" w:space="0" w:color="006600"/>
            </w:tcBorders>
            <w:tcMar>
              <w:top w:w="40" w:type="dxa"/>
              <w:left w:w="112" w:type="dxa"/>
              <w:bottom w:w="40" w:type="dxa"/>
              <w:right w:w="112" w:type="dxa"/>
            </w:tcMar>
          </w:tcPr>
          <w:p w14:paraId="7DF3EE0A" w14:textId="77777777" w:rsidR="00880E72" w:rsidRDefault="00000000">
            <w:pPr>
              <w:spacing w:after="120"/>
              <w:ind w:left="440" w:hanging="280"/>
              <w:jc w:val="both"/>
            </w:pPr>
            <w:r>
              <w:rPr>
                <w:rFonts w:cs="Times New Roman"/>
              </w:rPr>
              <w:t>•  One firm, one problem: the model is built for this firm's cash planning and does not claim to transfer to other firms.</w:t>
            </w:r>
          </w:p>
          <w:p w14:paraId="12000101" w14:textId="77777777" w:rsidR="00880E72" w:rsidRDefault="00000000">
            <w:pPr>
              <w:spacing w:after="120"/>
              <w:ind w:left="440" w:hanging="280"/>
              <w:jc w:val="both"/>
            </w:pPr>
            <w:r>
              <w:rPr>
                <w:rFonts w:cs="Times New Roman"/>
              </w:rPr>
              <w:t>•  Records: about 2 years of billing and payment records, with more than 500 progress billings, confirmed by the firm. The data description in the study reports the exact years, fields, billings per month and paid versus unpaid counts. The number of forward windows and of compared variants is set by the number of usable billings, and intervals are reported.</w:t>
            </w:r>
          </w:p>
          <w:p w14:paraId="25333125" w14:textId="77777777" w:rsidR="00880E72" w:rsidRDefault="00000000">
            <w:pPr>
              <w:spacing w:after="120"/>
              <w:ind w:left="440" w:hanging="280"/>
              <w:jc w:val="both"/>
            </w:pPr>
            <w:r>
              <w:rPr>
                <w:rFonts w:cs="Times New Roman"/>
              </w:rPr>
              <w:t>•  Records must not contain personal data. Payroll and manpower records are out of scope.</w:t>
            </w:r>
          </w:p>
          <w:p w14:paraId="37F1319B" w14:textId="77777777" w:rsidR="00880E72" w:rsidRDefault="00000000">
            <w:pPr>
              <w:spacing w:after="120"/>
              <w:ind w:left="440" w:hanging="280"/>
              <w:jc w:val="both"/>
            </w:pPr>
            <w:r>
              <w:rPr>
                <w:rFonts w:cs="Times New Roman"/>
              </w:rPr>
              <w:t>•  The model predicts timing only. It does not decide what the firm should do about late payments.</w:t>
            </w:r>
          </w:p>
          <w:p w14:paraId="3B08E6FE" w14:textId="77777777" w:rsidR="00880E72" w:rsidRDefault="00000000">
            <w:pPr>
              <w:spacing w:after="120"/>
              <w:ind w:left="440" w:hanging="280"/>
              <w:jc w:val="both"/>
            </w:pPr>
            <w:r>
              <w:rPr>
                <w:rFonts w:cs="Times New Roman"/>
              </w:rPr>
              <w:t>•  Threats and how they are handled: an arbitrary penalty (set from the firm's costs and shown in a sensitivity table); leakage (only information known at billing time, time-based splits); few billings (fewer forward windows, simple models, intervals reported); unpaid billings at the data cutoff (fixed cutoff date, reported count, and a separate lower-bound check); data quality (documented cleaning rules); no improvement over the unmodified model (reported as a result).</w:t>
            </w:r>
          </w:p>
        </w:tc>
      </w:tr>
    </w:tbl>
    <w:p w14:paraId="10D4A52F" w14:textId="77777777" w:rsidR="00880E72" w:rsidRDefault="00880E72">
      <w:pPr>
        <w:spacing w:after="120"/>
      </w:pPr>
    </w:p>
    <w:tbl>
      <w:tblPr>
        <w:tblW w:w="0" w:type="auto"/>
        <w:tblLayout w:type="fixed"/>
        <w:tblLook w:val="04A0" w:firstRow="1" w:lastRow="0" w:firstColumn="1" w:lastColumn="0" w:noHBand="0" w:noVBand="1"/>
      </w:tblPr>
      <w:tblGrid>
        <w:gridCol w:w="9920"/>
      </w:tblGrid>
      <w:tr w:rsidR="00880E72" w14:paraId="31EC0781" w14:textId="77777777">
        <w:tc>
          <w:tcPr>
            <w:tcW w:w="9920" w:type="dxa"/>
            <w:tcBorders>
              <w:top w:val="single" w:sz="8" w:space="0" w:color="006600"/>
              <w:left w:val="single" w:sz="8" w:space="0" w:color="006600"/>
              <w:bottom w:val="single" w:sz="8" w:space="0" w:color="006600"/>
              <w:right w:val="single" w:sz="8" w:space="0" w:color="006600"/>
            </w:tcBorders>
            <w:shd w:val="clear" w:color="auto" w:fill="00B050"/>
            <w:tcMar>
              <w:top w:w="20" w:type="dxa"/>
              <w:left w:w="112" w:type="dxa"/>
              <w:bottom w:w="20" w:type="dxa"/>
              <w:right w:w="112" w:type="dxa"/>
            </w:tcMar>
          </w:tcPr>
          <w:p w14:paraId="48D1C128" w14:textId="77777777" w:rsidR="00880E72" w:rsidRDefault="00000000">
            <w:pPr>
              <w:keepNext/>
              <w:tabs>
                <w:tab w:val="left" w:pos="720"/>
              </w:tabs>
              <w:spacing w:after="0"/>
            </w:pPr>
            <w:r>
              <w:rPr>
                <w:rFonts w:cs="Times New Roman"/>
                <w:b/>
              </w:rPr>
              <w:t>5.0</w:t>
            </w:r>
            <w:r>
              <w:rPr>
                <w:rFonts w:cs="Times New Roman"/>
                <w:b/>
              </w:rPr>
              <w:tab/>
              <w:t>Target Beneficiaries:</w:t>
            </w:r>
          </w:p>
        </w:tc>
      </w:tr>
      <w:tr w:rsidR="00880E72" w14:paraId="591C718D" w14:textId="77777777">
        <w:tc>
          <w:tcPr>
            <w:tcW w:w="9920" w:type="dxa"/>
            <w:tcBorders>
              <w:top w:val="nil"/>
              <w:left w:val="single" w:sz="8" w:space="0" w:color="006600"/>
              <w:bottom w:val="single" w:sz="8" w:space="0" w:color="006600"/>
              <w:right w:val="single" w:sz="8" w:space="0" w:color="006600"/>
            </w:tcBorders>
            <w:tcMar>
              <w:top w:w="40" w:type="dxa"/>
              <w:left w:w="112" w:type="dxa"/>
              <w:bottom w:w="40" w:type="dxa"/>
              <w:right w:w="112" w:type="dxa"/>
            </w:tcMar>
          </w:tcPr>
          <w:p w14:paraId="46E8AFE3" w14:textId="77777777" w:rsidR="00880E72" w:rsidRDefault="00000000">
            <w:pPr>
              <w:spacing w:after="120"/>
              <w:jc w:val="both"/>
            </w:pPr>
            <w:r>
              <w:rPr>
                <w:rFonts w:cs="Times New Roman"/>
              </w:rPr>
              <w:t>The firm's management and finance staff, through earlier warning on late payments and cash needs.</w:t>
            </w:r>
          </w:p>
          <w:p w14:paraId="67B07101" w14:textId="77777777" w:rsidR="00880E72" w:rsidRDefault="00000000">
            <w:pPr>
              <w:spacing w:after="120"/>
              <w:jc w:val="both"/>
            </w:pPr>
            <w:r>
              <w:rPr>
                <w:rFonts w:cs="Times New Roman"/>
              </w:rPr>
              <w:t>The firm's project teams, through clearer cash timing for materials and manpower.</w:t>
            </w:r>
          </w:p>
          <w:p w14:paraId="76EC0F86" w14:textId="77777777" w:rsidR="00880E72" w:rsidRDefault="00000000">
            <w:pPr>
              <w:spacing w:after="120"/>
              <w:jc w:val="both"/>
            </w:pPr>
            <w:r>
              <w:rPr>
                <w:rFonts w:cs="Times New Roman"/>
              </w:rPr>
              <w:t>Other small and medium construction firms that could reuse the method.</w:t>
            </w:r>
          </w:p>
        </w:tc>
      </w:tr>
    </w:tbl>
    <w:p w14:paraId="333D2163" w14:textId="77777777" w:rsidR="00880E72" w:rsidRDefault="00880E72">
      <w:pPr>
        <w:spacing w:after="120"/>
      </w:pPr>
    </w:p>
    <w:tbl>
      <w:tblPr>
        <w:tblW w:w="0" w:type="auto"/>
        <w:tblLayout w:type="fixed"/>
        <w:tblLook w:val="04A0" w:firstRow="1" w:lastRow="0" w:firstColumn="1" w:lastColumn="0" w:noHBand="0" w:noVBand="1"/>
      </w:tblPr>
      <w:tblGrid>
        <w:gridCol w:w="9920"/>
      </w:tblGrid>
      <w:tr w:rsidR="00880E72" w14:paraId="0C9B807C" w14:textId="77777777">
        <w:tc>
          <w:tcPr>
            <w:tcW w:w="9920" w:type="dxa"/>
            <w:tcBorders>
              <w:top w:val="single" w:sz="8" w:space="0" w:color="006600"/>
              <w:left w:val="single" w:sz="8" w:space="0" w:color="006600"/>
              <w:bottom w:val="single" w:sz="8" w:space="0" w:color="006600"/>
              <w:right w:val="single" w:sz="8" w:space="0" w:color="006600"/>
            </w:tcBorders>
            <w:shd w:val="clear" w:color="auto" w:fill="00B050"/>
            <w:tcMar>
              <w:top w:w="20" w:type="dxa"/>
              <w:left w:w="112" w:type="dxa"/>
              <w:bottom w:w="20" w:type="dxa"/>
              <w:right w:w="112" w:type="dxa"/>
            </w:tcMar>
          </w:tcPr>
          <w:p w14:paraId="4B36B3C6" w14:textId="77777777" w:rsidR="00880E72" w:rsidRDefault="00000000">
            <w:pPr>
              <w:keepNext/>
              <w:tabs>
                <w:tab w:val="left" w:pos="720"/>
              </w:tabs>
              <w:spacing w:after="0"/>
            </w:pPr>
            <w:r>
              <w:rPr>
                <w:rFonts w:cs="Times New Roman"/>
                <w:b/>
              </w:rPr>
              <w:lastRenderedPageBreak/>
              <w:t>6.0</w:t>
            </w:r>
            <w:r>
              <w:rPr>
                <w:rFonts w:cs="Times New Roman"/>
                <w:b/>
              </w:rPr>
              <w:tab/>
              <w:t>SDG Category Number:</w:t>
            </w:r>
          </w:p>
        </w:tc>
      </w:tr>
      <w:tr w:rsidR="00880E72" w14:paraId="162116BB" w14:textId="77777777">
        <w:tc>
          <w:tcPr>
            <w:tcW w:w="9920" w:type="dxa"/>
            <w:tcBorders>
              <w:top w:val="nil"/>
              <w:left w:val="single" w:sz="8" w:space="0" w:color="006600"/>
              <w:bottom w:val="single" w:sz="8" w:space="0" w:color="006600"/>
              <w:right w:val="single" w:sz="8" w:space="0" w:color="006600"/>
            </w:tcBorders>
            <w:tcMar>
              <w:top w:w="40" w:type="dxa"/>
              <w:left w:w="112" w:type="dxa"/>
              <w:bottom w:w="40" w:type="dxa"/>
              <w:right w:w="112" w:type="dxa"/>
            </w:tcMar>
          </w:tcPr>
          <w:p w14:paraId="449CC873" w14:textId="77777777" w:rsidR="00880E72" w:rsidRDefault="00000000">
            <w:pPr>
              <w:spacing w:after="160"/>
              <w:jc w:val="center"/>
            </w:pPr>
            <w:r>
              <w:rPr>
                <w:noProof/>
              </w:rPr>
              <w:drawing>
                <wp:inline distT="0" distB="0" distL="0" distR="0" wp14:anchorId="5F1D7E2C" wp14:editId="097E51AD">
                  <wp:extent cx="4104000" cy="4031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g17.png"/>
                          <pic:cNvPicPr/>
                        </pic:nvPicPr>
                        <pic:blipFill>
                          <a:blip r:embed="rId6"/>
                          <a:stretch>
                            <a:fillRect/>
                          </a:stretch>
                        </pic:blipFill>
                        <pic:spPr>
                          <a:xfrm>
                            <a:off x="0" y="0"/>
                            <a:ext cx="4104000" cy="4031105"/>
                          </a:xfrm>
                          <a:prstGeom prst="rect">
                            <a:avLst/>
                          </a:prstGeom>
                        </pic:spPr>
                      </pic:pic>
                    </a:graphicData>
                  </a:graphic>
                </wp:inline>
              </w:drawing>
            </w:r>
          </w:p>
          <w:p w14:paraId="4DC2AE7B" w14:textId="77777777" w:rsidR="00880E72" w:rsidRDefault="00000000">
            <w:pPr>
              <w:spacing w:after="80"/>
              <w:jc w:val="both"/>
            </w:pPr>
            <w:r>
              <w:rPr>
                <w:rFonts w:cs="Times New Roman"/>
                <w:b/>
              </w:rPr>
              <w:t xml:space="preserve">SDG Number: </w:t>
            </w:r>
            <w:r>
              <w:rPr>
                <w:rFonts w:cs="Times New Roman"/>
              </w:rPr>
              <w:t>8</w:t>
            </w:r>
          </w:p>
          <w:p w14:paraId="40AC8232" w14:textId="77777777" w:rsidR="00880E72" w:rsidRDefault="00000000">
            <w:pPr>
              <w:spacing w:after="80"/>
              <w:jc w:val="both"/>
            </w:pPr>
            <w:r>
              <w:rPr>
                <w:rFonts w:cs="Times New Roman"/>
                <w:b/>
              </w:rPr>
              <w:t xml:space="preserve">SDG Title: </w:t>
            </w:r>
            <w:r>
              <w:rPr>
                <w:rFonts w:cs="Times New Roman"/>
              </w:rPr>
              <w:t>Decent Work and Economic Growth</w:t>
            </w:r>
          </w:p>
          <w:p w14:paraId="350B8604" w14:textId="77777777" w:rsidR="00880E72" w:rsidRDefault="00000000">
            <w:pPr>
              <w:spacing w:after="120"/>
              <w:jc w:val="both"/>
            </w:pPr>
            <w:r>
              <w:rPr>
                <w:rFonts w:cs="Times New Roman"/>
                <w:b/>
              </w:rPr>
              <w:t xml:space="preserve">Justification: </w:t>
            </w:r>
            <w:r>
              <w:rPr>
                <w:rFonts w:cs="Times New Roman"/>
              </w:rPr>
              <w:t>Target 8.3 (promote development-oriented policies that support productive activities, decent job creation, entrepreneurship, creativity and innovation, and encourage the formalization and growth of micro-, small- and medium-sized enterprises, including through access to financial services). The project helps a small construction contractor predict how many days its progress billings will take to be paid, so that it can plan its cash and see the risk of late payment, with more weight on the larger billings and on the predictions that come too early.</w:t>
            </w:r>
          </w:p>
        </w:tc>
      </w:tr>
    </w:tbl>
    <w:p w14:paraId="0E71BE28" w14:textId="77777777" w:rsidR="00880E72" w:rsidRDefault="00880E72">
      <w:pPr>
        <w:spacing w:after="120"/>
      </w:pPr>
    </w:p>
    <w:tbl>
      <w:tblPr>
        <w:tblW w:w="0" w:type="auto"/>
        <w:tblLayout w:type="fixed"/>
        <w:tblLook w:val="04A0" w:firstRow="1" w:lastRow="0" w:firstColumn="1" w:lastColumn="0" w:noHBand="0" w:noVBand="1"/>
      </w:tblPr>
      <w:tblGrid>
        <w:gridCol w:w="9920"/>
      </w:tblGrid>
      <w:tr w:rsidR="00880E72" w14:paraId="4A9E4D79" w14:textId="77777777">
        <w:tc>
          <w:tcPr>
            <w:tcW w:w="9920" w:type="dxa"/>
            <w:tcBorders>
              <w:top w:val="single" w:sz="8" w:space="0" w:color="006600"/>
              <w:left w:val="single" w:sz="8" w:space="0" w:color="006600"/>
              <w:bottom w:val="single" w:sz="8" w:space="0" w:color="006600"/>
              <w:right w:val="single" w:sz="8" w:space="0" w:color="006600"/>
            </w:tcBorders>
            <w:shd w:val="clear" w:color="auto" w:fill="00B050"/>
            <w:tcMar>
              <w:top w:w="20" w:type="dxa"/>
              <w:left w:w="112" w:type="dxa"/>
              <w:bottom w:w="20" w:type="dxa"/>
              <w:right w:w="112" w:type="dxa"/>
            </w:tcMar>
          </w:tcPr>
          <w:p w14:paraId="3C98BD2D" w14:textId="77777777" w:rsidR="00880E72" w:rsidRDefault="00000000">
            <w:pPr>
              <w:keepNext/>
              <w:tabs>
                <w:tab w:val="left" w:pos="720"/>
              </w:tabs>
              <w:spacing w:after="0"/>
            </w:pPr>
            <w:r>
              <w:rPr>
                <w:rFonts w:cs="Times New Roman"/>
                <w:b/>
              </w:rPr>
              <w:t>7.0</w:t>
            </w:r>
            <w:r>
              <w:rPr>
                <w:rFonts w:cs="Times New Roman"/>
                <w:b/>
              </w:rPr>
              <w:tab/>
              <w:t>References:</w:t>
            </w:r>
          </w:p>
        </w:tc>
      </w:tr>
      <w:tr w:rsidR="00880E72" w14:paraId="642FCDCE" w14:textId="77777777">
        <w:tc>
          <w:tcPr>
            <w:tcW w:w="9920" w:type="dxa"/>
            <w:tcBorders>
              <w:top w:val="nil"/>
              <w:left w:val="single" w:sz="8" w:space="0" w:color="006600"/>
              <w:bottom w:val="single" w:sz="8" w:space="0" w:color="006600"/>
              <w:right w:val="single" w:sz="8" w:space="0" w:color="006600"/>
            </w:tcBorders>
            <w:tcMar>
              <w:top w:w="40" w:type="dxa"/>
              <w:left w:w="112" w:type="dxa"/>
              <w:bottom w:w="40" w:type="dxa"/>
              <w:right w:w="112" w:type="dxa"/>
            </w:tcMar>
          </w:tcPr>
          <w:p w14:paraId="360F0AE7" w14:textId="77777777" w:rsidR="00880E72" w:rsidRDefault="00000000">
            <w:pPr>
              <w:spacing w:after="120"/>
              <w:ind w:left="720" w:hanging="720"/>
            </w:pPr>
            <w:r>
              <w:rPr>
                <w:rFonts w:cs="Times New Roman"/>
              </w:rPr>
              <w:t xml:space="preserve">Appel, A. P., Malfatti, G. L., Cunha, R. L. F., Lima, B., &amp; de Paula, R. (2020). Predicting account receivables with machine learning. </w:t>
            </w:r>
            <w:r>
              <w:rPr>
                <w:i/>
              </w:rPr>
              <w:t>arXiv</w:t>
            </w:r>
            <w:r>
              <w:t>. https://doi.org/10.48550/arXiv.2008.07363</w:t>
            </w:r>
          </w:p>
          <w:p w14:paraId="7A2201A0" w14:textId="77777777" w:rsidR="00880E72" w:rsidRDefault="00000000">
            <w:pPr>
              <w:spacing w:after="120"/>
              <w:ind w:left="720" w:hanging="720"/>
            </w:pPr>
            <w:r>
              <w:rPr>
                <w:rFonts w:cs="Times New Roman"/>
              </w:rPr>
              <w:t xml:space="preserve">Azman, M. N. A., Dzulkalnine, N., Abd Hamid, Z., &amp; Wai Beng, K. (2014). Payment issue in Malaysian construction industry: Contractors’ perspective. </w:t>
            </w:r>
            <w:r>
              <w:rPr>
                <w:i/>
              </w:rPr>
              <w:t>Jurnal Teknologi, 70</w:t>
            </w:r>
            <w:r>
              <w:t>(1). https://doi.org/10.11113/jt.v70.2804</w:t>
            </w:r>
          </w:p>
          <w:p w14:paraId="05A562CC" w14:textId="77777777" w:rsidR="00880E72" w:rsidRDefault="00000000">
            <w:pPr>
              <w:spacing w:after="120"/>
              <w:ind w:left="720" w:hanging="720"/>
            </w:pPr>
            <w:r>
              <w:rPr>
                <w:rFonts w:cs="Times New Roman"/>
              </w:rPr>
              <w:t xml:space="preserve">Bageis, A. S. (2024). An investigation into the causes of payment delays and deliberate delay tactics in public construction projects in Saudi Arabia. </w:t>
            </w:r>
            <w:r>
              <w:rPr>
                <w:i/>
              </w:rPr>
              <w:t>Buildings, 14</w:t>
            </w:r>
            <w:r>
              <w:t xml:space="preserve">(6), Article 1792. </w:t>
            </w:r>
            <w:r>
              <w:lastRenderedPageBreak/>
              <w:t>https://doi.org/10.3390/buildings14061792</w:t>
            </w:r>
          </w:p>
          <w:p w14:paraId="34CBCF67" w14:textId="77777777" w:rsidR="00880E72" w:rsidRDefault="00000000">
            <w:pPr>
              <w:spacing w:after="120"/>
              <w:ind w:left="720" w:hanging="720"/>
            </w:pPr>
            <w:r>
              <w:rPr>
                <w:rFonts w:cs="Times New Roman"/>
              </w:rPr>
              <w:t xml:space="preserve">Bahrami, M., Bozkaya, B., &amp; Balcisoy, S. (2020). Using behavioral analytics to predict customer invoice payment. </w:t>
            </w:r>
            <w:r>
              <w:rPr>
                <w:i/>
              </w:rPr>
              <w:t>Big Data, 8</w:t>
            </w:r>
            <w:r>
              <w:t>(1), 25–37. https://doi.org/10.1089/big.2018.0116</w:t>
            </w:r>
          </w:p>
          <w:p w14:paraId="09E06B1A" w14:textId="77777777" w:rsidR="00880E72" w:rsidRDefault="00000000">
            <w:pPr>
              <w:spacing w:after="120"/>
              <w:ind w:left="720" w:hanging="720"/>
            </w:pPr>
            <w:r>
              <w:rPr>
                <w:rFonts w:cs="Times New Roman"/>
              </w:rPr>
              <w:t xml:space="preserve">Bauer, I., Haupt, H., &amp; Linner, S. (2024). Pinball boosting of regression quantiles. </w:t>
            </w:r>
            <w:r>
              <w:rPr>
                <w:i/>
              </w:rPr>
              <w:t>Computational Statistics &amp; Data Analysis, 200</w:t>
            </w:r>
            <w:r>
              <w:t>, Article 108027. https://doi.org/10.1016/j.csda.2024.108027</w:t>
            </w:r>
          </w:p>
          <w:p w14:paraId="09E06B1A" w14:textId="77777777" w:rsidR="00880E72" w:rsidRDefault="00000000">
            <w:pPr>
              <w:spacing w:after="120"/>
              <w:ind w:left="720" w:hanging="720"/>
            </w:pPr>
            <w:r>
              <w:rPr>
                <w:rFonts w:cs="Times New Roman"/>
              </w:rPr>
              <w:t xml:space="preserve">Breiman, L. (2001). Random forests. </w:t>
            </w:r>
            <w:r>
              <w:rPr>
                <w:i/>
              </w:rPr>
              <w:t>Machine Learning, 45</w:t>
            </w:r>
            <w:r>
              <w:t>(1), 5–32. https://doi.org/10.1023/A:1010933404324</w:t>
            </w:r>
          </w:p>
          <w:p w14:paraId="09E06B1A" w14:textId="77777777" w:rsidR="00880E72" w:rsidRDefault="00000000">
            <w:pPr>
              <w:spacing w:after="120"/>
              <w:ind w:left="720" w:hanging="720"/>
            </w:pPr>
            <w:r>
              <w:rPr>
                <w:rFonts w:cs="Times New Roman"/>
              </w:rPr>
              <w:t xml:space="preserve">Chen, T., &amp; Guestrin, C. (2016). XGBoost: A scalable tree boosting system. In </w:t>
            </w:r>
            <w:r>
              <w:rPr>
                <w:i/>
              </w:rPr>
              <w:t>Proceedings of the 22nd ACM SIGKDD International Conference on Knowledge Discovery and Data Mining</w:t>
            </w:r>
            <w:r>
              <w:t> (pp. 785–794). ACM. https://doi.org/10.1145/2939672.2939785</w:t>
            </w:r>
          </w:p>
          <w:p w14:paraId="01797F45" w14:textId="77777777" w:rsidR="00880E72" w:rsidRDefault="00000000">
            <w:pPr>
              <w:spacing w:after="120"/>
              <w:ind w:left="720" w:hanging="720"/>
            </w:pPr>
            <w:r>
              <w:rPr>
                <w:rFonts w:cs="Times New Roman"/>
              </w:rPr>
              <w:t xml:space="preserve">Egwim, C. N., Alaka, H., Toriola-Coker, L. O., Balogun, H., &amp; Sunmola, F. (2021). Applied artificial intelligence for predicting construction projects delay. </w:t>
            </w:r>
            <w:r>
              <w:rPr>
                <w:i/>
              </w:rPr>
              <w:t>Machine Learning with Applications, 6</w:t>
            </w:r>
            <w:r>
              <w:t>, Article 100166. https://doi.org/10.1016/j.mlwa.2021.100166</w:t>
            </w:r>
          </w:p>
          <w:p w14:paraId="2D141DBC" w14:textId="77777777" w:rsidR="00880E72" w:rsidRDefault="00000000">
            <w:pPr>
              <w:spacing w:after="120"/>
              <w:ind w:left="720" w:hanging="720"/>
            </w:pPr>
            <w:r>
              <w:rPr>
                <w:rFonts w:cs="Times New Roman"/>
              </w:rPr>
              <w:t xml:space="preserve">Fouad, A. M., Wefki, H., &amp; Kouta, H. (2025). AI-driven raw material demand forecasting: Towards project management practices. </w:t>
            </w:r>
            <w:r>
              <w:rPr>
                <w:i/>
              </w:rPr>
              <w:t>Journal of Supply Chain Management Science, 6</w:t>
            </w:r>
            <w:r>
              <w:t>(1–2). https://doi.org/10.59490/jscms.2025.8136</w:t>
            </w:r>
          </w:p>
          <w:p w14:paraId="09E06B1A" w14:textId="77777777" w:rsidR="00880E72" w:rsidRDefault="00000000">
            <w:pPr>
              <w:spacing w:after="120"/>
              <w:ind w:left="720" w:hanging="720"/>
            </w:pPr>
            <w:r>
              <w:rPr>
                <w:rFonts w:cs="Times New Roman"/>
              </w:rPr>
              <w:t xml:space="preserve">Friedman, J. H. (2001). Greedy function approximation: A gradient boosting machine. </w:t>
            </w:r>
            <w:r>
              <w:rPr>
                <w:i/>
              </w:rPr>
              <w:t>The Annals of Statistics, 29</w:t>
            </w:r>
            <w:r>
              <w:t>(5), 1189–1232. https://doi.org/10.1214/aos/1013203451</w:t>
            </w:r>
          </w:p>
          <w:p w14:paraId="09E06B1A" w14:textId="77777777" w:rsidR="00880E72" w:rsidRDefault="00000000">
            <w:pPr>
              <w:spacing w:after="120"/>
              <w:ind w:left="720" w:hanging="720"/>
            </w:pPr>
            <w:r>
              <w:rPr>
                <w:rFonts w:cs="Times New Roman"/>
              </w:rPr>
              <w:t xml:space="preserve">Hyndman, R. J., &amp; Athanasopoulos, G. (2021). </w:t>
            </w:r>
            <w:r>
              <w:rPr>
                <w:i/>
              </w:rPr>
              <w:t>Forecasting: Principles and practice</w:t>
            </w:r>
            <w:r>
              <w:t> (3rd ed.). OTexts. https://otexts.com/fpp3/</w:t>
            </w:r>
          </w:p>
          <w:p w14:paraId="09E06B1A" w14:textId="77777777" w:rsidR="00880E72" w:rsidRDefault="00000000">
            <w:pPr>
              <w:spacing w:after="120"/>
              <w:ind w:left="720" w:hanging="720"/>
            </w:pPr>
            <w:r>
              <w:rPr>
                <w:rFonts w:cs="Times New Roman"/>
              </w:rPr>
              <w:t xml:space="preserve">Koenker, R., &amp; Bassett, G. (1978). Regression quantiles. </w:t>
            </w:r>
            <w:r>
              <w:rPr>
                <w:i/>
              </w:rPr>
              <w:t>Econometrica, 46</w:t>
            </w:r>
            <w:r>
              <w:t>(1), 33–50. https://doi.org/10.2307/1913643</w:t>
            </w:r>
          </w:p>
          <w:p w14:paraId="77C57A74" w14:textId="77777777" w:rsidR="00880E72" w:rsidRDefault="00000000">
            <w:pPr>
              <w:spacing w:after="120"/>
              <w:ind w:left="720" w:hanging="720"/>
            </w:pPr>
            <w:r>
              <w:rPr>
                <w:rFonts w:cs="Times New Roman"/>
              </w:rPr>
              <w:t xml:space="preserve">Laimighofer, J., Melcher, M., &amp; Laaha, G. (2022). Low-flow estimation beyond the mean – expectile loss and extreme gradient boosting for spatiotemporal low-flow prediction in Austria. </w:t>
            </w:r>
            <w:r>
              <w:rPr>
                <w:i/>
              </w:rPr>
              <w:t>Hydrology and Earth System Sciences, 26</w:t>
            </w:r>
            <w:r>
              <w:t>(17), 4553–4574. https://doi.org/10.5194/hess-26-4553-2022</w:t>
            </w:r>
          </w:p>
          <w:p w14:paraId="6DF7B294" w14:textId="77777777" w:rsidR="00880E72" w:rsidRDefault="00000000">
            <w:pPr>
              <w:spacing w:after="120"/>
              <w:ind w:left="720" w:hanging="720"/>
            </w:pPr>
            <w:r>
              <w:rPr>
                <w:rFonts w:cs="Times New Roman"/>
              </w:rPr>
              <w:t xml:space="preserve">Masnadi-Shirazi, H., &amp; Vasconcelos, N. (2011). Cost-sensitive boosting. </w:t>
            </w:r>
            <w:r>
              <w:rPr>
                <w:i/>
              </w:rPr>
              <w:t>IEEE Transactions on Pattern Analysis and Machine Intelligence, 33</w:t>
            </w:r>
            <w:r>
              <w:t>(2), 294–309. https://doi.org/10.1109/TPAMI.2010.71</w:t>
            </w:r>
          </w:p>
          <w:p w14:paraId="528AD8B7" w14:textId="77777777" w:rsidR="00880E72" w:rsidRDefault="00000000">
            <w:pPr>
              <w:spacing w:after="120"/>
              <w:ind w:left="720" w:hanging="720"/>
            </w:pPr>
            <w:r>
              <w:rPr>
                <w:rFonts w:cs="Times New Roman"/>
              </w:rPr>
              <w:t xml:space="preserve">Moore, W. R., &amp; van Vuuren, J. H. (2024). A framework for modelling customer invoice payment predictions. </w:t>
            </w:r>
            <w:r>
              <w:rPr>
                <w:i/>
              </w:rPr>
              <w:t>Machine Learning with Applications, 17</w:t>
            </w:r>
            <w:r>
              <w:t>, Article 100578. https://doi.org/10.1016/j.mlwa.2024.100578</w:t>
            </w:r>
          </w:p>
          <w:p w14:paraId="09E06B1A" w14:textId="77777777" w:rsidR="00880E72" w:rsidRDefault="00000000">
            <w:pPr>
              <w:spacing w:after="120"/>
              <w:ind w:left="720" w:hanging="720"/>
            </w:pPr>
            <w:r>
              <w:rPr>
                <w:rFonts w:cs="Times New Roman"/>
              </w:rPr>
              <w:t xml:space="preserve">Newey, W. K., &amp; Powell, J. L. (1987). Asymmetric least squares estimation and testing. </w:t>
            </w:r>
            <w:r>
              <w:rPr>
                <w:i/>
              </w:rPr>
              <w:t>Econometrica, 55</w:t>
            </w:r>
            <w:r>
              <w:t>(4), 819–847. https://doi.org/10.2307/1911031</w:t>
            </w:r>
          </w:p>
          <w:p w14:paraId="33A8D58C" w14:textId="77777777" w:rsidR="00880E72" w:rsidRDefault="00000000">
            <w:pPr>
              <w:spacing w:after="120"/>
              <w:ind w:left="720" w:hanging="720"/>
            </w:pPr>
            <w:r>
              <w:rPr>
                <w:rFonts w:cs="Times New Roman"/>
              </w:rPr>
              <w:t xml:space="preserve">Saini, S., Manai, G., van den Boom, W., De Iorio, M., &amp; Qian, F. (2024). Invoice level forecasting with discrete survival methods for effective forecasting of account receivables in supply chain. </w:t>
            </w:r>
            <w:r>
              <w:rPr>
                <w:i/>
              </w:rPr>
              <w:t>Discover Analytics, 2</w:t>
            </w:r>
            <w:r>
              <w:t>(1), Article 5. https://doi.org/10.1007/s44257-024-00013-2</w:t>
            </w:r>
          </w:p>
          <w:p w14:paraId="6F15395E" w14:textId="77777777" w:rsidR="00880E72" w:rsidRDefault="00000000">
            <w:pPr>
              <w:spacing w:after="120"/>
              <w:ind w:left="720" w:hanging="720"/>
            </w:pPr>
            <w:r>
              <w:rPr>
                <w:rFonts w:cs="Times New Roman"/>
              </w:rPr>
              <w:t xml:space="preserve">Schoonbee, L., Moore, W. R., &amp; van Vuuren, J. H. (2022). A machine-learning approach towards solving the invoice payment prediction problem. </w:t>
            </w:r>
            <w:r>
              <w:rPr>
                <w:i/>
              </w:rPr>
              <w:t>South African Journal of Industrial Engineering, 33</w:t>
            </w:r>
            <w:r>
              <w:t>(4), 126–146. https://doi.org/10.7166/33-4-2726</w:t>
            </w:r>
          </w:p>
          <w:p w14:paraId="1C46BF5D" w14:textId="77777777" w:rsidR="00880E72" w:rsidRDefault="00000000">
            <w:pPr>
              <w:spacing w:after="120"/>
              <w:ind w:left="720" w:hanging="720"/>
            </w:pPr>
            <w:r>
              <w:rPr>
                <w:rFonts w:cs="Times New Roman"/>
              </w:rPr>
              <w:t xml:space="preserve">Wang, P., Wang, K., &amp; Stewart, I. (2026). An SEM-BBN approach for predicting construction payment delay via respondent-reported project-interaction factors under perceived power asymmetry. </w:t>
            </w:r>
            <w:r>
              <w:rPr>
                <w:i/>
              </w:rPr>
              <w:t>Engineering, Construction and Architectural Management</w:t>
            </w:r>
            <w:r>
              <w:t>. Advance online publication. https://doi.org/10.1108/ecam-05-2026-0902</w:t>
            </w:r>
          </w:p>
          <w:p w14:paraId="61282222" w14:textId="77777777" w:rsidR="00880E72" w:rsidRDefault="00000000">
            <w:pPr>
              <w:spacing w:after="120"/>
              <w:ind w:left="720" w:hanging="720"/>
            </w:pPr>
            <w:r>
              <w:rPr>
                <w:rFonts w:cs="Times New Roman"/>
              </w:rPr>
              <w:t xml:space="preserve">Xie, H., Zheng, J., Zhang, Y., &amp; Li, H. (2019). Effects of payment delays at two links in payment chains on the progress of construction projects: System dynamic modeling and simulation. </w:t>
            </w:r>
            <w:r>
              <w:rPr>
                <w:i/>
              </w:rPr>
              <w:t>Sustainability, 11</w:t>
            </w:r>
            <w:r>
              <w:t>(15), Article 4115. https://doi.org/10.3390/su11154115</w:t>
            </w:r>
          </w:p>
          <w:p w14:paraId="5BB259E7" w14:textId="77777777" w:rsidR="00880E72" w:rsidRDefault="00000000">
            <w:pPr>
              <w:spacing w:after="120"/>
              <w:ind w:left="720" w:hanging="720"/>
            </w:pPr>
            <w:r>
              <w:rPr>
                <w:rFonts w:cs="Times New Roman"/>
              </w:rPr>
              <w:t xml:space="preserve">Zeng, S., Boier-Martin, I., Melville, P., Murphy, C., &amp; Lang, C. A. (2007). Predictive modeling for collections of accounts receivable. In </w:t>
            </w:r>
            <w:r>
              <w:rPr>
                <w:i/>
              </w:rPr>
              <w:t>Proceedings of the 2007 International Workshop on Domain Driven Data Mining</w:t>
            </w:r>
            <w:r>
              <w:t xml:space="preserve"> (pp. 43–48). ACM. https://doi.org/10.1145/1288552.1288558</w:t>
            </w:r>
          </w:p>
        </w:tc>
      </w:tr>
    </w:tbl>
    <w:p w14:paraId="18F73E57" w14:textId="77777777" w:rsidR="00880E72" w:rsidRDefault="00880E72">
      <w:pPr>
        <w:spacing w:after="120"/>
      </w:pPr>
    </w:p>
    <w:p w14:paraId="601F55A9" w14:textId="77777777" w:rsidR="00880E72" w:rsidRDefault="00000000">
      <w:pPr>
        <w:keepNext/>
        <w:spacing w:after="40"/>
      </w:pPr>
      <w:r>
        <w:rPr>
          <w:rFonts w:cs="Times New Roman"/>
          <w:b/>
        </w:rPr>
        <w:t>Approved by:</w:t>
      </w:r>
    </w:p>
    <w:p w14:paraId="2D262E3B" w14:textId="77777777" w:rsidR="00880E72" w:rsidRDefault="00880E72">
      <w:pPr>
        <w:keepNext/>
        <w:spacing w:after="40"/>
      </w:pPr>
    </w:p>
    <w:p w14:paraId="2CC84E40" w14:textId="77777777" w:rsidR="00880E72" w:rsidRDefault="00000000">
      <w:pPr>
        <w:keepNext/>
        <w:spacing w:after="40"/>
      </w:pPr>
      <w:r>
        <w:rPr>
          <w:rFonts w:cs="Times New Roman"/>
        </w:rPr>
        <w:t>______________________</w:t>
      </w:r>
    </w:p>
    <w:p w14:paraId="1B6EA54D" w14:textId="77777777" w:rsidR="00880E72" w:rsidRDefault="00000000">
      <w:pPr>
        <w:keepNext/>
        <w:spacing w:after="40"/>
      </w:pPr>
      <w:r>
        <w:rPr>
          <w:rFonts w:cs="Times New Roman"/>
          <w:b/>
        </w:rPr>
        <w:t>Panel Member 1 / Date</w:t>
      </w:r>
    </w:p>
    <w:p w14:paraId="7EC8295A" w14:textId="77777777" w:rsidR="00880E72" w:rsidRDefault="00880E72">
      <w:pPr>
        <w:keepNext/>
        <w:spacing w:after="40"/>
      </w:pPr>
    </w:p>
    <w:p w14:paraId="5FE74C3E" w14:textId="77777777" w:rsidR="00880E72" w:rsidRDefault="00000000">
      <w:pPr>
        <w:keepNext/>
        <w:spacing w:after="40"/>
      </w:pPr>
      <w:r>
        <w:rPr>
          <w:rFonts w:cs="Times New Roman"/>
        </w:rPr>
        <w:t>______________________</w:t>
      </w:r>
    </w:p>
    <w:p w14:paraId="4764CBC0" w14:textId="77777777" w:rsidR="00880E72" w:rsidRDefault="00000000">
      <w:pPr>
        <w:keepNext/>
        <w:spacing w:after="40"/>
      </w:pPr>
      <w:r>
        <w:rPr>
          <w:rFonts w:cs="Times New Roman"/>
          <w:b/>
        </w:rPr>
        <w:t>Panel Member 2 / Date</w:t>
      </w:r>
    </w:p>
    <w:p w14:paraId="00E96DCE" w14:textId="77777777" w:rsidR="00880E72" w:rsidRDefault="00880E72">
      <w:pPr>
        <w:keepNext/>
        <w:spacing w:after="40"/>
      </w:pPr>
    </w:p>
    <w:p w14:paraId="16261E47" w14:textId="77777777" w:rsidR="00880E72" w:rsidRDefault="00000000">
      <w:pPr>
        <w:keepNext/>
        <w:spacing w:after="40"/>
      </w:pPr>
      <w:r>
        <w:rPr>
          <w:rFonts w:cs="Times New Roman"/>
          <w:b/>
        </w:rPr>
        <w:t>Noted by:</w:t>
      </w:r>
    </w:p>
    <w:p w14:paraId="4F64443D" w14:textId="77777777" w:rsidR="00880E72" w:rsidRDefault="00880E72">
      <w:pPr>
        <w:keepNext/>
        <w:spacing w:after="40"/>
      </w:pPr>
    </w:p>
    <w:p w14:paraId="549AB136" w14:textId="77777777" w:rsidR="00880E72" w:rsidRDefault="00000000">
      <w:pPr>
        <w:keepNext/>
        <w:spacing w:after="40"/>
      </w:pPr>
      <w:r>
        <w:rPr>
          <w:rFonts w:cs="Times New Roman"/>
        </w:rPr>
        <w:t>___________________________</w:t>
      </w:r>
    </w:p>
    <w:p w14:paraId="4D8D4D11" w14:textId="77777777" w:rsidR="00880E72" w:rsidRDefault="00000000">
      <w:pPr>
        <w:keepNext/>
        <w:spacing w:after="40"/>
      </w:pPr>
      <w:r>
        <w:rPr>
          <w:rFonts w:cs="Times New Roman"/>
          <w:b/>
        </w:rPr>
        <w:t>Thesis 1 Course Adviser / Date</w:t>
      </w:r>
    </w:p>
    <w:p w14:paraId="40D266F5" w14:textId="77777777" w:rsidR="00880E72" w:rsidRDefault="00000000">
      <w:r>
        <w:br w:type="page"/>
      </w:r>
    </w:p>
    <w:p w14:paraId="62C4A06A" w14:textId="77777777" w:rsidR="00880E72" w:rsidRDefault="00000000">
      <w:pPr>
        <w:keepNext/>
        <w:spacing w:after="120"/>
      </w:pPr>
      <w:r>
        <w:rPr>
          <w:rFonts w:cs="Times New Roman"/>
          <w:b/>
        </w:rPr>
        <w:lastRenderedPageBreak/>
        <w:t>1. AI Interaction Log (if applicable)</w:t>
      </w:r>
    </w:p>
    <w:p w14:paraId="2C4AF36D" w14:textId="77777777" w:rsidR="00880E72" w:rsidRDefault="00000000">
      <w:pPr>
        <w:spacing w:after="160"/>
        <w:jc w:val="both"/>
      </w:pPr>
      <w:r>
        <w:rPr>
          <w:rFonts w:cs="Times New Roman"/>
        </w:rPr>
        <w:t>If your group used any Generative AI tool while completing the assessment, document how the tool was used. The log should demonstrate that AI supported the group’s work rather than replacing the group’s research, analysis, and decision-making.</w:t>
      </w:r>
    </w:p>
    <w:tbl>
      <w:tblPr>
        <w:tblW w:w="0" w:type="auto"/>
        <w:tblLayout w:type="fixed"/>
        <w:tblLook w:val="04A0" w:firstRow="1" w:lastRow="0" w:firstColumn="1" w:lastColumn="0" w:noHBand="0" w:noVBand="1"/>
      </w:tblPr>
      <w:tblGrid>
        <w:gridCol w:w="1760"/>
        <w:gridCol w:w="1400"/>
        <w:gridCol w:w="3000"/>
        <w:gridCol w:w="1800"/>
        <w:gridCol w:w="2000"/>
      </w:tblGrid>
      <w:tr w:rsidR="00880E72" w14:paraId="4D61EC74" w14:textId="77777777">
        <w:tc>
          <w:tcPr>
            <w:tcW w:w="176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52696C2C" w14:textId="77777777" w:rsidR="00880E72" w:rsidRDefault="00000000">
            <w:pPr>
              <w:spacing w:after="0"/>
            </w:pPr>
            <w:r>
              <w:rPr>
                <w:rFonts w:cs="Times New Roman"/>
                <w:b/>
                <w:sz w:val="22"/>
              </w:rPr>
              <w:t>Group Member</w:t>
            </w:r>
          </w:p>
        </w:tc>
        <w:tc>
          <w:tcPr>
            <w:tcW w:w="140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3167AA14" w14:textId="77777777" w:rsidR="00880E72" w:rsidRDefault="00000000">
            <w:pPr>
              <w:spacing w:after="0"/>
            </w:pPr>
            <w:r>
              <w:rPr>
                <w:rFonts w:cs="Times New Roman"/>
                <w:b/>
                <w:sz w:val="22"/>
              </w:rPr>
              <w:t>AI Tool Used</w:t>
            </w:r>
          </w:p>
        </w:tc>
        <w:tc>
          <w:tcPr>
            <w:tcW w:w="300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70F48FCA" w14:textId="77777777" w:rsidR="00880E72" w:rsidRDefault="00000000">
            <w:pPr>
              <w:spacing w:after="0"/>
            </w:pPr>
            <w:r>
              <w:rPr>
                <w:rFonts w:cs="Times New Roman"/>
                <w:b/>
                <w:sz w:val="22"/>
              </w:rPr>
              <w:t>Prompt / Purpose</w:t>
            </w:r>
          </w:p>
        </w:tc>
        <w:tc>
          <w:tcPr>
            <w:tcW w:w="180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713D2002" w14:textId="77777777" w:rsidR="00880E72" w:rsidRDefault="00000000">
            <w:pPr>
              <w:spacing w:after="0"/>
            </w:pPr>
            <w:r>
              <w:rPr>
                <w:rFonts w:cs="Times New Roman"/>
                <w:b/>
                <w:sz w:val="22"/>
              </w:rPr>
              <w:t>AI Output Used For</w:t>
            </w:r>
          </w:p>
        </w:tc>
        <w:tc>
          <w:tcPr>
            <w:tcW w:w="200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5101CEA8" w14:textId="77777777" w:rsidR="00880E72" w:rsidRDefault="00000000">
            <w:pPr>
              <w:spacing w:after="0"/>
            </w:pPr>
            <w:r>
              <w:rPr>
                <w:rFonts w:cs="Times New Roman"/>
                <w:b/>
                <w:sz w:val="22"/>
              </w:rPr>
              <w:t>How the Output Was Verified or Modified</w:t>
            </w:r>
          </w:p>
        </w:tc>
      </w:tr>
      <w:tr w:rsidR="00880E72" w14:paraId="3290CA06" w14:textId="77777777">
        <w:trPr>
          <w:trHeight w:val="2600"/>
        </w:trPr>
        <w:tc>
          <w:tcPr>
            <w:tcW w:w="17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0B90DC9" w14:textId="77777777" w:rsidR="00880E72" w:rsidRDefault="00000000">
            <w:pPr>
              <w:spacing w:after="0"/>
            </w:pPr>
            <w:r>
              <w:rPr>
                <w:rFonts w:cs="Times New Roman"/>
                <w:sz w:val="20"/>
              </w:rPr>
              <w:t>Dawn Andrei Pamesa</w:t>
            </w:r>
          </w:p>
        </w:tc>
        <w:tc>
          <w:tcPr>
            <w:tcW w:w="1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652A439" w14:textId="77777777" w:rsidR="00880E72" w:rsidRDefault="00000000">
            <w:pPr>
              <w:spacing w:after="0"/>
            </w:pPr>
            <w:r>
              <w:rPr>
                <w:rFonts w:cs="Times New Roman"/>
                <w:sz w:val="20"/>
              </w:rPr>
              <w:t>Claude (Claude Code)</w:t>
            </w:r>
          </w:p>
        </w:tc>
        <w:tc>
          <w:tcPr>
            <w:tcW w:w="3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B72EE21" w14:textId="77777777" w:rsidR="00880E72" w:rsidRDefault="00000000">
            <w:pPr>
              <w:spacing w:after="0"/>
            </w:pPr>
            <w:r>
              <w:rPr>
                <w:rFonts w:cs="Times New Roman"/>
                <w:sz w:val="20"/>
              </w:rPr>
              <w:t>Read the firm's questionnaire answers; drafted every section of this proposal and its revisions, including the method (modified loss, evaluation design, unpaid-billing handling); checked sources on Crossref; formatted the document in the official layout.</w:t>
            </w:r>
          </w:p>
        </w:tc>
        <w:tc>
          <w:tcPr>
            <w:tcW w:w="18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03265683" w14:textId="77777777" w:rsidR="00880E72" w:rsidRDefault="00000000">
            <w:pPr>
              <w:spacing w:after="0"/>
            </w:pPr>
            <w:r>
              <w:rPr>
                <w:rFonts w:cs="Times New Roman"/>
                <w:sz w:val="20"/>
              </w:rPr>
              <w:t>Drafts of each section and its revisions, literature notes, and formatting.</w:t>
            </w:r>
          </w:p>
        </w:tc>
        <w:tc>
          <w:tcPr>
            <w:tcW w:w="2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0D19011" w14:textId="77777777" w:rsidR="00880E72" w:rsidRDefault="00000000">
            <w:pPr>
              <w:spacing w:after="0"/>
            </w:pPr>
            <w:r>
              <w:rPr>
                <w:rFonts w:cs="Times New Roman"/>
                <w:sz w:val="20"/>
              </w:rPr>
              <w:t>Sources were checked on Crossref or the publisher's record. The text was rewritten in the members' own words and checked against the sources.</w:t>
            </w:r>
          </w:p>
        </w:tc>
      </w:tr>
      <w:tr w:rsidR="00880E72" w14:paraId="6998F70F" w14:textId="77777777">
        <w:trPr>
          <w:trHeight w:val="1800"/>
        </w:trPr>
        <w:tc>
          <w:tcPr>
            <w:tcW w:w="17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7A31DAB" w14:textId="77777777" w:rsidR="00880E72" w:rsidRDefault="00880E72">
            <w:pPr>
              <w:spacing w:after="0"/>
            </w:pPr>
          </w:p>
        </w:tc>
        <w:tc>
          <w:tcPr>
            <w:tcW w:w="1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7B632FD" w14:textId="77777777" w:rsidR="00880E72" w:rsidRDefault="00000000">
            <w:pPr>
              <w:spacing w:after="0"/>
            </w:pPr>
            <w:r>
              <w:rPr>
                <w:rFonts w:cs="Times New Roman"/>
                <w:sz w:val="20"/>
              </w:rPr>
              <w:t>Custom GPT (thesis manuscript checker)</w:t>
            </w:r>
          </w:p>
        </w:tc>
        <w:tc>
          <w:tcPr>
            <w:tcW w:w="3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33CEF624" w14:textId="77777777" w:rsidR="00880E72" w:rsidRDefault="00000000">
            <w:pPr>
              <w:spacing w:after="0"/>
            </w:pPr>
            <w:r>
              <w:rPr>
                <w:rFonts w:cs="Times New Roman"/>
                <w:sz w:val="20"/>
              </w:rPr>
              <w:t>Drafts were pasted in for adviser-style reviews, and the draft was revised from its feedback in several rounds.</w:t>
            </w:r>
          </w:p>
        </w:tc>
        <w:tc>
          <w:tcPr>
            <w:tcW w:w="18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5C5A1F0" w14:textId="77777777" w:rsidR="00880E72" w:rsidRDefault="00000000">
            <w:pPr>
              <w:spacing w:after="0"/>
            </w:pPr>
            <w:r>
              <w:rPr>
                <w:rFonts w:cs="Times New Roman"/>
                <w:sz w:val="20"/>
              </w:rPr>
              <w:t>Feedback on the method design, the evaluation, the wording and missing items.</w:t>
            </w:r>
          </w:p>
        </w:tc>
        <w:tc>
          <w:tcPr>
            <w:tcW w:w="2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9E24C61" w14:textId="77777777" w:rsidR="00880E72" w:rsidRDefault="00000000">
            <w:pPr>
              <w:spacing w:after="0"/>
            </w:pPr>
            <w:r>
              <w:rPr>
                <w:rFonts w:cs="Times New Roman"/>
                <w:sz w:val="20"/>
              </w:rPr>
              <w:t>The group checked each suggestion, did its own research on it, and cross-referenced it before applying it, and chose the best option.</w:t>
            </w:r>
          </w:p>
        </w:tc>
      </w:tr>
      <w:tr w:rsidR="00880E72" w14:paraId="4EBBE0BF" w14:textId="77777777">
        <w:trPr>
          <w:trHeight w:val="1800"/>
        </w:trPr>
        <w:tc>
          <w:tcPr>
            <w:tcW w:w="17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C4AE1C7" w14:textId="77777777" w:rsidR="00880E72" w:rsidRDefault="00880E72">
            <w:pPr>
              <w:spacing w:after="0"/>
            </w:pPr>
          </w:p>
        </w:tc>
        <w:tc>
          <w:tcPr>
            <w:tcW w:w="1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FC45546" w14:textId="77777777" w:rsidR="00880E72" w:rsidRDefault="00000000">
            <w:pPr>
              <w:spacing w:after="0"/>
            </w:pPr>
            <w:r>
              <w:rPr>
                <w:rFonts w:cs="Times New Roman"/>
                <w:sz w:val="20"/>
              </w:rPr>
              <w:t>ChatGPT</w:t>
            </w:r>
          </w:p>
        </w:tc>
        <w:tc>
          <w:tcPr>
            <w:tcW w:w="3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3A08514C" w14:textId="77777777" w:rsidR="00880E72" w:rsidRDefault="00000000">
            <w:pPr>
              <w:spacing w:after="0"/>
            </w:pPr>
            <w:r>
              <w:rPr>
                <w:rFonts w:cs="Times New Roman"/>
                <w:sz w:val="20"/>
              </w:rPr>
              <w:t>Helped find sources.</w:t>
            </w:r>
          </w:p>
        </w:tc>
        <w:tc>
          <w:tcPr>
            <w:tcW w:w="18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6C23958B" w14:textId="77777777" w:rsidR="00880E72" w:rsidRDefault="00000000">
            <w:pPr>
              <w:spacing w:after="0"/>
            </w:pPr>
            <w:r>
              <w:rPr>
                <w:rFonts w:cs="Times New Roman"/>
                <w:sz w:val="20"/>
              </w:rPr>
              <w:t>A list of possible sources.</w:t>
            </w:r>
          </w:p>
        </w:tc>
        <w:tc>
          <w:tcPr>
            <w:tcW w:w="2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C2CD388" w14:textId="77777777" w:rsidR="00880E72" w:rsidRDefault="00000000">
            <w:pPr>
              <w:spacing w:after="0"/>
            </w:pPr>
            <w:r>
              <w:rPr>
                <w:rFonts w:cs="Times New Roman"/>
                <w:sz w:val="20"/>
              </w:rPr>
              <w:t>The sources were cross-checked.</w:t>
            </w:r>
          </w:p>
        </w:tc>
      </w:tr>
      <w:tr w:rsidR="00880E72" w14:paraId="251B4D50" w14:textId="77777777">
        <w:trPr>
          <w:trHeight w:val="1400"/>
        </w:trPr>
        <w:tc>
          <w:tcPr>
            <w:tcW w:w="17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8A9DF26" w14:textId="77777777" w:rsidR="00880E72" w:rsidRDefault="00000000">
            <w:pPr>
              <w:spacing w:after="0"/>
            </w:pPr>
            <w:r>
              <w:rPr>
                <w:rFonts w:cs="Times New Roman"/>
                <w:sz w:val="20"/>
              </w:rPr>
              <w:t>Rogelio Porras</w:t>
            </w:r>
          </w:p>
        </w:tc>
        <w:tc>
          <w:tcPr>
            <w:tcW w:w="1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7E26D86" w14:textId="77777777" w:rsidR="00880E72" w:rsidRDefault="00000000">
            <w:pPr>
              <w:spacing w:after="0"/>
            </w:pPr>
            <w:r>
              <w:rPr>
                <w:rFonts w:cs="Times New Roman"/>
                <w:sz w:val="20"/>
              </w:rPr>
              <w:t>ChatGPT and Codex</w:t>
            </w:r>
          </w:p>
        </w:tc>
        <w:tc>
          <w:tcPr>
            <w:tcW w:w="3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4909AC6" w14:textId="77777777" w:rsidR="00880E72" w:rsidRDefault="00000000">
            <w:pPr>
              <w:spacing w:after="0"/>
            </w:pPr>
            <w:r>
              <w:rPr>
                <w:rFonts w:cs="Times New Roman"/>
                <w:sz w:val="20"/>
              </w:rPr>
              <w:t>Helped search for sources, and helped brainstorm and proofread his writing.</w:t>
            </w:r>
          </w:p>
        </w:tc>
        <w:tc>
          <w:tcPr>
            <w:tcW w:w="18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A8E89C0" w14:textId="77777777" w:rsidR="00880E72" w:rsidRDefault="00000000">
            <w:pPr>
              <w:spacing w:after="0"/>
            </w:pPr>
            <w:r>
              <w:rPr>
                <w:rFonts w:cs="Times New Roman"/>
                <w:sz w:val="20"/>
              </w:rPr>
              <w:t>A list of possible sources, brainstorming ideas, and proofreading.</w:t>
            </w:r>
          </w:p>
        </w:tc>
        <w:tc>
          <w:tcPr>
            <w:tcW w:w="2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9477333" w14:textId="77777777" w:rsidR="00880E72" w:rsidRDefault="00000000">
            <w:pPr>
              <w:spacing w:after="0"/>
            </w:pPr>
            <w:r>
              <w:rPr>
                <w:rFonts w:cs="Times New Roman"/>
                <w:sz w:val="20"/>
              </w:rPr>
              <w:t>He read the sources himself before using them.</w:t>
            </w:r>
          </w:p>
        </w:tc>
      </w:tr>
      <w:tr w:rsidR="00880E72" w14:paraId="5C46BECC" w14:textId="77777777">
        <w:trPr>
          <w:trHeight w:val="1400"/>
        </w:trPr>
        <w:tc>
          <w:tcPr>
            <w:tcW w:w="17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371AB1D" w14:textId="77777777" w:rsidR="00880E72" w:rsidRDefault="00000000">
            <w:pPr>
              <w:spacing w:after="0"/>
            </w:pPr>
            <w:r>
              <w:rPr>
                <w:rFonts w:cs="Times New Roman"/>
                <w:sz w:val="20"/>
              </w:rPr>
              <w:t>John Ashley Alba</w:t>
            </w:r>
          </w:p>
        </w:tc>
        <w:tc>
          <w:tcPr>
            <w:tcW w:w="1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ABE4216" w14:textId="77777777" w:rsidR="00880E72" w:rsidRDefault="00000000">
            <w:pPr>
              <w:spacing w:after="0"/>
            </w:pPr>
            <w:r>
              <w:rPr>
                <w:rFonts w:cs="Times New Roman"/>
                <w:sz w:val="20"/>
              </w:rPr>
              <w:t>ChatGPT</w:t>
            </w:r>
          </w:p>
        </w:tc>
        <w:tc>
          <w:tcPr>
            <w:tcW w:w="3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FFA3BEE" w14:textId="77777777" w:rsidR="00880E72" w:rsidRDefault="00000000">
            <w:pPr>
              <w:spacing w:after="0"/>
            </w:pPr>
            <w:r>
              <w:rPr>
                <w:rFonts w:cs="Times New Roman"/>
                <w:sz w:val="20"/>
              </w:rPr>
              <w:t>Helped gather sources and ideas, and helped check his work.</w:t>
            </w:r>
          </w:p>
        </w:tc>
        <w:tc>
          <w:tcPr>
            <w:tcW w:w="18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DD9EF8E" w14:textId="77777777" w:rsidR="00880E72" w:rsidRDefault="00000000">
            <w:pPr>
              <w:spacing w:after="0"/>
            </w:pPr>
            <w:r>
              <w:rPr>
                <w:rFonts w:cs="Times New Roman"/>
                <w:sz w:val="20"/>
              </w:rPr>
              <w:t>Suggestions of sources and ideas, and checking his work.</w:t>
            </w:r>
          </w:p>
        </w:tc>
        <w:tc>
          <w:tcPr>
            <w:tcW w:w="2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3CC7E91C" w14:textId="77777777" w:rsidR="00880E72" w:rsidRDefault="00000000">
            <w:pPr>
              <w:spacing w:after="0"/>
            </w:pPr>
            <w:r>
              <w:rPr>
                <w:rFonts w:cs="Times New Roman"/>
                <w:sz w:val="20"/>
              </w:rPr>
              <w:t>He read the sources himself and cross-checked them with other sites.</w:t>
            </w:r>
          </w:p>
        </w:tc>
      </w:tr>
      <w:tr w:rsidR="00880E72" w14:paraId="7005DDF5" w14:textId="77777777">
        <w:trPr>
          <w:trHeight w:val="1400"/>
        </w:trPr>
        <w:tc>
          <w:tcPr>
            <w:tcW w:w="17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11279F8" w14:textId="77777777" w:rsidR="00880E72" w:rsidRDefault="00000000">
            <w:pPr>
              <w:spacing w:after="0"/>
            </w:pPr>
            <w:r>
              <w:rPr>
                <w:rFonts w:cs="Times New Roman"/>
                <w:sz w:val="20"/>
              </w:rPr>
              <w:lastRenderedPageBreak/>
              <w:t>Ralph Blanco</w:t>
            </w:r>
          </w:p>
        </w:tc>
        <w:tc>
          <w:tcPr>
            <w:tcW w:w="1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CDDDB1C" w14:textId="77777777" w:rsidR="00880E72" w:rsidRDefault="00000000">
            <w:pPr>
              <w:spacing w:after="0"/>
            </w:pPr>
            <w:r>
              <w:rPr>
                <w:rFonts w:cs="Times New Roman"/>
                <w:sz w:val="20"/>
              </w:rPr>
              <w:t>None</w:t>
            </w:r>
          </w:p>
        </w:tc>
        <w:tc>
          <w:tcPr>
            <w:tcW w:w="3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62BADF8" w14:textId="77777777" w:rsidR="00880E72" w:rsidRDefault="00000000">
            <w:pPr>
              <w:spacing w:after="0"/>
            </w:pPr>
            <w:r>
              <w:rPr>
                <w:rFonts w:cs="Times New Roman"/>
                <w:sz w:val="20"/>
              </w:rPr>
              <w:t>None</w:t>
            </w:r>
          </w:p>
        </w:tc>
        <w:tc>
          <w:tcPr>
            <w:tcW w:w="18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4BDD30C" w14:textId="77777777" w:rsidR="00880E72" w:rsidRDefault="00000000">
            <w:pPr>
              <w:spacing w:after="0"/>
            </w:pPr>
            <w:r>
              <w:rPr>
                <w:rFonts w:cs="Times New Roman"/>
                <w:sz w:val="20"/>
              </w:rPr>
              <w:t>None</w:t>
            </w:r>
          </w:p>
        </w:tc>
        <w:tc>
          <w:tcPr>
            <w:tcW w:w="2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1561F91" w14:textId="77777777" w:rsidR="00880E72" w:rsidRDefault="00000000">
            <w:pPr>
              <w:spacing w:after="0"/>
            </w:pPr>
            <w:r>
              <w:rPr>
                <w:rFonts w:cs="Times New Roman"/>
                <w:sz w:val="20"/>
              </w:rPr>
              <w:t>None</w:t>
            </w:r>
          </w:p>
        </w:tc>
      </w:tr>
    </w:tbl>
    <w:p w14:paraId="2C20E981" w14:textId="77777777" w:rsidR="00880E72" w:rsidRDefault="00880E72"/>
    <w:p w14:paraId="05AACA1E" w14:textId="77777777" w:rsidR="00880E72" w:rsidRDefault="00000000">
      <w:pPr>
        <w:keepNext/>
        <w:spacing w:after="120"/>
      </w:pPr>
      <w:r>
        <w:rPr>
          <w:rFonts w:cs="Times New Roman"/>
          <w:b/>
        </w:rPr>
        <w:t>2. AI Usage Declaration</w:t>
      </w:r>
    </w:p>
    <w:p w14:paraId="0418829F" w14:textId="77777777" w:rsidR="00880E72" w:rsidRDefault="00000000">
      <w:pPr>
        <w:spacing w:after="120"/>
        <w:jc w:val="both"/>
      </w:pPr>
      <w:r>
        <w:rPr>
          <w:rFonts w:cs="Times New Roman"/>
        </w:rPr>
        <w:t>We declare that any use of Generative AI in completing this Technical Assessment has been properly disclosed in the AI Interaction Log. We understand that AI is used only as an assistive tool and that our group remains responsible for verifying the accuracy, relevance, credibility, and originality of the submitted work.</w:t>
      </w:r>
    </w:p>
    <w:p w14:paraId="3B57B733" w14:textId="77777777" w:rsidR="00880E72" w:rsidRDefault="00000000">
      <w:pPr>
        <w:spacing w:after="120"/>
        <w:jc w:val="both"/>
      </w:pPr>
      <w:r>
        <w:rPr>
          <w:rFonts w:cs="Times New Roman"/>
        </w:rPr>
        <w:t>We confirm that the final title proposal, objectives, scope, algorithm justification, and research outputs reflect our group’s understanding and decisions. All literature, studies, and other external sources used have been properly cited and verified.</w:t>
      </w:r>
    </w:p>
    <w:p w14:paraId="2F1BE42A" w14:textId="77777777" w:rsidR="00880E72" w:rsidRDefault="00000000">
      <w:pPr>
        <w:spacing w:after="80"/>
      </w:pPr>
      <w:r>
        <w:rPr>
          <w:rFonts w:cs="Times New Roman"/>
          <w:b/>
        </w:rPr>
        <w:t xml:space="preserve">Group Name: </w:t>
      </w:r>
      <w:r>
        <w:rPr>
          <w:rFonts w:cs="Times New Roman"/>
        </w:rPr>
        <w:t>Statisfied</w:t>
      </w:r>
    </w:p>
    <w:p w14:paraId="5C0CE16B" w14:textId="77777777" w:rsidR="00880E72" w:rsidRDefault="00000000">
      <w:pPr>
        <w:spacing w:after="80"/>
      </w:pPr>
      <w:r>
        <w:rPr>
          <w:rFonts w:cs="Times New Roman"/>
          <w:b/>
        </w:rPr>
        <w:t xml:space="preserve">Date: </w:t>
      </w:r>
      <w:r>
        <w:rPr>
          <w:rFonts w:cs="Times New Roman"/>
        </w:rPr>
        <w:t>October 31, 2026</w:t>
      </w:r>
    </w:p>
    <w:tbl>
      <w:tblPr>
        <w:tblW w:w="0" w:type="auto"/>
        <w:tblLayout w:type="fixed"/>
        <w:tblLook w:val="04A0" w:firstRow="1" w:lastRow="0" w:firstColumn="1" w:lastColumn="0" w:noHBand="0" w:noVBand="1"/>
      </w:tblPr>
      <w:tblGrid>
        <w:gridCol w:w="4960"/>
        <w:gridCol w:w="4960"/>
      </w:tblGrid>
      <w:tr w:rsidR="00880E72" w14:paraId="2E71A117" w14:textId="77777777">
        <w:tc>
          <w:tcPr>
            <w:tcW w:w="496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7530AE9E" w14:textId="77777777" w:rsidR="00880E72" w:rsidRDefault="00000000">
            <w:pPr>
              <w:spacing w:after="0"/>
            </w:pPr>
            <w:r>
              <w:rPr>
                <w:rFonts w:cs="Times New Roman"/>
                <w:b/>
                <w:sz w:val="22"/>
              </w:rPr>
              <w:t>Group Member</w:t>
            </w:r>
          </w:p>
        </w:tc>
        <w:tc>
          <w:tcPr>
            <w:tcW w:w="496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67A7E10D" w14:textId="77777777" w:rsidR="00880E72" w:rsidRDefault="00000000">
            <w:pPr>
              <w:spacing w:after="0"/>
            </w:pPr>
            <w:r>
              <w:rPr>
                <w:rFonts w:cs="Times New Roman"/>
                <w:b/>
                <w:sz w:val="22"/>
              </w:rPr>
              <w:t>Signature</w:t>
            </w:r>
          </w:p>
        </w:tc>
      </w:tr>
      <w:tr w:rsidR="00880E72" w14:paraId="1F27CB15" w14:textId="77777777">
        <w:trPr>
          <w:trHeight w:val="1080"/>
        </w:trPr>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83DC260" w14:textId="77777777" w:rsidR="00880E72" w:rsidRDefault="00000000">
            <w:pPr>
              <w:spacing w:after="0"/>
            </w:pPr>
            <w:r>
              <w:rPr>
                <w:rFonts w:cs="Times New Roman"/>
              </w:rPr>
              <w:t>Dawn Andrei Pamesa</w:t>
            </w:r>
          </w:p>
        </w:tc>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456C09B" w14:textId="535AA175" w:rsidR="00880E72" w:rsidRDefault="003C4718">
            <w:pPr>
              <w:spacing w:after="0"/>
            </w:pPr>
            <w:r>
              <w:rPr>
                <w:noProof/>
                <w:color w:val="000000"/>
              </w:rPr>
              <w:drawing>
                <wp:inline distT="0" distB="0" distL="0" distR="0" wp14:anchorId="30B95DAA" wp14:editId="4AD24D14">
                  <wp:extent cx="1143720" cy="704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60691" cy="715309"/>
                          </a:xfrm>
                          <a:prstGeom prst="rect">
                            <a:avLst/>
                          </a:prstGeom>
                          <a:noFill/>
                          <a:ln>
                            <a:noFill/>
                          </a:ln>
                        </pic:spPr>
                      </pic:pic>
                    </a:graphicData>
                  </a:graphic>
                </wp:inline>
              </w:drawing>
            </w:r>
          </w:p>
        </w:tc>
      </w:tr>
      <w:tr w:rsidR="00880E72" w14:paraId="23F227CF" w14:textId="77777777">
        <w:trPr>
          <w:trHeight w:val="1080"/>
        </w:trPr>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4A6B720" w14:textId="77777777" w:rsidR="00880E72" w:rsidRDefault="00000000">
            <w:pPr>
              <w:spacing w:after="0"/>
            </w:pPr>
            <w:r>
              <w:rPr>
                <w:rFonts w:cs="Times New Roman"/>
              </w:rPr>
              <w:t>Rogelio Porras</w:t>
            </w:r>
          </w:p>
        </w:tc>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ACC1FF1" w14:textId="17674054" w:rsidR="00880E72" w:rsidRDefault="003C4718">
            <w:pPr>
              <w:spacing w:after="0"/>
            </w:pPr>
            <w:r>
              <w:rPr>
                <w:noProof/>
                <w:color w:val="000000"/>
              </w:rPr>
              <w:drawing>
                <wp:inline distT="0" distB="0" distL="0" distR="0" wp14:anchorId="16B41004" wp14:editId="31656012">
                  <wp:extent cx="1143635" cy="640059"/>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56852" cy="647456"/>
                          </a:xfrm>
                          <a:prstGeom prst="rect">
                            <a:avLst/>
                          </a:prstGeom>
                          <a:noFill/>
                          <a:ln>
                            <a:noFill/>
                          </a:ln>
                        </pic:spPr>
                      </pic:pic>
                    </a:graphicData>
                  </a:graphic>
                </wp:inline>
              </w:drawing>
            </w:r>
          </w:p>
        </w:tc>
      </w:tr>
      <w:tr w:rsidR="00880E72" w14:paraId="6604CD44" w14:textId="77777777">
        <w:trPr>
          <w:trHeight w:val="1080"/>
        </w:trPr>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BEE0013" w14:textId="77777777" w:rsidR="00880E72" w:rsidRDefault="00000000">
            <w:pPr>
              <w:spacing w:after="0"/>
            </w:pPr>
            <w:r>
              <w:rPr>
                <w:rFonts w:cs="Times New Roman"/>
              </w:rPr>
              <w:t>John Ashley Alba</w:t>
            </w:r>
          </w:p>
        </w:tc>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485A482" w14:textId="35FAAD35" w:rsidR="00880E72" w:rsidRDefault="003C4718">
            <w:pPr>
              <w:spacing w:after="0"/>
            </w:pPr>
            <w:r>
              <w:rPr>
                <w:noProof/>
                <w:color w:val="000000"/>
              </w:rPr>
              <w:drawing>
                <wp:inline distT="0" distB="0" distL="0" distR="0" wp14:anchorId="6732F624" wp14:editId="31B63421">
                  <wp:extent cx="2524125" cy="6096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24125" cy="609600"/>
                          </a:xfrm>
                          <a:prstGeom prst="rect">
                            <a:avLst/>
                          </a:prstGeom>
                          <a:noFill/>
                          <a:ln>
                            <a:noFill/>
                          </a:ln>
                        </pic:spPr>
                      </pic:pic>
                    </a:graphicData>
                  </a:graphic>
                </wp:inline>
              </w:drawing>
            </w:r>
          </w:p>
        </w:tc>
      </w:tr>
      <w:tr w:rsidR="00880E72" w14:paraId="47C5D5B5" w14:textId="77777777">
        <w:trPr>
          <w:trHeight w:val="1080"/>
        </w:trPr>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614392D3" w14:textId="77777777" w:rsidR="00880E72" w:rsidRDefault="00000000">
            <w:pPr>
              <w:spacing w:after="0"/>
            </w:pPr>
            <w:r>
              <w:rPr>
                <w:rFonts w:cs="Times New Roman"/>
              </w:rPr>
              <w:t>Ralph Blanco</w:t>
            </w:r>
          </w:p>
        </w:tc>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864A2C8" w14:textId="28DBF945" w:rsidR="00880E72" w:rsidRDefault="003C4718">
            <w:pPr>
              <w:spacing w:after="0"/>
            </w:pPr>
            <w:r>
              <w:rPr>
                <w:noProof/>
                <w:color w:val="000000"/>
              </w:rPr>
              <w:drawing>
                <wp:inline distT="0" distB="0" distL="0" distR="0" wp14:anchorId="5C21BD88" wp14:editId="0E096CD7">
                  <wp:extent cx="1428750" cy="626301"/>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44206" cy="633076"/>
                          </a:xfrm>
                          <a:prstGeom prst="rect">
                            <a:avLst/>
                          </a:prstGeom>
                          <a:noFill/>
                          <a:ln>
                            <a:noFill/>
                          </a:ln>
                        </pic:spPr>
                      </pic:pic>
                    </a:graphicData>
                  </a:graphic>
                </wp:inline>
              </w:drawing>
            </w:r>
          </w:p>
        </w:tc>
      </w:tr>
    </w:tbl>
    <w:p w14:paraId="0BA44EC2" w14:textId="77777777" w:rsidR="00880E72" w:rsidRDefault="00880E72"/>
    <w:p w14:paraId="396E1F53" w14:textId="77777777" w:rsidR="00880E72" w:rsidRDefault="00000000">
      <w:pPr>
        <w:keepNext/>
        <w:spacing w:after="120"/>
      </w:pPr>
      <w:r>
        <w:rPr>
          <w:rFonts w:cs="Times New Roman"/>
          <w:b/>
        </w:rPr>
        <w:t>3. Team Contribution Matrix</w:t>
      </w:r>
    </w:p>
    <w:p w14:paraId="50B48B7E" w14:textId="77777777" w:rsidR="00880E72" w:rsidRDefault="00000000">
      <w:pPr>
        <w:spacing w:after="120"/>
      </w:pPr>
      <w:r>
        <w:rPr>
          <w:rFonts w:cs="Times New Roman"/>
        </w:rPr>
        <w:t>The total contribution percentage must equal 100%.</w:t>
      </w:r>
    </w:p>
    <w:tbl>
      <w:tblPr>
        <w:tblW w:w="0" w:type="auto"/>
        <w:tblLayout w:type="fixed"/>
        <w:tblLook w:val="04A0" w:firstRow="1" w:lastRow="0" w:firstColumn="1" w:lastColumn="0" w:noHBand="0" w:noVBand="1"/>
      </w:tblPr>
      <w:tblGrid>
        <w:gridCol w:w="2200"/>
        <w:gridCol w:w="2600"/>
        <w:gridCol w:w="3400"/>
        <w:gridCol w:w="1720"/>
      </w:tblGrid>
      <w:tr w:rsidR="00880E72" w14:paraId="56B3CA06" w14:textId="77777777">
        <w:tc>
          <w:tcPr>
            <w:tcW w:w="220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39584088" w14:textId="77777777" w:rsidR="00880E72" w:rsidRDefault="00000000">
            <w:pPr>
              <w:spacing w:after="0"/>
            </w:pPr>
            <w:r>
              <w:rPr>
                <w:rFonts w:cs="Times New Roman"/>
                <w:b/>
                <w:sz w:val="22"/>
              </w:rPr>
              <w:t>Group Member</w:t>
            </w:r>
          </w:p>
        </w:tc>
        <w:tc>
          <w:tcPr>
            <w:tcW w:w="260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09B0807E" w14:textId="77777777" w:rsidR="00880E72" w:rsidRDefault="00000000">
            <w:pPr>
              <w:spacing w:after="0"/>
            </w:pPr>
            <w:r>
              <w:rPr>
                <w:rFonts w:cs="Times New Roman"/>
                <w:b/>
                <w:sz w:val="22"/>
              </w:rPr>
              <w:t>Assigned Task/Responsibility</w:t>
            </w:r>
          </w:p>
        </w:tc>
        <w:tc>
          <w:tcPr>
            <w:tcW w:w="340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533E2881" w14:textId="77777777" w:rsidR="00880E72" w:rsidRDefault="00000000">
            <w:pPr>
              <w:spacing w:after="0"/>
            </w:pPr>
            <w:r>
              <w:rPr>
                <w:rFonts w:cs="Times New Roman"/>
                <w:b/>
                <w:sz w:val="22"/>
              </w:rPr>
              <w:t>Specific Contribution/Output</w:t>
            </w:r>
          </w:p>
        </w:tc>
        <w:tc>
          <w:tcPr>
            <w:tcW w:w="172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12A4C8B0" w14:textId="77777777" w:rsidR="00880E72" w:rsidRDefault="00000000">
            <w:pPr>
              <w:spacing w:after="0"/>
            </w:pPr>
            <w:r>
              <w:rPr>
                <w:rFonts w:cs="Times New Roman"/>
                <w:b/>
                <w:sz w:val="22"/>
              </w:rPr>
              <w:t>Contribution (%)</w:t>
            </w:r>
          </w:p>
        </w:tc>
      </w:tr>
      <w:tr w:rsidR="00880E72" w14:paraId="11535289" w14:textId="77777777">
        <w:trPr>
          <w:trHeight w:val="1200"/>
        </w:trPr>
        <w:tc>
          <w:tcPr>
            <w:tcW w:w="22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A5A29F6" w14:textId="77777777" w:rsidR="00880E72" w:rsidRDefault="00000000">
            <w:pPr>
              <w:spacing w:after="0"/>
            </w:pPr>
            <w:r>
              <w:rPr>
                <w:rFonts w:cs="Times New Roman"/>
                <w:sz w:val="22"/>
              </w:rPr>
              <w:lastRenderedPageBreak/>
              <w:t>Dawn Andrei Pamesa</w:t>
            </w:r>
          </w:p>
        </w:tc>
        <w:tc>
          <w:tcPr>
            <w:tcW w:w="26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00089DC9" w14:textId="77777777" w:rsidR="00880E72" w:rsidRDefault="00000000">
            <w:pPr>
              <w:spacing w:after="0"/>
            </w:pPr>
            <w:r>
              <w:rPr>
                <w:rFonts w:cs="Times New Roman"/>
                <w:sz w:val="22"/>
              </w:rPr>
              <w:t>Project Manager; contacted V.M. Daet as the client and handled its questionnaire and data; planning with Ralph.</w:t>
            </w:r>
          </w:p>
        </w:tc>
        <w:tc>
          <w:tcPr>
            <w:tcW w:w="3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6599CC35" w14:textId="77777777" w:rsidR="00880E72" w:rsidRDefault="00000000">
            <w:pPr>
              <w:spacing w:after="0"/>
            </w:pPr>
            <w:r>
              <w:rPr>
                <w:rFonts w:cs="Times New Roman"/>
                <w:sz w:val="22"/>
              </w:rPr>
              <w:t>V.M. Daet client contact and questionnaire; planning and method design with Ralph; the proposal text, done with Claude and the custom GPT.</w:t>
            </w:r>
          </w:p>
        </w:tc>
        <w:tc>
          <w:tcPr>
            <w:tcW w:w="17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83C0331" w14:textId="77777777" w:rsidR="00880E72" w:rsidRDefault="00000000">
            <w:pPr>
              <w:spacing w:after="0"/>
            </w:pPr>
            <w:r>
              <w:rPr>
                <w:rFonts w:cs="Times New Roman"/>
                <w:sz w:val="22"/>
              </w:rPr>
              <w:t>30%</w:t>
            </w:r>
          </w:p>
        </w:tc>
      </w:tr>
      <w:tr w:rsidR="00880E72" w14:paraId="6901247B" w14:textId="77777777">
        <w:trPr>
          <w:trHeight w:val="1200"/>
        </w:trPr>
        <w:tc>
          <w:tcPr>
            <w:tcW w:w="22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491FC2E" w14:textId="77777777" w:rsidR="00880E72" w:rsidRDefault="00000000">
            <w:pPr>
              <w:spacing w:after="0"/>
            </w:pPr>
            <w:r>
              <w:rPr>
                <w:rFonts w:cs="Times New Roman"/>
                <w:sz w:val="22"/>
              </w:rPr>
              <w:t>Rogelio Porras</w:t>
            </w:r>
          </w:p>
        </w:tc>
        <w:tc>
          <w:tcPr>
            <w:tcW w:w="26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F844335" w14:textId="77777777" w:rsidR="00880E72" w:rsidRDefault="00000000">
            <w:pPr>
              <w:spacing w:after="0"/>
            </w:pPr>
            <w:r>
              <w:rPr>
                <w:rFonts w:cs="Times New Roman"/>
                <w:sz w:val="22"/>
              </w:rPr>
              <w:t>Review of related literature and systems (RRL and RRS).</w:t>
            </w:r>
          </w:p>
        </w:tc>
        <w:tc>
          <w:tcPr>
            <w:tcW w:w="3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00132193" w14:textId="77777777" w:rsidR="00880E72" w:rsidRDefault="00000000">
            <w:pPr>
              <w:spacing w:after="0"/>
            </w:pPr>
            <w:r>
              <w:rPr>
                <w:rFonts w:cs="Times New Roman"/>
                <w:sz w:val="22"/>
              </w:rPr>
              <w:t>Sources and write-up for the RRL and RRS.</w:t>
            </w:r>
          </w:p>
        </w:tc>
        <w:tc>
          <w:tcPr>
            <w:tcW w:w="17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8FBA54B" w14:textId="77777777" w:rsidR="00880E72" w:rsidRDefault="00000000">
            <w:pPr>
              <w:spacing w:after="0"/>
            </w:pPr>
            <w:r>
              <w:rPr>
                <w:rFonts w:cs="Times New Roman"/>
                <w:sz w:val="22"/>
              </w:rPr>
              <w:t>23%</w:t>
            </w:r>
          </w:p>
        </w:tc>
      </w:tr>
      <w:tr w:rsidR="00880E72" w14:paraId="5D3472CE" w14:textId="77777777">
        <w:trPr>
          <w:trHeight w:val="1200"/>
        </w:trPr>
        <w:tc>
          <w:tcPr>
            <w:tcW w:w="22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6BE1826F" w14:textId="77777777" w:rsidR="00880E72" w:rsidRDefault="00000000">
            <w:pPr>
              <w:spacing w:after="0"/>
            </w:pPr>
            <w:r>
              <w:rPr>
                <w:rFonts w:cs="Times New Roman"/>
                <w:sz w:val="22"/>
              </w:rPr>
              <w:t>John Ashley Alba</w:t>
            </w:r>
          </w:p>
        </w:tc>
        <w:tc>
          <w:tcPr>
            <w:tcW w:w="26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555D0EA" w14:textId="77777777" w:rsidR="00880E72" w:rsidRDefault="00000000">
            <w:pPr>
              <w:spacing w:after="0"/>
            </w:pPr>
            <w:r>
              <w:rPr>
                <w:rFonts w:cs="Times New Roman"/>
                <w:sz w:val="22"/>
              </w:rPr>
              <w:t>Review of related literature and systems (RRL and RRS).</w:t>
            </w:r>
          </w:p>
        </w:tc>
        <w:tc>
          <w:tcPr>
            <w:tcW w:w="3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083C6CC4" w14:textId="77777777" w:rsidR="00880E72" w:rsidRDefault="00000000">
            <w:pPr>
              <w:spacing w:after="0"/>
            </w:pPr>
            <w:r>
              <w:rPr>
                <w:rFonts w:cs="Times New Roman"/>
                <w:sz w:val="22"/>
              </w:rPr>
              <w:t>Sources and write-up for the RRL and RRS.</w:t>
            </w:r>
          </w:p>
        </w:tc>
        <w:tc>
          <w:tcPr>
            <w:tcW w:w="17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12540D2" w14:textId="77777777" w:rsidR="00880E72" w:rsidRDefault="00000000">
            <w:pPr>
              <w:spacing w:after="0"/>
            </w:pPr>
            <w:r>
              <w:rPr>
                <w:rFonts w:cs="Times New Roman"/>
                <w:sz w:val="22"/>
              </w:rPr>
              <w:t>23%</w:t>
            </w:r>
          </w:p>
        </w:tc>
      </w:tr>
      <w:tr w:rsidR="00880E72" w14:paraId="3ED1FA68" w14:textId="77777777">
        <w:trPr>
          <w:trHeight w:val="1200"/>
        </w:trPr>
        <w:tc>
          <w:tcPr>
            <w:tcW w:w="22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02543B8" w14:textId="77777777" w:rsidR="00880E72" w:rsidRDefault="00000000">
            <w:pPr>
              <w:spacing w:after="0"/>
            </w:pPr>
            <w:r>
              <w:rPr>
                <w:rFonts w:cs="Times New Roman"/>
                <w:sz w:val="22"/>
              </w:rPr>
              <w:t>Ralph Blanco</w:t>
            </w:r>
          </w:p>
        </w:tc>
        <w:tc>
          <w:tcPr>
            <w:tcW w:w="26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0A3BF7C" w14:textId="77777777" w:rsidR="00880E72" w:rsidRDefault="00000000">
            <w:pPr>
              <w:spacing w:after="0"/>
            </w:pPr>
            <w:r>
              <w:rPr>
                <w:rFonts w:cs="Times New Roman"/>
                <w:sz w:val="22"/>
              </w:rPr>
              <w:t>Planning and brainstorming with the Project Manager.</w:t>
            </w:r>
          </w:p>
        </w:tc>
        <w:tc>
          <w:tcPr>
            <w:tcW w:w="3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4F5E97D" w14:textId="77777777" w:rsidR="00880E72" w:rsidRDefault="00000000">
            <w:pPr>
              <w:spacing w:after="0"/>
            </w:pPr>
            <w:r>
              <w:rPr>
                <w:rFonts w:cs="Times New Roman"/>
                <w:sz w:val="22"/>
              </w:rPr>
              <w:t>Ideas and planning input for the proposal.</w:t>
            </w:r>
          </w:p>
        </w:tc>
        <w:tc>
          <w:tcPr>
            <w:tcW w:w="17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90B3A8C" w14:textId="77777777" w:rsidR="00880E72" w:rsidRDefault="00000000">
            <w:pPr>
              <w:spacing w:after="0"/>
            </w:pPr>
            <w:r>
              <w:rPr>
                <w:rFonts w:cs="Times New Roman"/>
                <w:sz w:val="22"/>
              </w:rPr>
              <w:t>24%</w:t>
            </w:r>
          </w:p>
        </w:tc>
      </w:tr>
      <w:tr w:rsidR="00880E72" w14:paraId="5A1467DA" w14:textId="77777777">
        <w:trPr>
          <w:trHeight w:val="480"/>
        </w:trPr>
        <w:tc>
          <w:tcPr>
            <w:tcW w:w="22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88030D7" w14:textId="77777777" w:rsidR="00880E72" w:rsidRDefault="00880E72">
            <w:pPr>
              <w:spacing w:after="0"/>
            </w:pPr>
          </w:p>
        </w:tc>
        <w:tc>
          <w:tcPr>
            <w:tcW w:w="26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08DE5F68" w14:textId="77777777" w:rsidR="00880E72" w:rsidRDefault="00880E72">
            <w:pPr>
              <w:spacing w:after="0"/>
            </w:pPr>
          </w:p>
        </w:tc>
        <w:tc>
          <w:tcPr>
            <w:tcW w:w="3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5FECE34" w14:textId="77777777" w:rsidR="00880E72" w:rsidRDefault="00000000">
            <w:pPr>
              <w:spacing w:after="0"/>
            </w:pPr>
            <w:r>
              <w:rPr>
                <w:rFonts w:cs="Times New Roman"/>
                <w:sz w:val="22"/>
              </w:rPr>
              <w:t>Total</w:t>
            </w:r>
          </w:p>
        </w:tc>
        <w:tc>
          <w:tcPr>
            <w:tcW w:w="17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B398E4A" w14:textId="77777777" w:rsidR="00880E72" w:rsidRDefault="00000000">
            <w:pPr>
              <w:spacing w:after="0"/>
            </w:pPr>
            <w:r>
              <w:rPr>
                <w:rFonts w:cs="Times New Roman"/>
                <w:sz w:val="22"/>
              </w:rPr>
              <w:t>100%</w:t>
            </w:r>
          </w:p>
        </w:tc>
      </w:tr>
    </w:tbl>
    <w:p w14:paraId="5BE0EE29" w14:textId="77777777" w:rsidR="00EB6C88" w:rsidRDefault="00EB6C88"/>
    <w:sectPr w:rsidR="00EB6C88" w:rsidSect="00034616">
      <w:pgSz w:w="12240" w:h="15840"/>
      <w:pgMar w:top="1180" w:right="1160" w:bottom="1120" w:left="1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4738936">
    <w:abstractNumId w:val="8"/>
  </w:num>
  <w:num w:numId="2" w16cid:durableId="2026127716">
    <w:abstractNumId w:val="6"/>
  </w:num>
  <w:num w:numId="3" w16cid:durableId="1075321641">
    <w:abstractNumId w:val="5"/>
  </w:num>
  <w:num w:numId="4" w16cid:durableId="386883231">
    <w:abstractNumId w:val="4"/>
  </w:num>
  <w:num w:numId="5" w16cid:durableId="103355138">
    <w:abstractNumId w:val="7"/>
  </w:num>
  <w:num w:numId="6" w16cid:durableId="341785012">
    <w:abstractNumId w:val="3"/>
  </w:num>
  <w:num w:numId="7" w16cid:durableId="1399982611">
    <w:abstractNumId w:val="2"/>
  </w:num>
  <w:num w:numId="8" w16cid:durableId="279579711">
    <w:abstractNumId w:val="1"/>
  </w:num>
  <w:num w:numId="9" w16cid:durableId="1782337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4718"/>
    <w:rsid w:val="00611AE0"/>
    <w:rsid w:val="00880E72"/>
    <w:rsid w:val="00AA1D8D"/>
    <w:rsid w:val="00B47730"/>
    <w:rsid w:val="00CB0664"/>
    <w:rsid w:val="00EB6C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0240AC"/>
  <w14:defaultImageDpi w14:val="300"/>
  <w15:docId w15:val="{291CDC93-F9C9-4166-A461-C2B27A2D9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3617</Words>
  <Characters>20617</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DAWN ANDREI PAMESA</cp:lastModifiedBy>
  <cp:revision>3</cp:revision>
  <dcterms:created xsi:type="dcterms:W3CDTF">2013-12-23T23:15:00Z</dcterms:created>
  <dcterms:modified xsi:type="dcterms:W3CDTF">2026-10-31T07:49:00Z</dcterms:modified>
  <cp:category/>
</cp:coreProperties>
</file>