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 w:eastAsia="Times New Roman"/>
          <w:b w:val="0"/>
          <w:i w:val="0"/>
          <w:sz w:val="24"/>
        </w:rPr>
        <w:t>Dawn Andrei Pamesa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TS31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Questions for Consultation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Sir Pura and Ma'am (Doc Beau)</w:t>
      </w:r>
    </w:p>
    <w:p>
      <w:pPr>
        <w:keepNext/>
        <w:keepLines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two sets of guidance we have received are different. Ma'am's ranking on 2026-10-04 included titles that use public data, while Sir Pura's rules on 2026-10-10 do not allow open-source data and ask for a client. We would like to follow one set of rules, so these are our questions.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Questions for Sir Pura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When you said no open-source data, did you mean the main dataset only? Could public data be used as supporting or benchmark data if a private client supplies the main records?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What counts as a client? Does it have to be the one that owns the data, or can a private organization that commits to using the finished tool count?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Is a government dataset acceptable when the client is private? Does a civic group or an NGO count as a client?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What counts as a row? Would route-level or cause-level tables from PSA count toward the 5,000 minimum, or must each row be a single record?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Is a synthetic dataset allowed to count toward the minimum, or only real records?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Is a client reached through a family contact acceptable? We have a construction firm in Valenzuela, Aquaplus and Arkidom as leads.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By when must the client and the data be confirmed before the title defense, and can we defend with one main title and one fallback?</w:t>
      </w:r>
    </w:p>
    <w:p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What do we need from a client in writing, such as a data permission letter or a non-disclosure agreement, and does ethics review need anything extra for private data?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Questions for Ma'am (Doc Beau)</w:t>
      </w:r>
    </w:p>
    <w:p>
      <w:pPr>
        <w:pStyle w:val="ListNumber"/>
        <w:numPr>
          <w:ilvl w:val="0"/>
          <w:numId w:val="11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Your ranking on 2026-10-04 used public data, and Sir Pura's rules do not allow it. Which rule should we follow for the title defense?</w:t>
      </w:r>
    </w:p>
    <w:p>
      <w:pPr>
        <w:pStyle w:val="ListNumber"/>
        <w:numPr>
          <w:ilvl w:val="0"/>
          <w:numId w:val="11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If a title keeps public data but adds a private client, would you still rank it where you did? Where would the grid title sit then?</w:t>
      </w:r>
    </w:p>
    <w:p>
      <w:pPr>
        <w:pStyle w:val="ListNumber"/>
        <w:numPr>
          <w:ilvl w:val="0"/>
          <w:numId w:val="11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Does the 10,000-record minimum apply to aggregated tables such as the PSA ones, or only to record-level data?</w:t>
      </w:r>
    </w:p>
    <w:p>
      <w:pPr>
        <w:pStyle w:val="ListNumber"/>
        <w:numPr>
          <w:ilvl w:val="0"/>
          <w:numId w:val="11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Will the panel accept a title whose main data is public if the client angle is strong, or will it follow Sir Pura's rule?</w:t>
      </w:r>
    </w:p>
    <w:p>
      <w:pPr>
        <w:pStyle w:val="ListNumber"/>
        <w:numPr>
          <w:ilvl w:val="0"/>
          <w:numId w:val="11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Which SDGs fit best for procurement (16.5 and 16.6), freight and energy, and are those acceptable?</w:t>
      </w:r>
    </w:p>
    <w:p>
      <w:pPr>
        <w:pStyle w:val="ListNumber"/>
        <w:numPr>
          <w:ilvl w:val="0"/>
          <w:numId w:val="11"/>
        </w:num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 you confirm in writing on Canvas which titles are still eligible, so the group has one answer?</w:t>
      </w:r>
    </w:p>
    <w:p>
      <w:pPr>
        <w:keepNext/>
        <w:keepLines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would appreciate written confirmation on Canvas so that the whole group has the same answer.</w:t>
      </w:r>
    </w:p>
    <w:p>
      <w:r>
        <w:rPr>
          <w:rFonts w:ascii="Times New Roman" w:hAnsi="Times New Roman" w:eastAsia="Times New Roman"/>
          <w:b w:val="0"/>
          <w:i/>
          <w:sz w:val="20"/>
        </w:rPr>
        <w:t>Prepared with AI assistance (Claude) and to be reworded by the group. The PhilGEPS and air cargo counts were checked on 2026-10-16 and the other figures on 2026-10-04.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