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ind w:left="0"/>
        <w:jc w:val="left"/>
      </w:pPr>
      <w:r>
        <w:rPr>
          <w:rFonts w:ascii="Times New Roman" w:hAnsi="Times New Roman" w:eastAsia="Times New Roman"/>
          <w:b w:val="0"/>
          <w:i w:val="0"/>
          <w:sz w:val="24"/>
        </w:rPr>
        <w:t>Dawn Andrei Pamesa</w:t>
      </w:r>
    </w:p>
    <w:p>
      <w:pPr>
        <w:keepNext w:val="0"/>
        <w:spacing w:after="240"/>
        <w:ind w:left="0"/>
        <w:jc w:val="left"/>
      </w:pPr>
      <w:r>
        <w:rPr>
          <w:rFonts w:ascii="Times New Roman" w:hAnsi="Times New Roman" w:eastAsia="Times New Roman"/>
          <w:b w:val="0"/>
          <w:i w:val="0"/>
          <w:sz w:val="24"/>
        </w:rPr>
        <w:t>TS31</w:t>
      </w:r>
    </w:p>
    <w:p>
      <w:pPr>
        <w:keepNext w:val="0"/>
        <w:spacing w:after="0"/>
        <w:ind w:left="0"/>
        <w:jc w:val="center"/>
      </w:pPr>
      <w:r>
        <w:rPr>
          <w:rFonts w:ascii="Times New Roman" w:hAnsi="Times New Roman" w:eastAsia="Times New Roman"/>
          <w:b/>
          <w:i w:val="0"/>
          <w:sz w:val="24"/>
        </w:rPr>
        <w:t>Thesis Title Drafts: Aquaplus and Arkidom</w:t>
      </w:r>
    </w:p>
    <w:p>
      <w:pPr>
        <w:keepNext w:val="0"/>
        <w:spacing w:after="240"/>
        <w:ind w:left="0"/>
        <w:jc w:val="center"/>
      </w:pPr>
      <w:r>
        <w:rPr>
          <w:rFonts w:ascii="Times New Roman" w:hAnsi="Times New Roman" w:eastAsia="Times New Roman"/>
          <w:b w:val="0"/>
          <w:i w:val="0"/>
          <w:sz w:val="24"/>
        </w:rPr>
        <w:t>Initial Draft Research, Review of Related Literature and Review of Related Studies</w:t>
      </w:r>
    </w:p>
    <w:p>
      <w:pPr>
        <w:keepNext/>
        <w:spacing w:before="200" w:after="120"/>
        <w:jc w:val="left"/>
      </w:pPr>
      <w:r>
        <w:rPr>
          <w:rFonts w:ascii="Times New Roman" w:hAnsi="Times New Roman" w:eastAsia="Times New Roman"/>
          <w:b/>
          <w:i w:val="0"/>
          <w:sz w:val="24"/>
        </w:rPr>
        <w:t>Notes Before Using This Draft</w:t>
      </w:r>
    </w:p>
    <w:p>
      <w:pPr>
        <w:keepNext w:val="0"/>
        <w:spacing w:after="120"/>
        <w:ind w:left="0"/>
        <w:jc w:val="both"/>
      </w:pPr>
      <w:r>
        <w:rPr>
          <w:rFonts w:ascii="Times New Roman" w:hAnsi="Times New Roman" w:eastAsia="Times New Roman"/>
          <w:b w:val="0"/>
          <w:i w:val="0"/>
          <w:sz w:val="24"/>
        </w:rPr>
        <w:t>This is an AI-assisted first draft prepared on 2026-10-13 for the group's internal deadline on Wednesday, October 14. Every summary must be reworded in a member's own words, and the AI help must be logged in the AI Interaction Log. The sources were checked against their live pages or Crossref on 2026-10-13. Where a source could not be fully opened, it is marked "Check before citing" and a member has to read it first. Nothing about either client has been confirmed with the client yet.</w:t>
      </w:r>
    </w:p>
    <w:p>
      <w:pPr>
        <w:keepNext w:val="0"/>
        <w:spacing w:after="120"/>
        <w:ind w:left="0"/>
        <w:jc w:val="both"/>
      </w:pPr>
      <w:r>
        <w:rPr>
          <w:rFonts w:ascii="Times New Roman" w:hAnsi="Times New Roman" w:eastAsia="Times New Roman"/>
          <w:b w:val="0"/>
          <w:i w:val="0"/>
          <w:sz w:val="24"/>
        </w:rPr>
        <w:t>The adviser's rules from 2026-10-10 apply to both titles: a private client (not government), no open-source data, no web scraping, data from 2021 onward and at least 5,000 rows. Neither client's data has been checked against these rules yet, so the first step for each title is to ask the client what records they keep (see the questions at the end).</w:t>
      </w:r>
    </w:p>
    <w:p>
      <w:pPr>
        <w:keepNext/>
        <w:pageBreakBefore/>
        <w:spacing w:before="200" w:after="120"/>
        <w:jc w:val="left"/>
      </w:pPr>
      <w:r>
        <w:rPr>
          <w:rFonts w:ascii="Times New Roman" w:hAnsi="Times New Roman" w:eastAsia="Times New Roman"/>
          <w:b/>
          <w:i w:val="0"/>
          <w:sz w:val="24"/>
        </w:rPr>
        <w:t>Title 1: Aquaplus</w:t>
      </w:r>
    </w:p>
    <w:p>
      <w:pPr>
        <w:spacing w:after="60"/>
        <w:ind w:left="0"/>
        <w:jc w:val="both"/>
      </w:pPr>
      <w:r>
        <w:rPr>
          <w:rFonts w:ascii="Times New Roman" w:hAnsi="Times New Roman" w:eastAsia="Times New Roman"/>
          <w:b/>
          <w:i w:val="0"/>
          <w:sz w:val="24"/>
        </w:rPr>
        <w:t xml:space="preserve">Proposed Working Title: </w:t>
      </w:r>
      <w:r>
        <w:rPr>
          <w:rFonts w:ascii="Times New Roman" w:hAnsi="Times New Roman" w:eastAsia="Times New Roman"/>
          <w:b w:val="0"/>
          <w:i w:val="0"/>
          <w:sz w:val="24"/>
        </w:rPr>
        <w:t>Demand Forecasting and Customer Retention Analytics for a Water Refilling Station in San Juan City</w:t>
      </w:r>
    </w:p>
    <w:p>
      <w:pPr>
        <w:spacing w:after="60"/>
        <w:ind w:left="0"/>
        <w:jc w:val="both"/>
      </w:pPr>
      <w:r>
        <w:rPr>
          <w:rFonts w:ascii="Times New Roman" w:hAnsi="Times New Roman" w:eastAsia="Times New Roman"/>
          <w:b/>
          <w:i w:val="0"/>
          <w:sz w:val="24"/>
        </w:rPr>
        <w:t xml:space="preserve">Client Background: </w:t>
      </w:r>
      <w:r>
        <w:rPr>
          <w:rFonts w:ascii="Times New Roman" w:hAnsi="Times New Roman" w:eastAsia="Times New Roman"/>
          <w:b w:val="0"/>
          <w:i w:val="0"/>
          <w:sz w:val="24"/>
        </w:rPr>
        <w:t>Aquaplus is a water refilling station in San Juan (from the group chat). A Facebook page named "Aquaplus Water Refilling Station" exists (facebook.com/AQPWRS, about 300 likes), but its address and branch could not be confirmed, and other pages named Aquaplus belong to different businesses. No size or sales information is public.</w:t>
      </w:r>
    </w:p>
    <w:p>
      <w:pPr>
        <w:spacing w:after="60"/>
        <w:ind w:left="0"/>
        <w:jc w:val="both"/>
      </w:pPr>
      <w:r>
        <w:rPr>
          <w:rFonts w:ascii="Times New Roman" w:hAnsi="Times New Roman" w:eastAsia="Times New Roman"/>
          <w:b/>
          <w:i w:val="0"/>
          <w:sz w:val="24"/>
        </w:rPr>
        <w:t xml:space="preserve">System Description: </w:t>
      </w:r>
      <w:r>
        <w:rPr>
          <w:rFonts w:ascii="Times New Roman" w:hAnsi="Times New Roman" w:eastAsia="Times New Roman"/>
          <w:b w:val="0"/>
          <w:i w:val="0"/>
          <w:sz w:val="24"/>
        </w:rPr>
        <w:t>A forecasting and customer analytics dashboard built on the station's own sales and delivery records. It predicts daily and weekly refill demand, including rainy and dry season swings and delivery versus walk-in orders, so the owner can plan stock, staff and delivery trips. It also flags regular customers who have stopped ordering so the owner can follow up. Candidate methods are seasonal naive and ARIMA baselines, Prophet, and XGBoost on calendar features, compared using time-series cross-validation (MAE and WAPE).</w:t>
      </w:r>
    </w:p>
    <w:p>
      <w:pPr>
        <w:spacing w:after="60"/>
        <w:ind w:left="0"/>
        <w:jc w:val="both"/>
      </w:pPr>
      <w:r>
        <w:rPr>
          <w:rFonts w:ascii="Times New Roman" w:hAnsi="Times New Roman" w:eastAsia="Times New Roman"/>
          <w:b/>
          <w:i w:val="0"/>
          <w:sz w:val="24"/>
        </w:rPr>
        <w:t xml:space="preserve">Data Check: </w:t>
      </w:r>
      <w:r>
        <w:rPr>
          <w:rFonts w:ascii="Times New Roman" w:hAnsi="Times New Roman" w:eastAsia="Times New Roman"/>
          <w:b w:val="0"/>
          <w:i w:val="0"/>
          <w:sz w:val="24"/>
        </w:rPr>
        <w:t>A station that logs each sale or delivery could pass 5,000 rows from 2021 onward. A station that only keeps a notebook or monthly totals will not. This is the first question to ask the owner.</w:t>
      </w:r>
    </w:p>
    <w:p>
      <w:pPr>
        <w:keepNext/>
        <w:spacing w:before="200" w:after="120"/>
        <w:jc w:val="left"/>
      </w:pPr>
      <w:r>
        <w:rPr>
          <w:rFonts w:ascii="Times New Roman" w:hAnsi="Times New Roman" w:eastAsia="Times New Roman"/>
          <w:b/>
          <w:i w:val="0"/>
          <w:sz w:val="24"/>
        </w:rPr>
        <w:t>Review of Related Literature (RRL)</w:t>
      </w:r>
    </w:p>
    <w:p>
      <w:pPr>
        <w:pStyle w:val="ListNumber"/>
        <w:keepNext/>
        <w:numPr>
          <w:ilvl w:val="0"/>
          <w:numId w:val="10"/>
        </w:numPr>
        <w:spacing w:after="60"/>
        <w:jc w:val="both"/>
      </w:pPr>
      <w:r>
        <w:rPr>
          <w:rFonts w:ascii="Times New Roman" w:hAnsi="Times New Roman" w:eastAsia="Times New Roman"/>
          <w:b/>
          <w:i w:val="0"/>
          <w:sz w:val="24"/>
        </w:rPr>
        <w:t xml:space="preserve">[Local Law] </w:t>
      </w:r>
      <w:r>
        <w:rPr>
          <w:rFonts w:ascii="Times New Roman" w:hAnsi="Times New Roman" w:eastAsia="Times New Roman"/>
          <w:b w:val="0"/>
          <w:i w:val="0"/>
          <w:sz w:val="24"/>
        </w:rPr>
        <w:t>Presidential Decree No. 856, Code on Sanitation of the Philippines (1975), Chapter II, Water Supply.</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Sets the legal basis for drinking water standards, water testing and the DOH rules that water refilling stations follow.</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Frames the regulated environment the client operates in and the records a station may already keep.</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https://lpr.adb.org/sites/default/files/2024-05/philippines-presidential-decree-no-856-s-1975.pdf</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Compare the section numbers with the LawPhil or Official Gazette text before quoting.</w:t>
      </w:r>
    </w:p>
    <w:p>
      <w:pPr>
        <w:pStyle w:val="ListNumber"/>
        <w:keepNext/>
        <w:numPr>
          <w:ilvl w:val="0"/>
          <w:numId w:val="10"/>
        </w:numPr>
        <w:spacing w:after="60"/>
        <w:jc w:val="both"/>
      </w:pPr>
      <w:r>
        <w:rPr>
          <w:rFonts w:ascii="Times New Roman" w:hAnsi="Times New Roman" w:eastAsia="Times New Roman"/>
          <w:b/>
          <w:i w:val="0"/>
          <w:sz w:val="24"/>
        </w:rPr>
        <w:t xml:space="preserve">[Local Rules] </w:t>
      </w:r>
      <w:r>
        <w:rPr>
          <w:rFonts w:ascii="Times New Roman" w:hAnsi="Times New Roman" w:eastAsia="Times New Roman"/>
          <w:b w:val="0"/>
          <w:i w:val="0"/>
          <w:sz w:val="24"/>
        </w:rPr>
        <w:t>Department of Health, Supplemental Implementing Rules and Regulations of Chapter II of PD 856 (25 June 1999).</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Covers retail water systems and refilling stations, product water monitoring and operator duties.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The operating rules for the client, and a source of what the station must measure and record.</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https://dev.lawyerly.ph/laws/48321</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This is a secondary copy of the rules. Confirm it against the DOH original.</w:t>
      </w:r>
    </w:p>
    <w:p>
      <w:pPr>
        <w:pStyle w:val="ListNumber"/>
        <w:keepNext/>
        <w:numPr>
          <w:ilvl w:val="0"/>
          <w:numId w:val="10"/>
        </w:numPr>
        <w:spacing w:after="60"/>
        <w:jc w:val="both"/>
      </w:pPr>
      <w:r>
        <w:rPr>
          <w:rFonts w:ascii="Times New Roman" w:hAnsi="Times New Roman" w:eastAsia="Times New Roman"/>
          <w:b/>
          <w:i w:val="0"/>
          <w:sz w:val="24"/>
        </w:rPr>
        <w:t xml:space="preserve">[Foreign Book] </w:t>
      </w:r>
      <w:r>
        <w:rPr>
          <w:rFonts w:ascii="Times New Roman" w:hAnsi="Times New Roman" w:eastAsia="Times New Roman"/>
          <w:b w:val="0"/>
          <w:i w:val="0"/>
          <w:sz w:val="24"/>
        </w:rPr>
        <w:t>Hyndman, R. J., &amp; Athanasopoulos, G. (2021). Forecasting: Principles and Practice (3rd ed.). OTexts.</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standard textbook on time series graphics, decomposition, ARIMA, exponential smoothing and forecast accuracy measures.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Provides the baseline methods and the evaluation approach for the forecasting part of the study.</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https://otexts.com/fpp3/</w:t>
      </w:r>
    </w:p>
    <w:p>
      <w:pPr>
        <w:pStyle w:val="ListNumber"/>
        <w:keepNext/>
        <w:numPr>
          <w:ilvl w:val="0"/>
          <w:numId w:val="10"/>
        </w:numPr>
        <w:spacing w:after="60"/>
        <w:jc w:val="both"/>
      </w:pPr>
      <w:r>
        <w:rPr>
          <w:rFonts w:ascii="Times New Roman" w:hAnsi="Times New Roman" w:eastAsia="Times New Roman"/>
          <w:b/>
          <w:i w:val="0"/>
          <w:sz w:val="24"/>
        </w:rPr>
        <w:t xml:space="preserve">[Foreign Paper] </w:t>
      </w:r>
      <w:r>
        <w:rPr>
          <w:rFonts w:ascii="Times New Roman" w:hAnsi="Times New Roman" w:eastAsia="Times New Roman"/>
          <w:b w:val="0"/>
          <w:i w:val="0"/>
          <w:sz w:val="24"/>
        </w:rPr>
        <w:t>Chen, T., &amp; Guestrin, C. (2016). XGBoost: A scalable tree boosting system. Proceedings of the 22nd ACM SIGKDD International Conference on Knowledge Discovery and Data Mining, 785-794.</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Describes the gradient boosted tree method and the engineering that makes it fast and accurate on tabular data.</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The main non-linear machine learning candidate for demand prediction.</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https://doi.org/10.1145/2939672.2939785</w:t>
      </w:r>
    </w:p>
    <w:p>
      <w:pPr>
        <w:pStyle w:val="ListNumber"/>
        <w:keepNext/>
        <w:numPr>
          <w:ilvl w:val="0"/>
          <w:numId w:val="10"/>
        </w:numPr>
        <w:spacing w:after="60"/>
        <w:jc w:val="both"/>
      </w:pPr>
      <w:r>
        <w:rPr>
          <w:rFonts w:ascii="Times New Roman" w:hAnsi="Times New Roman" w:eastAsia="Times New Roman"/>
          <w:b/>
          <w:i w:val="0"/>
          <w:sz w:val="24"/>
        </w:rPr>
        <w:t xml:space="preserve">[Foreign Paper] </w:t>
      </w:r>
      <w:r>
        <w:rPr>
          <w:rFonts w:ascii="Times New Roman" w:hAnsi="Times New Roman" w:eastAsia="Times New Roman"/>
          <w:b w:val="0"/>
          <w:i w:val="0"/>
          <w:sz w:val="24"/>
        </w:rPr>
        <w:t>Taylor, S. J., &amp; Letham, B. (2018). Forecasting at scale. The American Statistician, 72(1), 37-45.</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Introduces Prophet, a forecasting model for trend, weekly and yearly seasonality and holidays that needs little tuning.</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Suits a small business owner who needs a forecast with explainable seasonality.</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https://doi.org/10.1080/00031305.2017.1380080</w:t>
      </w:r>
    </w:p>
    <w:p>
      <w:pPr>
        <w:keepNext/>
        <w:spacing w:before="200" w:after="120"/>
        <w:jc w:val="left"/>
      </w:pPr>
      <w:r>
        <w:rPr>
          <w:rFonts w:ascii="Times New Roman" w:hAnsi="Times New Roman" w:eastAsia="Times New Roman"/>
          <w:b/>
          <w:i w:val="0"/>
          <w:sz w:val="24"/>
        </w:rPr>
        <w:t>Review of Related Studies (RRS)</w:t>
      </w:r>
    </w:p>
    <w:p>
      <w:pPr>
        <w:pStyle w:val="ListNumber"/>
        <w:keepNext/>
        <w:numPr>
          <w:ilvl w:val="0"/>
          <w:numId w:val="11"/>
        </w:numPr>
        <w:spacing w:after="60"/>
        <w:jc w:val="both"/>
      </w:pPr>
      <w:r>
        <w:rPr>
          <w:rFonts w:ascii="Times New Roman" w:hAnsi="Times New Roman" w:eastAsia="Times New Roman"/>
          <w:b/>
          <w:i w:val="0"/>
          <w:sz w:val="24"/>
        </w:rPr>
        <w:t xml:space="preserve">[Local Study] </w:t>
      </w:r>
      <w:r>
        <w:rPr>
          <w:rFonts w:ascii="Times New Roman" w:hAnsi="Times New Roman" w:eastAsia="Times New Roman"/>
          <w:b w:val="0"/>
          <w:i w:val="0"/>
          <w:sz w:val="24"/>
        </w:rPr>
        <w:t>Cope, M. A. B., Gutierrez, S. A. S., Mañalac, M. M. C., Ocampo, M. L. A. D. J., Perez, P. P., &amp; Quizon, R. R. (2013). Knowledge and practices of water refilling station owners and operators in providing safe and wholesome drinking water supply in one municipality of Cavite. Acta Medica Philippina, 47(2).</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Studies what owners and operators of water refilling stations in one Cavite municipality know and do to provide safe water.</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Philippine evidence on how small stations are actually run and what they track.</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https://doi.org/10.47895/amp.v47i2.1360</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abstract was not visible on the journal page. Read the PDF and rewrite the summary from it.</w:t>
      </w:r>
    </w:p>
    <w:p>
      <w:pPr>
        <w:pStyle w:val="ListNumber"/>
        <w:keepNext/>
        <w:numPr>
          <w:ilvl w:val="0"/>
          <w:numId w:val="11"/>
        </w:numPr>
        <w:spacing w:after="60"/>
        <w:jc w:val="both"/>
      </w:pPr>
      <w:r>
        <w:rPr>
          <w:rFonts w:ascii="Times New Roman" w:hAnsi="Times New Roman" w:eastAsia="Times New Roman"/>
          <w:b/>
          <w:i w:val="0"/>
          <w:sz w:val="24"/>
        </w:rPr>
        <w:t xml:space="preserve">[Local Study] </w:t>
      </w:r>
      <w:r>
        <w:rPr>
          <w:rFonts w:ascii="Times New Roman" w:hAnsi="Times New Roman" w:eastAsia="Times New Roman"/>
          <w:b w:val="0"/>
          <w:i w:val="0"/>
          <w:sz w:val="24"/>
        </w:rPr>
        <w:t>Molina, V. B., Quizon, R. R., Fadrilan-Camacho, V. F. F., Lee-Delos Reyes, C., Deauna II, J. P., Agosto, H. C., et al. (2016). Development of water safety plan models for water refilling stations in the Philippines. Acta Medica Philippina, 50(3).</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Develops water safety plan models for refilling stations in the Philippines.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Shows how stations document their operations and where usable data could exist.</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https://doi.org/10.47895/amp.v50i3.817</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abstract was not visible on the journal page. Read the PDF and rewrite the summary from it.</w:t>
      </w:r>
    </w:p>
    <w:p>
      <w:pPr>
        <w:pStyle w:val="ListNumber"/>
        <w:keepNext/>
        <w:numPr>
          <w:ilvl w:val="0"/>
          <w:numId w:val="11"/>
        </w:numPr>
        <w:spacing w:after="60"/>
        <w:jc w:val="both"/>
      </w:pPr>
      <w:r>
        <w:rPr>
          <w:rFonts w:ascii="Times New Roman" w:hAnsi="Times New Roman" w:eastAsia="Times New Roman"/>
          <w:b/>
          <w:i w:val="0"/>
          <w:sz w:val="24"/>
        </w:rPr>
        <w:t xml:space="preserve">[Foreign Study] </w:t>
      </w:r>
      <w:r>
        <w:rPr>
          <w:rFonts w:ascii="Times New Roman" w:hAnsi="Times New Roman" w:eastAsia="Times New Roman"/>
          <w:b w:val="0"/>
          <w:i w:val="0"/>
          <w:sz w:val="24"/>
        </w:rPr>
        <w:t>Fatima, A., &amp; Salam, M. A. (2026). A data-driven predictive framework for inventory optimization using context-augmented machine learning models. arXiv:2601.05033.</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Compares XGBoost, ARIMA and ARIMAX, Facebook Prophet and Support Vector Regression for retail and vending demand, adding day of week, holiday and sales deviation features. XGBoost gave the lowest MAE (22.7) when external variables were included.</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The closest design to this proposal: demand forecasting for a small retail style operation.</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https://arxiv.org/abs/2601.05033</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This is a preprint and has not been peer reviewed.</w:t>
      </w:r>
    </w:p>
    <w:p>
      <w:pPr>
        <w:pStyle w:val="ListNumber"/>
        <w:keepNext/>
        <w:numPr>
          <w:ilvl w:val="0"/>
          <w:numId w:val="11"/>
        </w:numPr>
        <w:spacing w:after="60"/>
        <w:jc w:val="both"/>
      </w:pPr>
      <w:r>
        <w:rPr>
          <w:rFonts w:ascii="Times New Roman" w:hAnsi="Times New Roman" w:eastAsia="Times New Roman"/>
          <w:b/>
          <w:i w:val="0"/>
          <w:sz w:val="24"/>
        </w:rPr>
        <w:t xml:space="preserve">[Foreign Study] </w:t>
      </w:r>
      <w:r>
        <w:rPr>
          <w:rFonts w:ascii="Times New Roman" w:hAnsi="Times New Roman" w:eastAsia="Times New Roman"/>
          <w:b w:val="0"/>
          <w:i w:val="0"/>
          <w:sz w:val="24"/>
        </w:rPr>
        <w:t>Akhmetbek, S. (2022). Forecasting customer future behavior in retail business using machine learning models. Scientific Journal of Astana IT University, 10, 45-60.</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Predicts churn in non-contractual retail from eleven customer behavior metrics using logistic regression and a neural network, and finds that customers who buy often are less likely to churn.</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Supports the customer retention part of the title, since a refilling station has no contracts with its customers.</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https://doi.org/10.37943/ILMM7870</w:t>
      </w:r>
    </w:p>
    <w:p>
      <w:pPr>
        <w:pStyle w:val="ListNumber"/>
        <w:keepNext/>
        <w:numPr>
          <w:ilvl w:val="0"/>
          <w:numId w:val="11"/>
        </w:numPr>
        <w:spacing w:after="60"/>
        <w:jc w:val="both"/>
      </w:pPr>
      <w:r>
        <w:rPr>
          <w:rFonts w:ascii="Times New Roman" w:hAnsi="Times New Roman" w:eastAsia="Times New Roman"/>
          <w:b/>
          <w:i w:val="0"/>
          <w:sz w:val="24"/>
        </w:rPr>
        <w:t xml:space="preserve">[Foreign Study] </w:t>
      </w:r>
      <w:r>
        <w:rPr>
          <w:rFonts w:ascii="Times New Roman" w:hAnsi="Times New Roman" w:eastAsia="Times New Roman"/>
          <w:b w:val="0"/>
          <w:i w:val="0"/>
          <w:sz w:val="24"/>
        </w:rPr>
        <w:t>Shahar, N. A. M., Mutalib, S., Halim, S. A., &amp; Ramdhan, W. (2024). Sales forecasting using machine learning methods for online store. Proceedings of InvENT 2024, Advances in Computer Science Research, Atlantis Press.</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Applies exploratory analysis and feature selection to retail sales data and reports that XGBoost gave the best forecasts, evaluated with RMSE, NRMSE, KS distance and Pearson correlation, and builds a dashboard for sales trends.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Another example of XGBoost for sales forecasting with a dashboard output, close to the planned system.</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https://doi.org/10.2991/978-94-6463-589-8_6</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98.23 percent accuracy figure in the abstract is not defined for a forecasting task, so do not quote it.</w:t>
      </w:r>
    </w:p>
    <w:p>
      <w:pPr>
        <w:keepNext/>
        <w:spacing w:before="200" w:after="120"/>
        <w:jc w:val="left"/>
      </w:pPr>
      <w:r>
        <w:rPr>
          <w:rFonts w:ascii="Times New Roman" w:hAnsi="Times New Roman" w:eastAsia="Times New Roman"/>
          <w:b/>
          <w:i w:val="0"/>
          <w:sz w:val="24"/>
        </w:rPr>
        <w:t>Research Gap (Draft)</w:t>
      </w:r>
    </w:p>
    <w:p>
      <w:pPr>
        <w:keepNext w:val="0"/>
        <w:spacing w:after="120"/>
        <w:ind w:left="0"/>
        <w:jc w:val="both"/>
      </w:pPr>
      <w:r>
        <w:rPr>
          <w:rFonts w:ascii="Times New Roman" w:hAnsi="Times New Roman" w:eastAsia="Times New Roman"/>
          <w:b w:val="0"/>
          <w:i w:val="0"/>
          <w:sz w:val="24"/>
        </w:rPr>
        <w:t>The searches did not find a peer-reviewed Philippine study that forecasts demand for a small water refilling station or a comparable small retail business. The Philippine forecasting work found concerned macro series such as inflation, and the refilling station studies focus on sanitation and compliance, not on demand or customer retention. This means "not found by these searches", not "does not exist". The group should sharpen this sentence before using it.</w:t>
      </w:r>
    </w:p>
    <w:p>
      <w:pPr>
        <w:keepNext/>
        <w:pageBreakBefore/>
        <w:spacing w:before="200" w:after="120"/>
        <w:jc w:val="left"/>
      </w:pPr>
      <w:r>
        <w:rPr>
          <w:rFonts w:ascii="Times New Roman" w:hAnsi="Times New Roman" w:eastAsia="Times New Roman"/>
          <w:b/>
          <w:i w:val="0"/>
          <w:sz w:val="24"/>
        </w:rPr>
        <w:t>Title 2: Arkidom</w:t>
      </w:r>
    </w:p>
    <w:p>
      <w:pPr>
        <w:spacing w:after="60"/>
        <w:ind w:left="0"/>
        <w:jc w:val="both"/>
      </w:pPr>
      <w:r>
        <w:rPr>
          <w:rFonts w:ascii="Times New Roman" w:hAnsi="Times New Roman" w:eastAsia="Times New Roman"/>
          <w:b/>
          <w:i w:val="0"/>
          <w:sz w:val="24"/>
        </w:rPr>
        <w:t xml:space="preserve">Proposed Working Title: </w:t>
      </w:r>
      <w:r>
        <w:rPr>
          <w:rFonts w:ascii="Times New Roman" w:hAnsi="Times New Roman" w:eastAsia="Times New Roman"/>
          <w:b w:val="0"/>
          <w:i w:val="0"/>
          <w:sz w:val="24"/>
        </w:rPr>
        <w:t>Machine Learning-Based Project Cost Estimation and Overrun Risk Prediction for an Architecture and Construction Firm in Quezon City</w:t>
      </w:r>
    </w:p>
    <w:p>
      <w:pPr>
        <w:spacing w:after="60"/>
        <w:ind w:left="0"/>
        <w:jc w:val="both"/>
      </w:pPr>
      <w:r>
        <w:rPr>
          <w:rFonts w:ascii="Times New Roman" w:hAnsi="Times New Roman" w:eastAsia="Times New Roman"/>
          <w:b/>
          <w:i w:val="0"/>
          <w:sz w:val="24"/>
        </w:rPr>
        <w:t xml:space="preserve">Client Background: </w:t>
      </w:r>
      <w:r>
        <w:rPr>
          <w:rFonts w:ascii="Times New Roman" w:hAnsi="Times New Roman" w:eastAsia="Times New Roman"/>
          <w:b w:val="0"/>
          <w:i w:val="0"/>
          <w:sz w:val="24"/>
        </w:rPr>
        <w:t>Arkidom Development Corporation is listed as an architecture, urban planning and construction firm in Quezon City with 1 to 10 employees (RecruitDay). Public pages give two different Quezon City addresses (Victoria Towers and Varsity Hills, Loyola Heights). No projects, founding year or registration details were found, so these must be confirmed with the firm.</w:t>
      </w:r>
    </w:p>
    <w:p>
      <w:pPr>
        <w:spacing w:after="60"/>
        <w:ind w:left="0"/>
        <w:jc w:val="both"/>
      </w:pPr>
      <w:r>
        <w:rPr>
          <w:rFonts w:ascii="Times New Roman" w:hAnsi="Times New Roman" w:eastAsia="Times New Roman"/>
          <w:b/>
          <w:i w:val="0"/>
          <w:sz w:val="24"/>
        </w:rPr>
        <w:t xml:space="preserve">System Description: </w:t>
      </w:r>
      <w:r>
        <w:rPr>
          <w:rFonts w:ascii="Times New Roman" w:hAnsi="Times New Roman" w:eastAsia="Times New Roman"/>
          <w:b w:val="0"/>
          <w:i w:val="0"/>
          <w:sz w:val="24"/>
        </w:rPr>
        <w:t>A cost estimation tool trained on the firm's past project records (scope, floor area, building type, materials, bill of quantities lines, contract and final cost, schedule). It gives an early-stage cost estimate for a new project and flags projects likely to run over budget or schedule. Candidate methods are a linear regression baseline, random forest, gradient boosting and a small neural network, evaluated with cross-validation (MAPE, RMSE and R squared).</w:t>
      </w:r>
    </w:p>
    <w:p>
      <w:pPr>
        <w:spacing w:after="60"/>
        <w:ind w:left="0"/>
        <w:jc w:val="both"/>
      </w:pPr>
      <w:r>
        <w:rPr>
          <w:rFonts w:ascii="Times New Roman" w:hAnsi="Times New Roman" w:eastAsia="Times New Roman"/>
          <w:b/>
          <w:i w:val="0"/>
          <w:sz w:val="24"/>
        </w:rPr>
        <w:t xml:space="preserve">Data Check: </w:t>
      </w:r>
      <w:r>
        <w:rPr>
          <w:rFonts w:ascii="Times New Roman" w:hAnsi="Times New Roman" w:eastAsia="Times New Roman"/>
          <w:b w:val="0"/>
          <w:i w:val="0"/>
          <w:sz w:val="24"/>
        </w:rPr>
        <w:t>This is the main risk. A firm of this size probably has a small number of finished projects, and the published Philippine studies below used only 30 to 41 projects. The 5,000 row rule is realistic only if the rows are bill of quantities or cost line items across projects, not one row per project. Ask what the firm keeps and from which year.</w:t>
      </w:r>
    </w:p>
    <w:p>
      <w:pPr>
        <w:keepNext/>
        <w:spacing w:before="200" w:after="120"/>
        <w:jc w:val="left"/>
      </w:pPr>
      <w:r>
        <w:rPr>
          <w:rFonts w:ascii="Times New Roman" w:hAnsi="Times New Roman" w:eastAsia="Times New Roman"/>
          <w:b/>
          <w:i w:val="0"/>
          <w:sz w:val="24"/>
        </w:rPr>
        <w:t>Review of Related Literature (RRL)</w:t>
      </w:r>
    </w:p>
    <w:p>
      <w:pPr>
        <w:pStyle w:val="ListNumber"/>
        <w:keepNext/>
        <w:numPr>
          <w:ilvl w:val="0"/>
          <w:numId w:val="12"/>
        </w:numPr>
        <w:spacing w:after="60"/>
        <w:jc w:val="both"/>
      </w:pPr>
      <w:r>
        <w:rPr>
          <w:rFonts w:ascii="Times New Roman" w:hAnsi="Times New Roman" w:eastAsia="Times New Roman"/>
          <w:b/>
          <w:i w:val="0"/>
          <w:sz w:val="24"/>
        </w:rPr>
        <w:t xml:space="preserve">[Local Paper] </w:t>
      </w:r>
      <w:r>
        <w:rPr>
          <w:rFonts w:ascii="Times New Roman" w:hAnsi="Times New Roman" w:eastAsia="Times New Roman"/>
          <w:b w:val="0"/>
          <w:i w:val="0"/>
          <w:sz w:val="24"/>
        </w:rPr>
        <w:t>Layno, J., &amp; Famadico, J. (2024). Cost and time overrun of public infrastructure project in the Philippines: Inhibiting factors and mitigating measures. International Journal of Multidisciplinary: Applied Business and Education Research, 5(12), 5360-5370.</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Proposes a framework of the factors behind cost and time overruns in Philippine infrastructure projects and ways to reduce them.</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A local list of overrun drivers that can become features in the estimation model.</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https://doi.org/10.11594/ijmaber.05.12.30</w:t>
      </w:r>
    </w:p>
    <w:p>
      <w:pPr>
        <w:pStyle w:val="ListNumber"/>
        <w:keepNext/>
        <w:numPr>
          <w:ilvl w:val="0"/>
          <w:numId w:val="12"/>
        </w:numPr>
        <w:spacing w:after="60"/>
        <w:jc w:val="both"/>
      </w:pPr>
      <w:r>
        <w:rPr>
          <w:rFonts w:ascii="Times New Roman" w:hAnsi="Times New Roman" w:eastAsia="Times New Roman"/>
          <w:b/>
          <w:i w:val="0"/>
          <w:sz w:val="24"/>
        </w:rPr>
        <w:t xml:space="preserve">[Local Paper] </w:t>
      </w:r>
      <w:r>
        <w:rPr>
          <w:rFonts w:ascii="Times New Roman" w:hAnsi="Times New Roman" w:eastAsia="Times New Roman"/>
          <w:b w:val="0"/>
          <w:i w:val="0"/>
          <w:sz w:val="24"/>
        </w:rPr>
        <w:t>Sumail, N. A. G., Taclendo, C., Asturias, R., &amp; Pedroso, J. F. (2025). Delays and cost overruns in infrastructure projects in Cotabato City, BARMM: Causes, impacts, and mitigation strategies. International Journal for Multidisciplinary Research, 7(3).</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mixed-methods study of government and private projects. The top delay causes were material procurement delays, poor site supervision and unskilled labor, and cost overruns were tied to rising material costs, inflation and underestimated costs. The two sets of factors were strongly related (Pearson r = 0.818).</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Supports underestimated cost as a driver of overruns, which a better estimator addresses.</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https://www.ijfmr.com/research-paper.php?id=46966</w:t>
      </w:r>
    </w:p>
    <w:p>
      <w:pPr>
        <w:pStyle w:val="ListNumber"/>
        <w:keepNext/>
        <w:numPr>
          <w:ilvl w:val="0"/>
          <w:numId w:val="12"/>
        </w:numPr>
        <w:spacing w:after="60"/>
        <w:jc w:val="both"/>
      </w:pPr>
      <w:r>
        <w:rPr>
          <w:rFonts w:ascii="Times New Roman" w:hAnsi="Times New Roman" w:eastAsia="Times New Roman"/>
          <w:b/>
          <w:i w:val="0"/>
          <w:sz w:val="24"/>
        </w:rPr>
        <w:t xml:space="preserve">[Local Paper] </w:t>
      </w:r>
      <w:r>
        <w:rPr>
          <w:rFonts w:ascii="Times New Roman" w:hAnsi="Times New Roman" w:eastAsia="Times New Roman"/>
          <w:b w:val="0"/>
          <w:i w:val="0"/>
          <w:sz w:val="24"/>
        </w:rPr>
        <w:t>Begay, B. C. (2024). Analysis of construction delays in public sector projects at Apayao State College in the Philippines. Library Progress International, 44(3).</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survey ranking the causes of delay (slow material delivery, force majeure, shortages and agency decision delays) and their effects, which include time overruns, cost overruns and disputes.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Local evidence on schedule overruns, the second half of the overrun risk prediction.</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https://bpasjournals.com/library-science/index.php/journal/article/view/2868</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page shows DOI 10.48165/bapas.2024.44.2.1 but Crossref did not resolve it. Cite the journal page instead.</w:t>
      </w:r>
    </w:p>
    <w:p>
      <w:pPr>
        <w:pStyle w:val="ListNumber"/>
        <w:keepNext/>
        <w:numPr>
          <w:ilvl w:val="0"/>
          <w:numId w:val="12"/>
        </w:numPr>
        <w:spacing w:after="60"/>
        <w:jc w:val="both"/>
      </w:pPr>
      <w:r>
        <w:rPr>
          <w:rFonts w:ascii="Times New Roman" w:hAnsi="Times New Roman" w:eastAsia="Times New Roman"/>
          <w:b/>
          <w:i w:val="0"/>
          <w:sz w:val="24"/>
        </w:rPr>
        <w:t xml:space="preserve">[Local Paper] </w:t>
      </w:r>
      <w:r>
        <w:rPr>
          <w:rFonts w:ascii="Times New Roman" w:hAnsi="Times New Roman" w:eastAsia="Times New Roman"/>
          <w:b w:val="0"/>
          <w:i w:val="0"/>
          <w:sz w:val="24"/>
        </w:rPr>
        <w:t>Bascon, R. D. D., et al. (2023). Investigation on the factors influencing time and cost overrun in vertical construction in Pampanga. IRE Journals, 6(12), 730-752.</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survey of 69 valid contractor responses that rated 63 factors. The most significant included inflation, cost fluctuation, material delays, client inexperience and variation orders.</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A private sector building context, the closest to a design and build firm.</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https://www.irejournals.com/paper-details/1704711</w:t>
      </w:r>
    </w:p>
    <w:p>
      <w:pPr>
        <w:pStyle w:val="ListNumber"/>
        <w:keepNext/>
        <w:numPr>
          <w:ilvl w:val="0"/>
          <w:numId w:val="12"/>
        </w:numPr>
        <w:spacing w:after="60"/>
        <w:jc w:val="both"/>
      </w:pPr>
      <w:r>
        <w:rPr>
          <w:rFonts w:ascii="Times New Roman" w:hAnsi="Times New Roman" w:eastAsia="Times New Roman"/>
          <w:b/>
          <w:i w:val="0"/>
          <w:sz w:val="24"/>
        </w:rPr>
        <w:t xml:space="preserve">[Foreign Review] </w:t>
      </w:r>
      <w:r>
        <w:rPr>
          <w:rFonts w:ascii="Times New Roman" w:hAnsi="Times New Roman" w:eastAsia="Times New Roman"/>
          <w:b w:val="0"/>
          <w:i w:val="0"/>
          <w:sz w:val="24"/>
        </w:rPr>
        <w:t>Hashemi, S. T., Ebadati, O. M., &amp; Kaur, H. (2020). Cost estimation and prediction in construction projects: A systematic review on machine learning techniques. SN Applied Sciences, 2, 1703.</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Reviews three decades of work on cost estimation with machine learning and groups the models into statistical, analogical and analytical types. It notes that these models need an adequate dataset size.</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Justifies the method choice and the data size concern.</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https://doi.org/10.1007/s42452-020-03497-1</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Only a summary excerpt was read. Open the paper and rewrite this summary from it.</w:t>
      </w:r>
    </w:p>
    <w:p>
      <w:pPr>
        <w:keepNext/>
        <w:spacing w:before="200" w:after="120"/>
        <w:jc w:val="left"/>
      </w:pPr>
      <w:r>
        <w:rPr>
          <w:rFonts w:ascii="Times New Roman" w:hAnsi="Times New Roman" w:eastAsia="Times New Roman"/>
          <w:b/>
          <w:i w:val="0"/>
          <w:sz w:val="24"/>
        </w:rPr>
        <w:t>Review of Related Studies (RRS)</w:t>
      </w:r>
    </w:p>
    <w:p>
      <w:pPr>
        <w:pStyle w:val="ListNumber"/>
        <w:keepNext/>
        <w:numPr>
          <w:ilvl w:val="0"/>
          <w:numId w:val="13"/>
        </w:numPr>
        <w:spacing w:after="60"/>
        <w:jc w:val="both"/>
      </w:pPr>
      <w:r>
        <w:rPr>
          <w:rFonts w:ascii="Times New Roman" w:hAnsi="Times New Roman" w:eastAsia="Times New Roman"/>
          <w:b/>
          <w:i w:val="0"/>
          <w:sz w:val="24"/>
        </w:rPr>
        <w:t xml:space="preserve">[Local Study] </w:t>
      </w:r>
      <w:r>
        <w:rPr>
          <w:rFonts w:ascii="Times New Roman" w:hAnsi="Times New Roman" w:eastAsia="Times New Roman"/>
          <w:b w:val="0"/>
          <w:i w:val="0"/>
          <w:sz w:val="24"/>
        </w:rPr>
        <w:t>Roxas, C. L. C., Roxas, N. R., Cristobal, J. B., Hao, S. E. M., Rabino, R. M. G., &amp; Revalde, F. M. (2019). Modeling road construction project cost in the Philippines using the artificial neural network approach. 2019 IEEE 11th International Conference on Humanoid, Nanotechnology, Information Technology, Communication and Control, Environment, and Management (HNICEM).</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Builds an artificial neural network on 41 road projects. Fifteen candidate variables were reduced to seven, and the best network (7 inputs, 12 hidden neurons, 1 output) reached correlation of about 0.97 in training, 0.95 in validation and 0.99 in testing.</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A Philippine precedent for machine learning cost estimation, and a reminder that the sample sizes are small.</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https://doi.org/10.1109/HNICEM48295.2019.9072820</w:t>
      </w:r>
    </w:p>
    <w:p>
      <w:pPr>
        <w:pStyle w:val="ListNumber"/>
        <w:keepNext/>
        <w:numPr>
          <w:ilvl w:val="0"/>
          <w:numId w:val="13"/>
        </w:numPr>
        <w:spacing w:after="60"/>
        <w:jc w:val="both"/>
      </w:pPr>
      <w:r>
        <w:rPr>
          <w:rFonts w:ascii="Times New Roman" w:hAnsi="Times New Roman" w:eastAsia="Times New Roman"/>
          <w:b/>
          <w:i w:val="0"/>
          <w:sz w:val="24"/>
        </w:rPr>
        <w:t xml:space="preserve">[Local Study] </w:t>
      </w:r>
      <w:r>
        <w:rPr>
          <w:rFonts w:ascii="Times New Roman" w:hAnsi="Times New Roman" w:eastAsia="Times New Roman"/>
          <w:b w:val="0"/>
          <w:i w:val="0"/>
          <w:sz w:val="24"/>
        </w:rPr>
        <w:t>Manalindo, A., Silva, D., Diona, R., &amp; de Jesus, K. (2024). Artificial neural network prediction of total construction cost using building elements for low- to mid-rise buildings. Lecture Notes in Civil Engineering, 441-452.</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Uses an artificial neural network to predict total construction cost from building elements, motivated by cost overruns and delays in the Philippine construction sector.</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Building type projects, the closest to the work of an architecture firm.</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https://doi.org/10.1007/978-981-97-5910-1_34</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summary comes from a search snippet. Open the chapter and rewrite it from the abstract.</w:t>
      </w:r>
    </w:p>
    <w:p>
      <w:pPr>
        <w:pStyle w:val="ListNumber"/>
        <w:keepNext/>
        <w:numPr>
          <w:ilvl w:val="0"/>
          <w:numId w:val="13"/>
        </w:numPr>
        <w:spacing w:after="60"/>
        <w:jc w:val="both"/>
      </w:pPr>
      <w:r>
        <w:rPr>
          <w:rFonts w:ascii="Times New Roman" w:hAnsi="Times New Roman" w:eastAsia="Times New Roman"/>
          <w:b/>
          <w:i w:val="0"/>
          <w:sz w:val="24"/>
        </w:rPr>
        <w:t xml:space="preserve">[Foreign Review] </w:t>
      </w:r>
      <w:r>
        <w:rPr>
          <w:rFonts w:ascii="Times New Roman" w:hAnsi="Times New Roman" w:eastAsia="Times New Roman"/>
          <w:b w:val="0"/>
          <w:i w:val="0"/>
          <w:sz w:val="24"/>
        </w:rPr>
        <w:t>Sadikoglu, E., &amp; Demirkesen, S. (2025). Review of machine learning and artificial intelligence use for cost estimation in construction projects. Computing in Construction, 6.</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PRISMA review of 75 publications covering data collection, project characteristics and predictive models for construction cost estimation.</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A current map of the methods and data practices in this field.</w:t>
      </w:r>
    </w:p>
    <w:p>
      <w:pPr>
        <w:spacing w:after="20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https://doi.org/10.35490/ec3.2025.363</w:t>
      </w:r>
    </w:p>
    <w:p>
      <w:pPr>
        <w:pStyle w:val="ListNumber"/>
        <w:keepNext/>
        <w:numPr>
          <w:ilvl w:val="0"/>
          <w:numId w:val="13"/>
        </w:numPr>
        <w:spacing w:after="60"/>
        <w:jc w:val="both"/>
      </w:pPr>
      <w:r>
        <w:rPr>
          <w:rFonts w:ascii="Times New Roman" w:hAnsi="Times New Roman" w:eastAsia="Times New Roman"/>
          <w:b/>
          <w:i w:val="0"/>
          <w:sz w:val="24"/>
        </w:rPr>
        <w:t xml:space="preserve">[Foreign Review] </w:t>
      </w:r>
      <w:r>
        <w:rPr>
          <w:rFonts w:ascii="Times New Roman" w:hAnsi="Times New Roman" w:eastAsia="Times New Roman"/>
          <w:b w:val="0"/>
          <w:i w:val="0"/>
          <w:sz w:val="24"/>
        </w:rPr>
        <w:t>Abed, Y. G., Hasan, T. M., &amp; Zehawi, R. N. (2022). Machine learning algorithms for constructions cost prediction: A systematic review. International Journal of Nonlinear Analysis and Applications, 13(2), 2205-2218.</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A Scopus-based review of machine learning and deep learning for construction cost estimation, showing a notable rise in publications from 2017 to 2021 and the evaluation metrics used.</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Helps compare methods and choose evaluation metrics.</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https://ijnaa.semnan.ac.ir/article_6693.html</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DOI printed on the page (10.22075/ijnaa.2022.27673.3684) was not found on Crossref. Cite the journal page.</w:t>
      </w:r>
    </w:p>
    <w:p>
      <w:pPr>
        <w:pStyle w:val="ListNumber"/>
        <w:keepNext/>
        <w:numPr>
          <w:ilvl w:val="0"/>
          <w:numId w:val="13"/>
        </w:numPr>
        <w:spacing w:after="60"/>
        <w:jc w:val="both"/>
      </w:pPr>
      <w:r>
        <w:rPr>
          <w:rFonts w:ascii="Times New Roman" w:hAnsi="Times New Roman" w:eastAsia="Times New Roman"/>
          <w:b/>
          <w:i w:val="0"/>
          <w:sz w:val="24"/>
        </w:rPr>
        <w:t xml:space="preserve">[Foreign Study] </w:t>
      </w:r>
      <w:r>
        <w:rPr>
          <w:rFonts w:ascii="Times New Roman" w:hAnsi="Times New Roman" w:eastAsia="Times New Roman"/>
          <w:b w:val="0"/>
          <w:i w:val="0"/>
          <w:sz w:val="24"/>
        </w:rPr>
        <w:t>Abed, Y. G., Hasan, T. M., &amp; Zehawi, R. N. (2022). Cost prediction for roads construction using machine learning models. International Journal of Electrical and Computer Engineering Systems, 13(10), 927-936.</w:t>
      </w:r>
    </w:p>
    <w:p>
      <w:pPr>
        <w:spacing w:after="60"/>
        <w:ind w:left="720"/>
        <w:jc w:val="both"/>
      </w:pPr>
      <w:r>
        <w:rPr>
          <w:rFonts w:ascii="Times New Roman" w:hAnsi="Times New Roman" w:eastAsia="Times New Roman"/>
          <w:b/>
          <w:i w:val="0"/>
          <w:sz w:val="24"/>
        </w:rPr>
        <w:t xml:space="preserve">Summary: </w:t>
      </w:r>
      <w:r>
        <w:rPr>
          <w:rFonts w:ascii="Times New Roman" w:hAnsi="Times New Roman" w:eastAsia="Times New Roman"/>
          <w:b w:val="0"/>
          <w:i w:val="0"/>
          <w:sz w:val="24"/>
        </w:rPr>
        <w:t>Compares ridge, LASSO, k-nearest neighbors and random forest on real rural road records from Diyala, Iraq (2012 to 2021) to estimate cost early in a project.</w:t>
      </w:r>
    </w:p>
    <w:p>
      <w:pPr>
        <w:spacing w:after="60"/>
        <w:ind w:left="720"/>
        <w:jc w:val="both"/>
      </w:pPr>
      <w:r>
        <w:rPr>
          <w:rFonts w:ascii="Times New Roman" w:hAnsi="Times New Roman" w:eastAsia="Times New Roman"/>
          <w:b/>
          <w:i w:val="0"/>
          <w:sz w:val="24"/>
        </w:rPr>
        <w:t xml:space="preserve">Relevance: </w:t>
      </w:r>
      <w:r>
        <w:rPr>
          <w:rFonts w:ascii="Times New Roman" w:hAnsi="Times New Roman" w:eastAsia="Times New Roman"/>
          <w:b w:val="0"/>
          <w:i w:val="0"/>
          <w:sz w:val="24"/>
        </w:rPr>
        <w:t>Shows how small tabular cost data can be modeled and compared.</w:t>
      </w:r>
    </w:p>
    <w:p>
      <w:pPr>
        <w:spacing w:after="60"/>
        <w:ind w:left="720"/>
        <w:jc w:val="both"/>
      </w:pPr>
      <w:r>
        <w:rPr>
          <w:rFonts w:ascii="Times New Roman" w:hAnsi="Times New Roman" w:eastAsia="Times New Roman"/>
          <w:b/>
          <w:i w:val="0"/>
          <w:sz w:val="24"/>
        </w:rPr>
        <w:t xml:space="preserve">Link: </w:t>
      </w:r>
      <w:r>
        <w:rPr>
          <w:rFonts w:ascii="Times New Roman" w:hAnsi="Times New Roman" w:eastAsia="Times New Roman"/>
          <w:b w:val="0"/>
          <w:i w:val="0"/>
          <w:sz w:val="24"/>
        </w:rPr>
        <w:t>https://doi.org/10.32985/ijeces.13.10.8</w:t>
      </w:r>
    </w:p>
    <w:p>
      <w:pPr>
        <w:spacing w:after="200"/>
        <w:ind w:left="720"/>
        <w:jc w:val="both"/>
      </w:pPr>
      <w:r>
        <w:rPr>
          <w:rFonts w:ascii="Times New Roman" w:hAnsi="Times New Roman" w:eastAsia="Times New Roman"/>
          <w:b/>
          <w:i/>
          <w:sz w:val="24"/>
        </w:rPr>
        <w:t xml:space="preserve">Check before citing: </w:t>
      </w:r>
      <w:r>
        <w:rPr>
          <w:rFonts w:ascii="Times New Roman" w:hAnsi="Times New Roman" w:eastAsia="Times New Roman"/>
          <w:b w:val="0"/>
          <w:i/>
          <w:sz w:val="24"/>
        </w:rPr>
        <w:t>The reported R squared of 1.0 and zero error look implausible. Cite the design, not the headline accuracy.</w:t>
      </w:r>
    </w:p>
    <w:p>
      <w:pPr>
        <w:keepNext/>
        <w:spacing w:before="200" w:after="120"/>
        <w:jc w:val="left"/>
      </w:pPr>
      <w:r>
        <w:rPr>
          <w:rFonts w:ascii="Times New Roman" w:hAnsi="Times New Roman" w:eastAsia="Times New Roman"/>
          <w:b/>
          <w:i w:val="0"/>
          <w:sz w:val="24"/>
        </w:rPr>
        <w:t>Research Gap (Draft)</w:t>
      </w:r>
    </w:p>
    <w:p>
      <w:pPr>
        <w:keepNext w:val="0"/>
        <w:spacing w:after="120"/>
        <w:ind w:left="0"/>
        <w:jc w:val="both"/>
      </w:pPr>
      <w:r>
        <w:rPr>
          <w:rFonts w:ascii="Times New Roman" w:hAnsi="Times New Roman" w:eastAsia="Times New Roman"/>
          <w:b w:val="0"/>
          <w:i w:val="0"/>
          <w:sz w:val="24"/>
        </w:rPr>
        <w:t>The Philippine cost estimation studies found use only 30 to 41 public road or building projects, and none looks at a small private architecture and construction firm's own records. The Philippine overrun studies found are surveys of perceived causes, not predictive models. This means "not found by these searches", not "does not exist". The group should sharpen this sentence before using it.</w:t>
      </w:r>
    </w:p>
    <w:p>
      <w:pPr>
        <w:keepNext/>
        <w:pageBreakBefore/>
        <w:spacing w:before="200" w:after="120"/>
        <w:jc w:val="left"/>
      </w:pPr>
      <w:r>
        <w:rPr>
          <w:rFonts w:ascii="Times New Roman" w:hAnsi="Times New Roman" w:eastAsia="Times New Roman"/>
          <w:b/>
          <w:i w:val="0"/>
          <w:sz w:val="24"/>
        </w:rPr>
        <w:t>Questions to Ask Each Client Before Saturday</w:t>
      </w:r>
    </w:p>
    <w:p>
      <w:pPr>
        <w:keepNext/>
        <w:spacing w:after="60"/>
        <w:ind w:left="0"/>
      </w:pPr>
      <w:r>
        <w:rPr>
          <w:rFonts w:ascii="Times New Roman" w:hAnsi="Times New Roman" w:eastAsia="Times New Roman"/>
          <w:b/>
          <w:i w:val="0"/>
          <w:sz w:val="24"/>
        </w:rPr>
        <w:t>Aquaplus</w:t>
      </w:r>
    </w:p>
    <w:p>
      <w:pPr>
        <w:pStyle w:val="ListNumber"/>
        <w:keepNext w:val="0"/>
        <w:numPr>
          <w:ilvl w:val="0"/>
          <w:numId w:val="14"/>
        </w:numPr>
        <w:spacing w:after="80"/>
        <w:jc w:val="both"/>
      </w:pPr>
      <w:r>
        <w:rPr>
          <w:rFonts w:ascii="Times New Roman" w:hAnsi="Times New Roman" w:eastAsia="Times New Roman"/>
          <w:b w:val="0"/>
          <w:i w:val="0"/>
          <w:sz w:val="24"/>
        </w:rPr>
        <w:t>Do you record each sale or delivery (on paper, in an app or in a point-of-sale system), and since which year?</w:t>
      </w:r>
    </w:p>
    <w:p>
      <w:pPr>
        <w:pStyle w:val="ListNumber"/>
        <w:keepNext w:val="0"/>
        <w:numPr>
          <w:ilvl w:val="0"/>
          <w:numId w:val="14"/>
        </w:numPr>
        <w:spacing w:after="80"/>
        <w:jc w:val="both"/>
      </w:pPr>
      <w:r>
        <w:rPr>
          <w:rFonts w:ascii="Times New Roman" w:hAnsi="Times New Roman" w:eastAsia="Times New Roman"/>
          <w:b w:val="0"/>
          <w:i w:val="0"/>
          <w:sz w:val="24"/>
        </w:rPr>
        <w:t>Roughly how many transactions do you have per year?</w:t>
      </w:r>
    </w:p>
    <w:p>
      <w:pPr>
        <w:pStyle w:val="ListNumber"/>
        <w:keepNext w:val="0"/>
        <w:numPr>
          <w:ilvl w:val="0"/>
          <w:numId w:val="14"/>
        </w:numPr>
        <w:spacing w:after="80"/>
        <w:jc w:val="both"/>
      </w:pPr>
      <w:r>
        <w:rPr>
          <w:rFonts w:ascii="Times New Roman" w:hAnsi="Times New Roman" w:eastAsia="Times New Roman"/>
          <w:b w:val="0"/>
          <w:i w:val="0"/>
          <w:sz w:val="24"/>
        </w:rPr>
        <w:t>Do you record customers by name or address, and are you open to anonymizing them?</w:t>
      </w:r>
    </w:p>
    <w:p>
      <w:pPr>
        <w:pStyle w:val="ListNumber"/>
        <w:keepNext w:val="0"/>
        <w:numPr>
          <w:ilvl w:val="0"/>
          <w:numId w:val="14"/>
        </w:numPr>
        <w:spacing w:after="80"/>
        <w:jc w:val="both"/>
      </w:pPr>
      <w:r>
        <w:rPr>
          <w:rFonts w:ascii="Times New Roman" w:hAnsi="Times New Roman" w:eastAsia="Times New Roman"/>
          <w:b w:val="0"/>
          <w:i w:val="0"/>
          <w:sz w:val="24"/>
        </w:rPr>
        <w:t>Would a demand forecast and a list of customers who stopped ordering be useful to you?</w:t>
      </w:r>
    </w:p>
    <w:p>
      <w:pPr>
        <w:keepNext/>
        <w:spacing w:after="60"/>
        <w:ind w:left="0"/>
      </w:pPr>
      <w:r>
        <w:rPr>
          <w:rFonts w:ascii="Times New Roman" w:hAnsi="Times New Roman" w:eastAsia="Times New Roman"/>
          <w:b/>
          <w:i w:val="0"/>
          <w:sz w:val="24"/>
        </w:rPr>
        <w:t>Arkidom</w:t>
      </w:r>
    </w:p>
    <w:p>
      <w:pPr>
        <w:pStyle w:val="ListNumber"/>
        <w:keepNext w:val="0"/>
        <w:numPr>
          <w:ilvl w:val="0"/>
          <w:numId w:val="15"/>
        </w:numPr>
        <w:spacing w:after="80"/>
        <w:jc w:val="both"/>
      </w:pPr>
      <w:r>
        <w:rPr>
          <w:rFonts w:ascii="Times New Roman" w:hAnsi="Times New Roman" w:eastAsia="Times New Roman"/>
          <w:b w:val="0"/>
          <w:i w:val="0"/>
          <w:sz w:val="24"/>
        </w:rPr>
        <w:t>How many projects have you completed since 2021?</w:t>
      </w:r>
    </w:p>
    <w:p>
      <w:pPr>
        <w:pStyle w:val="ListNumber"/>
        <w:keepNext w:val="0"/>
        <w:numPr>
          <w:ilvl w:val="0"/>
          <w:numId w:val="15"/>
        </w:numPr>
        <w:spacing w:after="80"/>
        <w:jc w:val="both"/>
      </w:pPr>
      <w:r>
        <w:rPr>
          <w:rFonts w:ascii="Times New Roman" w:hAnsi="Times New Roman" w:eastAsia="Times New Roman"/>
          <w:b w:val="0"/>
          <w:i w:val="0"/>
          <w:sz w:val="24"/>
        </w:rPr>
        <w:t>Do you keep bill of quantities line items, contract versus final cost and schedule dates in spreadsheets?</w:t>
      </w:r>
    </w:p>
    <w:p>
      <w:pPr>
        <w:pStyle w:val="ListNumber"/>
        <w:keepNext w:val="0"/>
        <w:numPr>
          <w:ilvl w:val="0"/>
          <w:numId w:val="15"/>
        </w:numPr>
        <w:spacing w:after="80"/>
        <w:jc w:val="both"/>
      </w:pPr>
      <w:r>
        <w:rPr>
          <w:rFonts w:ascii="Times New Roman" w:hAnsi="Times New Roman" w:eastAsia="Times New Roman"/>
          <w:b w:val="0"/>
          <w:i w:val="0"/>
          <w:sz w:val="24"/>
        </w:rPr>
        <w:t>Who approves sharing data, and is anonymized project data acceptable?</w:t>
      </w:r>
    </w:p>
    <w:p>
      <w:pPr>
        <w:keepNext/>
        <w:spacing w:before="200" w:after="120"/>
        <w:jc w:val="left"/>
      </w:pPr>
      <w:r>
        <w:rPr>
          <w:rFonts w:ascii="Times New Roman" w:hAnsi="Times New Roman" w:eastAsia="Times New Roman"/>
          <w:b/>
          <w:i w:val="0"/>
          <w:sz w:val="24"/>
        </w:rPr>
        <w:t>Open Items for the Group</w:t>
      </w:r>
    </w:p>
    <w:p>
      <w:pPr>
        <w:pStyle w:val="ListNumber"/>
        <w:keepNext w:val="0"/>
        <w:numPr>
          <w:ilvl w:val="0"/>
          <w:numId w:val="16"/>
        </w:numPr>
        <w:spacing w:after="80"/>
        <w:jc w:val="both"/>
      </w:pPr>
      <w:r>
        <w:rPr>
          <w:rFonts w:ascii="Times New Roman" w:hAnsi="Times New Roman" w:eastAsia="Times New Roman"/>
          <w:b w:val="0"/>
          <w:i w:val="0"/>
          <w:sz w:val="24"/>
        </w:rPr>
        <w:t>Confirm that both businesses exist as described and which branch or office is the contact.</w:t>
      </w:r>
    </w:p>
    <w:p>
      <w:pPr>
        <w:pStyle w:val="ListNumber"/>
        <w:keepNext w:val="0"/>
        <w:numPr>
          <w:ilvl w:val="0"/>
          <w:numId w:val="16"/>
        </w:numPr>
        <w:spacing w:after="80"/>
        <w:jc w:val="both"/>
      </w:pPr>
      <w:r>
        <w:rPr>
          <w:rFonts w:ascii="Times New Roman" w:hAnsi="Times New Roman" w:eastAsia="Times New Roman"/>
          <w:b w:val="0"/>
          <w:i w:val="0"/>
          <w:sz w:val="24"/>
        </w:rPr>
        <w:t>Read the sources marked "Check before citing", reword every summary and log the AI help in the AI Interaction Log.</w:t>
      </w:r>
    </w:p>
    <w:p>
      <w:pPr>
        <w:pStyle w:val="ListNumber"/>
        <w:keepNext w:val="0"/>
        <w:numPr>
          <w:ilvl w:val="0"/>
          <w:numId w:val="16"/>
        </w:numPr>
        <w:spacing w:after="80"/>
        <w:jc w:val="both"/>
      </w:pPr>
      <w:r>
        <w:rPr>
          <w:rFonts w:ascii="Times New Roman" w:hAnsi="Times New Roman" w:eastAsia="Times New Roman"/>
          <w:b w:val="0"/>
          <w:i w:val="0"/>
          <w:sz w:val="24"/>
        </w:rPr>
        <w:t>Decide whether five related literature and five related studies per title is enough, or whether the brief's 20 sources per title (five each of local and foreign literature and studies) applies.</w:t>
      </w:r>
    </w:p>
    <w:p>
      <w:pPr>
        <w:pStyle w:val="ListNumber"/>
        <w:keepNext w:val="0"/>
        <w:numPr>
          <w:ilvl w:val="0"/>
          <w:numId w:val="16"/>
        </w:numPr>
        <w:spacing w:after="80"/>
        <w:jc w:val="both"/>
      </w:pPr>
      <w:r>
        <w:rPr>
          <w:rFonts w:ascii="Times New Roman" w:hAnsi="Times New Roman" w:eastAsia="Times New Roman"/>
          <w:b w:val="0"/>
          <w:i w:val="0"/>
          <w:sz w:val="24"/>
        </w:rPr>
        <w:t>Check each client's data against the adviser's rules before the title defense: private client, 2021 or later, at least 5,000 rows.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