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C4FEC" w14:textId="5254243F" w:rsidR="004E6863" w:rsidRPr="00DB363E" w:rsidRDefault="00A877A1" w:rsidP="002E43E8">
      <w:pPr>
        <w:jc w:val="center"/>
        <w:rPr>
          <w:rFonts w:asciiTheme="minorHAnsi" w:hAnsiTheme="minorHAnsi" w:cs="Arial"/>
          <w:b/>
          <w:color w:val="006600"/>
          <w:sz w:val="32"/>
        </w:rPr>
      </w:pPr>
      <w:r>
        <w:rPr>
          <w:rFonts w:asciiTheme="minorHAnsi" w:hAnsiTheme="minorHAnsi" w:cs="Arial"/>
          <w:b/>
          <w:color w:val="006600"/>
          <w:sz w:val="32"/>
        </w:rPr>
        <w:t>THESIS</w:t>
      </w:r>
      <w:r w:rsidR="00DB363E" w:rsidRPr="00DB363E">
        <w:rPr>
          <w:rFonts w:asciiTheme="minorHAnsi" w:hAnsiTheme="minorHAnsi" w:cs="Arial"/>
          <w:b/>
          <w:color w:val="006600"/>
          <w:sz w:val="32"/>
        </w:rPr>
        <w:t xml:space="preserve"> PROJECT</w:t>
      </w:r>
    </w:p>
    <w:p w14:paraId="26B92E45" w14:textId="1F006160" w:rsidR="00DB363E" w:rsidRDefault="00DB363E" w:rsidP="002E43E8">
      <w:pPr>
        <w:jc w:val="center"/>
        <w:rPr>
          <w:rFonts w:asciiTheme="minorHAnsi" w:hAnsiTheme="minorHAnsi" w:cs="Arial"/>
          <w:b/>
          <w:color w:val="006600"/>
          <w:sz w:val="32"/>
        </w:rPr>
      </w:pPr>
      <w:r w:rsidRPr="00DB363E">
        <w:rPr>
          <w:rFonts w:asciiTheme="minorHAnsi" w:hAnsiTheme="minorHAnsi" w:cs="Arial"/>
          <w:b/>
          <w:color w:val="006600"/>
          <w:sz w:val="32"/>
        </w:rPr>
        <w:t>TITLE PROPOSAL</w:t>
      </w:r>
    </w:p>
    <w:p w14:paraId="6CA46375" w14:textId="75DB17E1" w:rsidR="002647B1" w:rsidRPr="00562E9C" w:rsidRDefault="002647B1" w:rsidP="002E43E8">
      <w:pPr>
        <w:jc w:val="center"/>
        <w:rPr>
          <w:rFonts w:asciiTheme="minorHAnsi" w:hAnsiTheme="minorHAnsi" w:cs="Arial"/>
          <w:b/>
          <w:color w:val="006600"/>
        </w:rPr>
      </w:pPr>
      <w:r w:rsidRPr="00562E9C">
        <w:rPr>
          <w:rFonts w:asciiTheme="minorHAnsi" w:hAnsiTheme="minorHAnsi" w:cs="Arial"/>
          <w:b/>
          <w:color w:val="006600"/>
          <w:sz w:val="28"/>
        </w:rPr>
        <w:t>(</w:t>
      </w:r>
      <w:r w:rsidR="00A877A1">
        <w:rPr>
          <w:rFonts w:asciiTheme="minorHAnsi" w:hAnsiTheme="minorHAnsi" w:cs="Arial"/>
          <w:b/>
          <w:color w:val="006600"/>
          <w:sz w:val="28"/>
        </w:rPr>
        <w:t>CS0025</w:t>
      </w:r>
      <w:r w:rsidR="00625330">
        <w:rPr>
          <w:rFonts w:asciiTheme="minorHAnsi" w:hAnsiTheme="minorHAnsi" w:cs="Arial"/>
          <w:b/>
          <w:color w:val="006600"/>
          <w:sz w:val="28"/>
        </w:rPr>
        <w:t xml:space="preserve"> </w:t>
      </w:r>
      <w:r w:rsidR="00A877A1">
        <w:rPr>
          <w:rFonts w:asciiTheme="minorHAnsi" w:hAnsiTheme="minorHAnsi" w:cs="Arial"/>
          <w:b/>
          <w:color w:val="006600"/>
          <w:sz w:val="28"/>
        </w:rPr>
        <w:t>–</w:t>
      </w:r>
      <w:r w:rsidR="00625330">
        <w:rPr>
          <w:rFonts w:asciiTheme="minorHAnsi" w:hAnsiTheme="minorHAnsi" w:cs="Arial"/>
          <w:b/>
          <w:color w:val="006600"/>
          <w:sz w:val="28"/>
        </w:rPr>
        <w:t xml:space="preserve"> </w:t>
      </w:r>
      <w:r w:rsidR="00A877A1">
        <w:rPr>
          <w:rFonts w:asciiTheme="minorHAnsi" w:hAnsiTheme="minorHAnsi" w:cs="Arial"/>
          <w:b/>
          <w:color w:val="006600"/>
          <w:sz w:val="28"/>
        </w:rPr>
        <w:t>Software Engineering 1</w:t>
      </w:r>
      <w:r w:rsidRPr="00562E9C">
        <w:rPr>
          <w:rFonts w:asciiTheme="minorHAnsi" w:hAnsiTheme="minorHAnsi" w:cs="Arial"/>
          <w:b/>
          <w:color w:val="006600"/>
          <w:sz w:val="28"/>
        </w:rPr>
        <w:t>)</w:t>
      </w:r>
    </w:p>
    <w:p w14:paraId="56762017" w14:textId="77777777" w:rsidR="00FF49C9" w:rsidRPr="00FF49C9" w:rsidRDefault="00FF49C9" w:rsidP="002E43E8">
      <w:pPr>
        <w:jc w:val="center"/>
        <w:rPr>
          <w:rFonts w:asciiTheme="minorHAnsi" w:hAnsiTheme="minorHAnsi" w:cs="Arial"/>
          <w:b/>
          <w:color w:val="006600"/>
        </w:rPr>
      </w:pPr>
    </w:p>
    <w:p w14:paraId="77E5F473" w14:textId="77777777" w:rsidR="004E6863" w:rsidRPr="001A4029" w:rsidRDefault="004E5CE3" w:rsidP="0047147E">
      <w:pPr>
        <w:ind w:left="360"/>
        <w:jc w:val="both"/>
        <w:rPr>
          <w:rFonts w:asciiTheme="minorHAnsi" w:hAnsiTheme="minorHAnsi" w:cs="Arial"/>
          <w:sz w:val="16"/>
          <w:szCs w:val="16"/>
        </w:rPr>
      </w:pPr>
      <w:r w:rsidRPr="001A4029">
        <w:rPr>
          <w:rFonts w:asciiTheme="minorHAnsi" w:hAnsiTheme="minorHAnsi" w:cs="Arial"/>
          <w:sz w:val="16"/>
          <w:szCs w:val="16"/>
        </w:rPr>
        <w:t xml:space="preserve">  </w:t>
      </w:r>
      <w:r w:rsidR="004E6863" w:rsidRPr="001A4029">
        <w:rPr>
          <w:rFonts w:asciiTheme="minorHAnsi" w:hAnsiTheme="minorHAnsi" w:cs="Arial"/>
          <w:sz w:val="16"/>
          <w:szCs w:val="16"/>
        </w:rPr>
        <w:t xml:space="preserve"> </w:t>
      </w:r>
    </w:p>
    <w:tbl>
      <w:tblPr>
        <w:tblW w:w="0" w:type="auto"/>
        <w:tblBorders>
          <w:top w:val="single" w:sz="4" w:space="0" w:color="006600"/>
          <w:left w:val="single" w:sz="4" w:space="0" w:color="006600"/>
          <w:bottom w:val="single" w:sz="4" w:space="0" w:color="006600"/>
          <w:right w:val="single" w:sz="4" w:space="0" w:color="006600"/>
          <w:insideH w:val="single" w:sz="4" w:space="0" w:color="006600"/>
          <w:insideV w:val="single" w:sz="4" w:space="0" w:color="006600"/>
        </w:tblBorders>
        <w:tblLook w:val="01E0" w:firstRow="1" w:lastRow="1" w:firstColumn="1" w:lastColumn="1" w:noHBand="0" w:noVBand="0"/>
      </w:tblPr>
      <w:tblGrid>
        <w:gridCol w:w="3443"/>
        <w:gridCol w:w="4310"/>
        <w:gridCol w:w="2173"/>
      </w:tblGrid>
      <w:tr w:rsidR="001A4029" w:rsidRPr="001A4029" w14:paraId="67C884AF" w14:textId="77777777" w:rsidTr="00DB363E">
        <w:trPr>
          <w:trHeight w:val="288"/>
        </w:trPr>
        <w:tc>
          <w:tcPr>
            <w:tcW w:w="9926" w:type="dxa"/>
            <w:gridSpan w:val="3"/>
            <w:shd w:val="clear" w:color="auto" w:fill="006600"/>
            <w:vAlign w:val="center"/>
          </w:tcPr>
          <w:p w14:paraId="4BDFE7B2" w14:textId="438546B4" w:rsidR="001A4029" w:rsidRPr="001A4029" w:rsidRDefault="001A4029" w:rsidP="004D7D45">
            <w:pPr>
              <w:rPr>
                <w:rFonts w:asciiTheme="minorHAnsi" w:hAnsiTheme="minorHAnsi" w:cs="Arial"/>
                <w:b/>
                <w:sz w:val="16"/>
                <w:szCs w:val="16"/>
              </w:rPr>
            </w:pPr>
          </w:p>
        </w:tc>
      </w:tr>
      <w:tr w:rsidR="00016DDA" w:rsidRPr="001A4029" w14:paraId="03641563" w14:textId="77777777" w:rsidTr="00DB363E">
        <w:trPr>
          <w:trHeight w:val="728"/>
        </w:trPr>
        <w:tc>
          <w:tcPr>
            <w:tcW w:w="3443" w:type="dxa"/>
            <w:vAlign w:val="center"/>
          </w:tcPr>
          <w:p w14:paraId="1297126E" w14:textId="77777777" w:rsidR="00016DDA" w:rsidRDefault="00016DDA" w:rsidP="004E2C05">
            <w:pPr>
              <w:rPr>
                <w:rFonts w:asciiTheme="minorHAnsi" w:hAnsiTheme="minorHAnsi" w:cs="Arial"/>
                <w:color w:val="000000" w:themeColor="text1"/>
                <w:sz w:val="20"/>
                <w:szCs w:val="16"/>
              </w:rPr>
            </w:pPr>
            <w:r w:rsidRPr="00DB363E">
              <w:rPr>
                <w:rFonts w:asciiTheme="minorHAnsi" w:hAnsiTheme="minorHAnsi" w:cs="Arial"/>
                <w:color w:val="000000" w:themeColor="text1"/>
                <w:sz w:val="20"/>
                <w:szCs w:val="16"/>
              </w:rPr>
              <w:t>Group Name:</w:t>
            </w:r>
          </w:p>
          <w:p w14:paraId="7E5E97A5" w14:textId="77777777" w:rsidR="003C6D2F" w:rsidRDefault="003C6D2F" w:rsidP="004E2C05">
            <w:pPr>
              <w:rPr>
                <w:rFonts w:asciiTheme="minorHAnsi" w:hAnsiTheme="minorHAnsi" w:cs="Arial"/>
                <w:color w:val="000000" w:themeColor="text1"/>
                <w:sz w:val="20"/>
                <w:szCs w:val="16"/>
              </w:rPr>
            </w:pPr>
            <w:r>
              <w:t>Statisfied</w:t>
            </w:r>
          </w:p>
          <w:p w14:paraId="47CC4211" w14:textId="77777777" w:rsidR="003C6D2F" w:rsidRPr="00DB363E" w:rsidRDefault="003C6D2F" w:rsidP="004E2C05">
            <w:pPr>
              <w:rPr>
                <w:rFonts w:asciiTheme="minorHAnsi" w:hAnsiTheme="minorHAnsi" w:cs="Arial"/>
                <w:color w:val="000000" w:themeColor="text1"/>
                <w:sz w:val="20"/>
                <w:szCs w:val="16"/>
              </w:rPr>
            </w:pPr>
          </w:p>
          <w:p w14:paraId="48AACC2B" w14:textId="0CBA036D" w:rsidR="00016DDA" w:rsidRPr="00C36B20" w:rsidRDefault="00016DDA" w:rsidP="004E2C05">
            <w:pPr>
              <w:rPr>
                <w:rFonts w:asciiTheme="minorHAnsi" w:hAnsiTheme="minorHAnsi" w:cs="Arial"/>
                <w:sz w:val="10"/>
                <w:szCs w:val="10"/>
              </w:rPr>
            </w:pPr>
          </w:p>
        </w:tc>
        <w:tc>
          <w:tcPr>
            <w:tcW w:w="6483" w:type="dxa"/>
            <w:gridSpan w:val="2"/>
            <w:vAlign w:val="center"/>
          </w:tcPr>
          <w:p w14:paraId="5B676F07" w14:textId="77777777" w:rsidR="00016DDA" w:rsidRPr="00DB363E" w:rsidRDefault="00016DDA" w:rsidP="004E2C05">
            <w:pPr>
              <w:rPr>
                <w:rFonts w:asciiTheme="minorHAnsi" w:hAnsiTheme="minorHAnsi" w:cs="Arial"/>
                <w:sz w:val="20"/>
                <w:szCs w:val="16"/>
              </w:rPr>
            </w:pPr>
            <w:r w:rsidRPr="00DB363E">
              <w:rPr>
                <w:rFonts w:asciiTheme="minorHAnsi" w:hAnsiTheme="minorHAnsi" w:cs="Arial"/>
                <w:sz w:val="20"/>
                <w:szCs w:val="16"/>
              </w:rPr>
              <w:t xml:space="preserve">Program: </w:t>
            </w:r>
          </w:p>
          <w:p w14:paraId="5BCFE30F" w14:textId="55E5B251" w:rsidR="00016DDA" w:rsidRDefault="00016DDA" w:rsidP="00FF49C9">
            <w:pPr>
              <w:rPr>
                <w:rFonts w:asciiTheme="minorHAnsi" w:hAnsiTheme="minorHAnsi" w:cs="Arial"/>
                <w:b/>
                <w:color w:val="000000" w:themeColor="text1"/>
                <w:sz w:val="20"/>
                <w:szCs w:val="16"/>
              </w:rPr>
            </w:pPr>
            <w:r w:rsidRPr="00FF49C9">
              <w:rPr>
                <w:rFonts w:asciiTheme="minorHAnsi" w:hAnsiTheme="minorHAnsi" w:cs="Arial"/>
                <w:b/>
                <w:color w:val="000000" w:themeColor="text1"/>
                <w:sz w:val="20"/>
                <w:szCs w:val="16"/>
              </w:rPr>
              <w:t>Bachelor of Sc</w:t>
            </w:r>
            <w:r w:rsidR="009E1F82" w:rsidRPr="00FF49C9">
              <w:rPr>
                <w:rFonts w:asciiTheme="minorHAnsi" w:hAnsiTheme="minorHAnsi" w:cs="Arial"/>
                <w:b/>
                <w:color w:val="000000" w:themeColor="text1"/>
                <w:sz w:val="20"/>
                <w:szCs w:val="16"/>
              </w:rPr>
              <w:t xml:space="preserve">ience in </w:t>
            </w:r>
            <w:r w:rsidR="00A877A1">
              <w:rPr>
                <w:rFonts w:asciiTheme="minorHAnsi" w:hAnsiTheme="minorHAnsi" w:cs="Arial"/>
                <w:b/>
                <w:color w:val="000000" w:themeColor="text1"/>
                <w:sz w:val="20"/>
                <w:szCs w:val="16"/>
              </w:rPr>
              <w:t>Computer Science</w:t>
            </w:r>
            <w:r w:rsidR="003C6D2F">
              <w:rPr>
                <w:rFonts w:asciiTheme="minorHAnsi" w:hAnsiTheme="minorHAnsi" w:cs="Arial"/>
                <w:b/>
                <w:color w:val="000000" w:themeColor="text1"/>
                <w:sz w:val="20"/>
                <w:szCs w:val="16"/>
              </w:rPr>
              <w:t xml:space="preserve"> </w:t>
            </w:r>
            <w:r w:rsidRPr="00FF49C9">
              <w:rPr>
                <w:rFonts w:asciiTheme="minorHAnsi" w:hAnsiTheme="minorHAnsi" w:cs="Arial"/>
                <w:b/>
                <w:color w:val="000000" w:themeColor="text1"/>
                <w:sz w:val="20"/>
                <w:szCs w:val="16"/>
              </w:rPr>
              <w:t xml:space="preserve">with specialization in </w:t>
            </w:r>
            <w:r w:rsidR="00FF49C9" w:rsidRPr="00FF49C9">
              <w:rPr>
                <w:rFonts w:asciiTheme="minorHAnsi" w:hAnsiTheme="minorHAnsi" w:cs="Arial"/>
                <w:b/>
                <w:color w:val="000000" w:themeColor="text1"/>
                <w:sz w:val="20"/>
                <w:szCs w:val="16"/>
              </w:rPr>
              <w:t>Data Science</w:t>
            </w:r>
            <w:r w:rsidR="003C6D2F">
              <w:rPr>
                <w:rFonts w:asciiTheme="minorHAnsi" w:hAnsiTheme="minorHAnsi" w:cs="Arial"/>
                <w:b/>
                <w:color w:val="000000" w:themeColor="text1"/>
                <w:sz w:val="20"/>
                <w:szCs w:val="16"/>
              </w:rPr>
            </w:r>
          </w:p>
          <w:p w14:paraId="7238AD7A" w14:textId="76AF51F3" w:rsidR="003C6D2F" w:rsidRPr="003C6D2F" w:rsidRDefault="003C6D2F" w:rsidP="00FF49C9">
            <w:pPr>
              <w:rPr>
                <w:rFonts w:asciiTheme="minorHAnsi" w:hAnsiTheme="minorHAnsi" w:cs="Arial"/>
                <w:b/>
                <w:color w:val="000000" w:themeColor="text1"/>
                <w:sz w:val="20"/>
                <w:szCs w:val="16"/>
              </w:rPr>
            </w:pPr>
          </w:p>
        </w:tc>
      </w:tr>
      <w:tr w:rsidR="006374E8" w:rsidRPr="001A4029" w14:paraId="41BB202B" w14:textId="77777777" w:rsidTr="00DB363E">
        <w:trPr>
          <w:trHeight w:val="432"/>
        </w:trPr>
        <w:tc>
          <w:tcPr>
            <w:tcW w:w="3443" w:type="dxa"/>
          </w:tcPr>
          <w:p w14:paraId="31953861" w14:textId="77777777" w:rsidR="004E2C05" w:rsidRPr="00DB363E" w:rsidRDefault="004E2C05" w:rsidP="004E2C05">
            <w:pPr>
              <w:rPr>
                <w:rFonts w:asciiTheme="minorHAnsi" w:hAnsiTheme="minorHAnsi" w:cs="Arial"/>
                <w:sz w:val="20"/>
                <w:szCs w:val="16"/>
              </w:rPr>
            </w:pPr>
            <w:r w:rsidRPr="00DB363E">
              <w:rPr>
                <w:rFonts w:asciiTheme="minorHAnsi" w:hAnsiTheme="minorHAnsi" w:cs="Arial"/>
                <w:sz w:val="20"/>
                <w:szCs w:val="16"/>
              </w:rPr>
              <w:t>Member’s Name:</w:t>
            </w:r>
          </w:p>
          <w:p w14:paraId="600A7FB5" w14:textId="5A32E644" w:rsidR="006374E8" w:rsidRPr="00DB363E" w:rsidRDefault="00707AFA" w:rsidP="00FF49C9">
            <w:pPr>
              <w:pStyle w:val="ListParagraph"/>
              <w:numPr>
                <w:ilvl w:val="0"/>
                <w:numId w:val="3"/>
              </w:numPr>
              <w:ind w:left="180" w:hanging="180"/>
              <w:rPr>
                <w:rFonts w:asciiTheme="minorHAnsi" w:hAnsiTheme="minorHAnsi" w:cs="Arial"/>
                <w:sz w:val="20"/>
                <w:szCs w:val="16"/>
              </w:rPr>
            </w:pPr>
            <w:r>
              <w:rPr>
                <w:rFonts w:asciiTheme="minorHAnsi" w:hAnsiTheme="minorHAnsi" w:cs="Arial"/>
                <w:sz w:val="20"/>
                <w:szCs w:val="16"/>
              </w:rPr>
              <w:t xml:space="preserve"> Dawn Andrei Pamesa (Project Manager)</w:t>
            </w:r>
          </w:p>
          <w:p w14:paraId="105456A1" w14:textId="7B3B8890" w:rsidR="00FF49C9" w:rsidRPr="00DB363E" w:rsidRDefault="00707AFA" w:rsidP="00FF49C9">
            <w:pPr>
              <w:pStyle w:val="ListParagraph"/>
              <w:numPr>
                <w:ilvl w:val="0"/>
                <w:numId w:val="3"/>
              </w:numPr>
              <w:ind w:left="180" w:hanging="180"/>
              <w:rPr>
                <w:rFonts w:asciiTheme="minorHAnsi" w:hAnsiTheme="minorHAnsi" w:cs="Arial"/>
                <w:sz w:val="20"/>
                <w:szCs w:val="16"/>
              </w:rPr>
            </w:pPr>
            <w:r>
              <w:rPr>
                <w:rFonts w:asciiTheme="minorHAnsi" w:hAnsiTheme="minorHAnsi" w:cs="Arial"/>
                <w:sz w:val="20"/>
                <w:szCs w:val="16"/>
              </w:rPr>
              <w:t xml:space="preserve"> Rogelio Porras (Member 1)</w:t>
            </w:r>
          </w:p>
          <w:p w14:paraId="646F2DFA" w14:textId="35CEE88D" w:rsidR="00FF49C9" w:rsidRPr="00DB363E" w:rsidRDefault="00707AFA" w:rsidP="00FF49C9">
            <w:pPr>
              <w:pStyle w:val="ListParagraph"/>
              <w:numPr>
                <w:ilvl w:val="0"/>
                <w:numId w:val="3"/>
              </w:numPr>
              <w:ind w:left="180" w:hanging="180"/>
              <w:rPr>
                <w:rFonts w:asciiTheme="minorHAnsi" w:hAnsiTheme="minorHAnsi" w:cs="Arial"/>
                <w:sz w:val="20"/>
                <w:szCs w:val="16"/>
              </w:rPr>
            </w:pPr>
            <w:r>
              <w:rPr>
                <w:rFonts w:asciiTheme="minorHAnsi" w:hAnsiTheme="minorHAnsi" w:cs="Arial"/>
                <w:sz w:val="20"/>
                <w:szCs w:val="16"/>
              </w:rPr>
              <w:t xml:space="preserve"> John Ashley Alba (Member 2)</w:t>
            </w:r>
          </w:p>
          <w:p w14:paraId="49E9FCC3" w14:textId="630C064A" w:rsidR="00FF49C9" w:rsidRPr="00DB363E" w:rsidRDefault="00707AFA" w:rsidP="00FF49C9">
            <w:pPr>
              <w:pStyle w:val="ListParagraph"/>
              <w:numPr>
                <w:ilvl w:val="0"/>
                <w:numId w:val="3"/>
              </w:numPr>
              <w:ind w:left="180" w:hanging="180"/>
              <w:rPr>
                <w:rFonts w:asciiTheme="minorHAnsi" w:hAnsiTheme="minorHAnsi" w:cs="Arial"/>
                <w:sz w:val="20"/>
                <w:szCs w:val="16"/>
              </w:rPr>
            </w:pPr>
            <w:r>
              <w:rPr>
                <w:rFonts w:asciiTheme="minorHAnsi" w:hAnsiTheme="minorHAnsi" w:cs="Arial"/>
                <w:sz w:val="20"/>
                <w:szCs w:val="16"/>
              </w:rPr>
              <w:t xml:space="preserve"> Ralph Blanco (Member 3)</w:t>
            </w:r>
          </w:p>
          <w:p w14:paraId="0EABE697" w14:textId="715B7B4B" w:rsidR="00FF49C9" w:rsidRPr="00DB363E" w:rsidRDefault="00FF49C9" w:rsidP="00AC5F44">
            <w:pPr>
              <w:pStyle w:val="ListParagraph"/>
              <w:ind w:left="180"/>
              <w:rPr>
                <w:rFonts w:asciiTheme="minorHAnsi" w:hAnsiTheme="minorHAnsi" w:cs="Arial"/>
                <w:sz w:val="20"/>
                <w:szCs w:val="16"/>
              </w:rPr>
            </w:pPr>
          </w:p>
        </w:tc>
        <w:tc>
          <w:tcPr>
            <w:tcW w:w="4310" w:type="dxa"/>
            <w:vAlign w:val="center"/>
          </w:tcPr>
          <w:p w14:paraId="73B9D837" w14:textId="77777777" w:rsidR="00C36B20" w:rsidRPr="00DB363E" w:rsidRDefault="006374E8" w:rsidP="00016DDA">
            <w:pPr>
              <w:rPr>
                <w:rFonts w:asciiTheme="minorHAnsi" w:hAnsiTheme="minorHAnsi" w:cs="Arial"/>
                <w:sz w:val="20"/>
                <w:szCs w:val="16"/>
              </w:rPr>
            </w:pPr>
            <w:r w:rsidRPr="00DB363E">
              <w:rPr>
                <w:rFonts w:asciiTheme="minorHAnsi" w:hAnsiTheme="minorHAnsi" w:cs="Arial"/>
                <w:sz w:val="20"/>
                <w:szCs w:val="16"/>
              </w:rPr>
              <w:t xml:space="preserve">Term: </w:t>
            </w:r>
          </w:p>
          <w:p w14:paraId="3BA89A03" w14:textId="079AF9C2" w:rsidR="006374E8" w:rsidRPr="00DB363E" w:rsidRDefault="00C36B20" w:rsidP="00581B90">
            <w:pPr>
              <w:rPr>
                <w:rFonts w:asciiTheme="minorHAnsi" w:hAnsiTheme="minorHAnsi" w:cs="Arial"/>
                <w:color w:val="000000" w:themeColor="text1"/>
                <w:sz w:val="20"/>
                <w:szCs w:val="20"/>
              </w:rPr>
            </w:pPr>
            <w:r w:rsidRPr="00D85917">
              <w:rPr>
                <w:rFonts w:asciiTheme="minorHAnsi" w:hAnsiTheme="minorHAnsi" w:cs="Arial"/>
                <w:sz w:val="20"/>
                <w:szCs w:val="20"/>
              </w:rPr>
              <w:t>[X] 1st   [   ] 2nd     [    ] 3rd</w:t>
            </w:r>
          </w:p>
        </w:tc>
        <w:tc>
          <w:tcPr>
            <w:tcW w:w="2173" w:type="dxa"/>
            <w:vAlign w:val="center"/>
          </w:tcPr>
          <w:p w14:paraId="4E292B72" w14:textId="6AF64E7D" w:rsidR="00D85917" w:rsidRPr="00DB363E" w:rsidRDefault="00D85917" w:rsidP="00016DDA">
            <w:pPr>
              <w:rPr>
                <w:rFonts w:asciiTheme="minorHAnsi" w:hAnsiTheme="minorHAnsi" w:cs="Arial"/>
                <w:sz w:val="20"/>
                <w:szCs w:val="16"/>
              </w:rPr>
            </w:pPr>
            <w:r w:rsidRPr="00DB363E">
              <w:rPr>
                <w:rFonts w:asciiTheme="minorHAnsi" w:hAnsiTheme="minorHAnsi" w:cs="Arial"/>
                <w:sz w:val="20"/>
                <w:szCs w:val="16"/>
              </w:rPr>
              <w:t>Academic Year</w:t>
            </w:r>
            <w:r w:rsidR="006374E8" w:rsidRPr="00DB363E">
              <w:rPr>
                <w:rFonts w:asciiTheme="minorHAnsi" w:hAnsiTheme="minorHAnsi" w:cs="Arial"/>
                <w:sz w:val="20"/>
                <w:szCs w:val="16"/>
              </w:rPr>
              <w:t xml:space="preserve">: </w:t>
            </w:r>
          </w:p>
          <w:p w14:paraId="062E0F38" w14:textId="300A89EC" w:rsidR="00DB363E" w:rsidRDefault="00DB363E" w:rsidP="00016DDA">
            <w:pPr>
              <w:rPr>
                <w:rFonts w:asciiTheme="minorHAnsi" w:hAnsiTheme="minorHAnsi" w:cs="Arial"/>
                <w:sz w:val="16"/>
                <w:szCs w:val="16"/>
              </w:rPr>
            </w:pPr>
          </w:p>
          <w:p w14:paraId="1F59ED84" w14:textId="46C2CBDC" w:rsidR="00DB363E" w:rsidRPr="00DB363E" w:rsidRDefault="003C6D2F" w:rsidP="003C6D2F">
            <w:pPr>
              <w:jc w:val="center"/>
              <w:rPr>
                <w:rFonts w:asciiTheme="minorHAnsi" w:hAnsiTheme="minorHAnsi" w:cs="Arial"/>
                <w:sz w:val="20"/>
                <w:szCs w:val="16"/>
              </w:rPr>
            </w:pPr>
            <w:r>
              <w:rPr>
                <w:rFonts w:asciiTheme="minorHAnsi" w:hAnsiTheme="minorHAnsi" w:cs="Arial"/>
                <w:sz w:val="20"/>
                <w:szCs w:val="16"/>
              </w:rPr>
              <w:t>2026 - 2027</w:t>
            </w:r>
          </w:p>
          <w:p w14:paraId="1C74A3C3" w14:textId="737A706C" w:rsidR="006374E8" w:rsidRPr="00D85917" w:rsidRDefault="006374E8" w:rsidP="0070748B">
            <w:pPr>
              <w:rPr>
                <w:rFonts w:asciiTheme="minorHAnsi" w:hAnsiTheme="minorHAnsi" w:cs="Arial"/>
                <w:b/>
                <w:color w:val="006600"/>
                <w:sz w:val="20"/>
                <w:szCs w:val="20"/>
              </w:rPr>
            </w:pPr>
          </w:p>
        </w:tc>
      </w:tr>
      <w:tr w:rsidR="006374E8" w:rsidRPr="001A4029" w14:paraId="5FE103B3" w14:textId="77777777" w:rsidTr="00DB363E">
        <w:trPr>
          <w:trHeight w:val="432"/>
        </w:trPr>
        <w:tc>
          <w:tcPr>
            <w:tcW w:w="9926" w:type="dxa"/>
            <w:gridSpan w:val="3"/>
            <w:vAlign w:val="center"/>
          </w:tcPr>
          <w:p w14:paraId="048AF1B5" w14:textId="77777777" w:rsidR="00707AFA" w:rsidRDefault="00707AFA" w:rsidP="00EB0E83">
            <w:pPr>
              <w:rPr>
                <w:rFonts w:asciiTheme="minorHAnsi" w:hAnsiTheme="minorHAnsi" w:cs="Arial"/>
                <w:sz w:val="22"/>
                <w:szCs w:val="20"/>
              </w:rPr>
            </w:pPr>
          </w:p>
          <w:p w14:paraId="56E91D56" w14:textId="48174E40" w:rsidR="00707AFA" w:rsidRPr="00707AFA" w:rsidRDefault="00DB363E" w:rsidP="00EB0E83">
            <w:pPr>
              <w:rPr>
                <w:rFonts w:asciiTheme="minorHAnsi" w:hAnsiTheme="minorHAnsi" w:cs="Arial"/>
                <w:b/>
                <w:bCs/>
                <w:szCs w:val="22"/>
              </w:rPr>
            </w:pPr>
            <w:r w:rsidRPr="00707AFA">
              <w:rPr>
                <w:rFonts w:asciiTheme="minorHAnsi" w:hAnsiTheme="minorHAnsi" w:cs="Arial"/>
                <w:b/>
                <w:bCs/>
                <w:szCs w:val="22"/>
              </w:rPr>
              <w:t>Proposed Project Title 1</w:t>
            </w:r>
            <w:r w:rsidR="006374E8" w:rsidRPr="00707AFA">
              <w:rPr>
                <w:rFonts w:asciiTheme="minorHAnsi" w:hAnsiTheme="minorHAnsi" w:cs="Arial"/>
                <w:b/>
                <w:bCs/>
                <w:szCs w:val="22"/>
              </w:rPr>
              <w:t>:</w:t>
            </w:r>
            <w:r>
              <w:rPr>
                <w:b/>
              </w:rPr>
              <w:t xml:space="preserve"> Demand Forecasting and Customer Retention Analytics for a San Juan Water Refilling Station Using XGBoost</w:t>
            </w:r>
          </w:p>
          <w:p w14:paraId="65D438BB" w14:textId="7770C66C" w:rsidR="00DB363E" w:rsidRPr="00DB363E" w:rsidRDefault="00DB363E" w:rsidP="00EB0E83">
            <w:pPr>
              <w:rPr>
                <w:rFonts w:asciiTheme="minorHAnsi" w:hAnsiTheme="minorHAnsi" w:cs="Arial"/>
                <w:b/>
                <w:sz w:val="18"/>
                <w:szCs w:val="16"/>
              </w:rPr>
            </w:pPr>
          </w:p>
          <w:p w14:paraId="5F086394" w14:textId="6D268651" w:rsidR="006374E8" w:rsidRPr="00EB0E83" w:rsidRDefault="006374E8" w:rsidP="00FF49C9">
            <w:pPr>
              <w:rPr>
                <w:rFonts w:asciiTheme="minorHAnsi" w:hAnsiTheme="minorHAnsi" w:cs="Arial"/>
                <w:b/>
                <w:color w:val="006600"/>
                <w:sz w:val="16"/>
                <w:szCs w:val="16"/>
              </w:rPr>
            </w:pPr>
          </w:p>
        </w:tc>
      </w:tr>
    </w:tbl>
    <w:p w14:paraId="5657C92F" w14:textId="77777777" w:rsidR="007E32E9" w:rsidRPr="001A4029" w:rsidRDefault="007E32E9" w:rsidP="005207DF">
      <w:pPr>
        <w:ind w:left="2160" w:firstLine="720"/>
        <w:rPr>
          <w:rFonts w:asciiTheme="minorHAnsi" w:hAnsiTheme="minorHAnsi" w:cs="Arial"/>
          <w:sz w:val="10"/>
          <w:szCs w:val="16"/>
        </w:rPr>
      </w:pPr>
      <w:r w:rsidRPr="001A4029">
        <w:rPr>
          <w:rFonts w:asciiTheme="minorHAnsi" w:hAnsiTheme="minorHAnsi" w:cs="Arial"/>
          <w:b/>
          <w:sz w:val="16"/>
          <w:szCs w:val="16"/>
        </w:rPr>
        <w:t xml:space="preserve">       </w:t>
      </w:r>
    </w:p>
    <w:p w14:paraId="15E5E36A" w14:textId="77777777" w:rsidR="0064578A" w:rsidRPr="001A4029" w:rsidRDefault="0064578A">
      <w:pPr>
        <w:rPr>
          <w:rFonts w:asciiTheme="minorHAnsi" w:hAnsiTheme="minorHAnsi" w:cs="Arial"/>
          <w:sz w:val="10"/>
          <w:szCs w:val="16"/>
        </w:rPr>
      </w:pPr>
    </w:p>
    <w:p w14:paraId="05EBB370" w14:textId="77777777" w:rsidR="00797DF4" w:rsidRDefault="00797DF4" w:rsidP="0047147E">
      <w:pPr>
        <w:rPr>
          <w:rFonts w:asciiTheme="minorHAnsi" w:hAnsiTheme="minorHAnsi" w:cs="Arial"/>
        </w:rPr>
      </w:pPr>
    </w:p>
    <w:p w14:paraId="2F893EC9" w14:textId="202F5297" w:rsidR="002647B1" w:rsidRDefault="00DB363E" w:rsidP="002647B1">
      <w:pPr>
        <w:pStyle w:val="ListParagraph"/>
        <w:numPr>
          <w:ilvl w:val="0"/>
          <w:numId w:val="4"/>
        </w:numPr>
        <w:rPr>
          <w:rFonts w:asciiTheme="minorHAnsi" w:hAnsiTheme="minorHAnsi" w:cs="Arial"/>
          <w:b/>
        </w:rPr>
      </w:pPr>
      <w:r w:rsidRPr="002647B1">
        <w:rPr>
          <w:rFonts w:asciiTheme="minorHAnsi" w:hAnsiTheme="minorHAnsi" w:cs="Arial"/>
          <w:b/>
        </w:rPr>
        <w:t>Area of Investigation</w:t>
      </w:r>
      <w:r w:rsidR="00AD0CB1" w:rsidRPr="002647B1">
        <w:rPr>
          <w:rFonts w:asciiTheme="minorHAnsi" w:hAnsiTheme="minorHAnsi" w:cs="Arial"/>
          <w:b/>
        </w:rPr>
        <w:t>:</w:t>
      </w:r>
    </w:p>
    <w:p w14:paraId="4C79F02C" w14:textId="77777777" w:rsidR="00C75673" w:rsidRDefault="00C75673" w:rsidP="00AC5F44">
      <w:pPr>
        <w:pStyle w:val="ListParagraph"/>
        <w:jc w:val="both"/>
        <w:rPr>
          <w:rFonts w:asciiTheme="minorHAnsi" w:hAnsiTheme="minorHAnsi" w:cs="Arial"/>
        </w:rPr>
      </w:pPr>
    </w:p>
    <w:p w14:paraId="47C63572" w14:textId="38D7DE5A" w:rsidR="00AC5F44" w:rsidRDefault="00AC5F44" w:rsidP="00AC5F44">
      <w:pPr>
        <w:pStyle w:val="ListParagraph"/>
        <w:jc w:val="both"/>
        <w:rPr>
          <w:rFonts w:asciiTheme="minorHAnsi" w:hAnsiTheme="minorHAnsi" w:cs="Arial"/>
        </w:rPr>
      </w:pPr>
      <w:r>
        <w:rPr>
          <w:rFonts w:asciiTheme="minorHAnsi" w:hAnsiTheme="minorHAnsi" w:cs="Arial"/>
        </w:rPr>
        <w:t>Water refilling stations are a common source of drinking water in the Philippines, and they operate under national sanitation rules: Presidential Decree No. 856 (1975), the Code on Sanitation of the Philippines, and the Department of Health's supplemental implementing rules for retail water systems and refilling stations (Department of Health, 1999). The Philippine studies on these stations deal mainly with sanitation, operator knowledge and safety planning (Cope et al., 2013; Molina et al., 2016). They do not look at how a small station plans its daily supply or keeps its customers. A station like Aquaplus in San Juan City still plans stock, staff and delivery trips from experience. Demand changes with the season, the weekday, holidays and the mix of walk-in and delivery orders, so a wrong guess means either empty containers and lost sales or idle capacity. Customers also buy without contracts, so a regular customer who quietly stops ordering is not noticed.</w:t>
      </w:r>
    </w:p>
    <w:p w14:paraId="47C63572" w14:textId="38D7DE5A" w:rsidR="00AC5F44" w:rsidRDefault="00AC5F44" w:rsidP="00AC5F44">
      <w:pPr>
        <w:pStyle w:val="ListParagraph"/>
        <w:jc w:val="both"/>
        <w:rPr>
          <w:rFonts w:asciiTheme="minorHAnsi" w:hAnsiTheme="minorHAnsi" w:cs="Arial"/>
        </w:rPr>
      </w:pPr>
      <w:r>
        <w:rPr>
          <w:rFonts w:asciiTheme="minorHAnsi" w:hAnsiTheme="minorHAnsi" w:cs="Arial"/>
        </w:rPr>
        <w:t>Related work gives the study its methods. Hyndman and Athanasopoulos (2021) provide the standard statistical baselines and Hyndman and Koehler (2006) explain how to measure forecast accuracy. Taylor and Letham (2018) built Prophet for trend, seasonality and holiday effects, and Chen and Guestrin (2016) introduced XGBoost, a gradient boosted tree method for tabular data. Makridakis et al. (2018, 2020) show that machine learning methods can compete with statistical ones only when they are compared fairly against simple benchmarks, which is why this study keeps seasonal baselines. In recent retail forecasting, Fatima and Salam (2026) found XGBoost gave the lowest error when calendar and holiday variables were added, and Shahar et al. (2024) used XGBoost with a sales trend dashboard. For customers without contracts, Buckinx and Van den Poel (2005) and Akhmetbek (2022) show that purchase recency and frequency can reveal customers who are drifting away, and Fader et al. (2005) show that simple models can count active customers. Bergmeir and Benítez (2012) explain how to validate time series models without leaking the future into training.</w:t>
      </w:r>
    </w:p>
    <w:p w14:paraId="1F1A6E58" w14:textId="77777777" w:rsidR="00AC5F44" w:rsidRDefault="00AC5F44" w:rsidP="00AC5F44">
      <w:pPr>
        <w:pStyle w:val="ListParagraph"/>
        <w:jc w:val="both"/>
        <w:rPr>
          <w:rFonts w:asciiTheme="minorHAnsi" w:hAnsiTheme="minorHAnsi" w:cs="Arial"/>
        </w:rPr>
      </w:pPr>
    </w:p>
    <w:p w14:paraId="7A3D8887" w14:textId="3BE4DF65" w:rsidR="00AC5F44" w:rsidRPr="00AC5F44" w:rsidRDefault="00AC5F44" w:rsidP="00AC5F44">
      <w:pPr>
        <w:pStyle w:val="ListParagraph"/>
        <w:jc w:val="both"/>
        <w:rPr>
          <w:rFonts w:asciiTheme="minorHAnsi" w:hAnsiTheme="minorHAnsi" w:cs="Arial"/>
        </w:rPr>
      </w:pPr>
      <w:r>
        <w:rPr>
          <w:rFonts w:asciiTheme="minorHAnsi" w:hAnsiTheme="minorHAnsi" w:cs="Arial"/>
        </w:rPr>
        <w:t>The study is therefore a predictive analytics system for one water refilling station. Its purpose is to forecast daily and weekly demand and to flag regular customers who may be lapsing. The system has five modules. (1) Data preparation: imports the station's sales and delivery records, removes customer names and addresses, and cleans dates, quantities and duplicates. (2) Demand forecasting: predicts refills and deliveries per day and week using a seasonal naive baseline, ARIMA, Prophet and XGBoost with calendar features, and keeps the method that validates best. (3) Customer retention: measures each customer's recency and frequency of ordering and lists those who are overdue compared with their usual pattern. (4) Dashboard: shows the forecast, a simple stock and delivery planning guide and the list of customers to follow up. (5) Evaluation report: compares models with MAE and WAPE using time-based cross-validation.</w:t>
      </w:r>
    </w:p>
    <w:p w14:paraId="63A8BE08" w14:textId="77777777" w:rsidR="002647B1" w:rsidRPr="002647B1" w:rsidRDefault="002647B1" w:rsidP="002647B1">
      <w:pPr>
        <w:pStyle w:val="ListParagraph"/>
        <w:rPr>
          <w:rFonts w:asciiTheme="minorHAnsi" w:hAnsiTheme="minorHAnsi" w:cs="Arial"/>
          <w:b/>
        </w:rPr>
      </w:pPr>
    </w:p>
    <w:p w14:paraId="3D267D94" w14:textId="3038B436" w:rsidR="00DB363E" w:rsidRDefault="00AD0CB1" w:rsidP="002647B1">
      <w:pPr>
        <w:pStyle w:val="ListParagraph"/>
        <w:numPr>
          <w:ilvl w:val="0"/>
          <w:numId w:val="4"/>
        </w:numPr>
        <w:rPr>
          <w:rFonts w:asciiTheme="minorHAnsi" w:hAnsiTheme="minorHAnsi" w:cs="Arial"/>
          <w:b/>
        </w:rPr>
      </w:pPr>
      <w:r w:rsidRPr="002647B1">
        <w:rPr>
          <w:rFonts w:asciiTheme="minorHAnsi" w:hAnsiTheme="minorHAnsi" w:cs="Arial"/>
          <w:b/>
        </w:rPr>
        <w:t>Background and Rationale of the Project</w:t>
      </w:r>
      <w:r w:rsidR="00561844">
        <w:rPr>
          <w:rFonts w:asciiTheme="minorHAnsi" w:hAnsiTheme="minorHAnsi" w:cs="Arial"/>
          <w:b/>
        </w:rPr>
        <w:t>/System</w:t>
      </w:r>
      <w:r w:rsidRPr="002647B1">
        <w:rPr>
          <w:rFonts w:asciiTheme="minorHAnsi" w:hAnsiTheme="minorHAnsi" w:cs="Arial"/>
          <w:b/>
        </w:rPr>
        <w:t>:</w:t>
      </w:r>
    </w:p>
    <w:p w14:paraId="0A663803" w14:textId="042E740C" w:rsidR="00C75673" w:rsidRDefault="00C75673" w:rsidP="00C75673">
      <w:pPr>
        <w:rPr>
          <w:rFonts w:asciiTheme="minorHAnsi" w:hAnsiTheme="minorHAnsi" w:cs="Arial"/>
          <w:b/>
        </w:rPr>
      </w:pPr>
    </w:p>
    <w:p w14:paraId="0526B419" w14:textId="3CAB7662" w:rsidR="00C75673" w:rsidRPr="00D8001E" w:rsidRDefault="00D8001E" w:rsidP="00D8001E">
      <w:pPr>
        <w:ind w:left="720"/>
        <w:jc w:val="both"/>
        <w:rPr>
          <w:rFonts w:asciiTheme="minorHAnsi" w:hAnsiTheme="minorHAnsi" w:cs="Arial"/>
        </w:rPr>
      </w:pPr>
      <w:r>
        <w:rPr>
          <w:rFonts w:asciiTheme="minorHAnsi" w:hAnsiTheme="minorHAnsi" w:cs="Arial"/>
        </w:rPr>
        <w:t>The system will be built for Aquaplus Water Refilling Station in San Juan City, a private business, using its own sales and delivery records. Under the adviser's guidance for this term, the data must come from a private client, must start in 2021 or later and must have at least 5,000 rows; the group will confirm with the owner what the station records, since a station that only keeps a notebook or monthly totals would not meet this. [To confirm with the client: the owner's agreement, the record format and the number of transactions.] The focus is predictive analytics under the Data Science specialization. The expected outcome is a working forecasting and retention dashboard that the owner can use for weekly planning, together with a documented comparison showing which forecasting method works best for a small station.</w:t>
      </w:r>
    </w:p>
    <w:p w14:paraId="0526B419" w14:textId="3CAB7662" w:rsidR="00C75673" w:rsidRPr="00D8001E" w:rsidRDefault="00D8001E" w:rsidP="00D8001E">
      <w:pPr>
        <w:ind w:left="720"/>
        <w:jc w:val="both"/>
        <w:rPr>
          <w:rFonts w:asciiTheme="minorHAnsi" w:hAnsiTheme="minorHAnsi" w:cs="Arial"/>
        </w:rPr>
      </w:pPr>
      <w:r>
        <w:rPr>
          <w:rFonts w:asciiTheme="minorHAnsi" w:hAnsiTheme="minorHAnsi" w:cs="Arial"/>
        </w:rPr>
        <w:t>The rationale is that no Philippine study found in this review forecasts demand for a small refilling station or a comparable small retail business, even though such stations are an everyday source of drinking water. Existing local studies stop at sanitation and compliance. A forecast that is simple, explainable and built on the station's own data can help a small owner order supplies, schedule deliveries and keep regular customers. The study will follow the Data Privacy Act of 2012 (Republic Act No. 10173): customer identifiers are removed before the data reaches the group, no personal data is stored in the repository, and no human participants or web scraping are involved. The records are obtained with the owner's written permission.</w:t>
      </w:r>
    </w:p>
    <w:p w14:paraId="22A68ACF" w14:textId="77777777" w:rsidR="002647B1" w:rsidRPr="002647B1" w:rsidRDefault="002647B1" w:rsidP="002647B1">
      <w:pPr>
        <w:rPr>
          <w:rFonts w:asciiTheme="minorHAnsi" w:hAnsiTheme="minorHAnsi" w:cs="Arial"/>
          <w:b/>
        </w:rPr>
      </w:pPr>
    </w:p>
    <w:p w14:paraId="3550D57E" w14:textId="153BB54D" w:rsidR="00DB363E" w:rsidRPr="002647B1" w:rsidRDefault="001E53C3" w:rsidP="002647B1">
      <w:pPr>
        <w:pStyle w:val="ListParagraph"/>
        <w:numPr>
          <w:ilvl w:val="0"/>
          <w:numId w:val="4"/>
        </w:numPr>
        <w:rPr>
          <w:rFonts w:asciiTheme="minorHAnsi" w:hAnsiTheme="minorHAnsi" w:cs="Arial"/>
          <w:b/>
        </w:rPr>
      </w:pPr>
      <w:r w:rsidRPr="002647B1">
        <w:rPr>
          <w:rFonts w:asciiTheme="minorHAnsi" w:hAnsiTheme="minorHAnsi" w:cs="Arial"/>
          <w:b/>
        </w:rPr>
        <w:t>Statement of Objectives</w:t>
      </w:r>
      <w:r w:rsidR="00AD0CB1" w:rsidRPr="002647B1">
        <w:rPr>
          <w:rFonts w:asciiTheme="minorHAnsi" w:hAnsiTheme="minorHAnsi" w:cs="Arial"/>
          <w:b/>
        </w:rPr>
        <w:t>:</w:t>
      </w:r>
    </w:p>
    <w:p w14:paraId="19BA2575" w14:textId="75C07B6B" w:rsidR="002647B1" w:rsidRDefault="002647B1" w:rsidP="002647B1">
      <w:pPr>
        <w:rPr>
          <w:rFonts w:asciiTheme="minorHAnsi" w:hAnsiTheme="minorHAnsi" w:cs="Arial"/>
          <w:b/>
        </w:rPr>
      </w:pPr>
    </w:p>
    <w:p w14:paraId="7126F09B" w14:textId="54040798" w:rsidR="0057318C" w:rsidRPr="0057318C" w:rsidRDefault="00AA7EF5" w:rsidP="0057318C">
      <w:pPr>
        <w:ind w:left="720"/>
        <w:jc w:val="both"/>
        <w:rPr>
          <w:rFonts w:asciiTheme="minorHAnsi" w:hAnsiTheme="minorHAnsi" w:cs="Arial"/>
        </w:rPr>
      </w:pPr>
      <w:r>
        <w:rPr>
          <w:rFonts w:asciiTheme="minorHAnsi" w:hAnsiTheme="minorHAnsi" w:cs="Arial"/>
        </w:rPr>
        <w:t>General objective: To develop and evaluate a demand forecasting and customer retention system for Aquaplus Water Refilling Station in San Juan City using XGBoost and baseline forecasting methods.</w:t>
      </w:r>
      <w:proofErr w:type="spellStart"/>
      <w:proofErr w:type="spellEnd"/>
      <w:proofErr w:type="spellStart"/>
      <w:proofErr w:type="spellEnd"/>
      <w:proofErr w:type="spellStart"/>
      <w:proofErr w:type="spellEnd"/>
      <w:proofErr w:type="spellStart"/>
      <w:proofErr w:type="spellEnd"/>
      <w:proofErr w:type="spellStart"/>
      <w:proofErr w:type="spellEnd"/>
    </w:p>
    <w:p w14:paraId="7126F09B" w14:textId="54040798" w:rsidR="0057318C" w:rsidRPr="0057318C" w:rsidRDefault="00AA7EF5" w:rsidP="0057318C">
      <w:pPr>
        <w:ind w:left="720"/>
        <w:jc w:val="both"/>
        <w:rPr>
          <w:rFonts w:asciiTheme="minorHAnsi" w:hAnsiTheme="minorHAnsi" w:cs="Arial"/>
        </w:rPr>
      </w:pPr>
      <w:r>
        <w:rPr>
          <w:rFonts w:asciiTheme="minorHAnsi" w:hAnsiTheme="minorHAnsi" w:cs="Arial"/>
        </w:rPr>
        <w:t>Specific objectives:</w:t>
      </w:r>
      <w:proofErr w:type="spellStart"/>
      <w:proofErr w:type="spellEnd"/>
      <w:proofErr w:type="spellStart"/>
      <w:proofErr w:type="spellEnd"/>
      <w:proofErr w:type="spellStart"/>
      <w:proofErr w:type="spellEnd"/>
      <w:proofErr w:type="spellStart"/>
      <w:proofErr w:type="spellEnd"/>
      <w:proofErr w:type="spellStart"/>
      <w:proofErr w:type="spellEnd"/>
    </w:p>
    <w:p w14:paraId="7126F09B" w14:textId="54040798" w:rsidR="0057318C" w:rsidRPr="0057318C" w:rsidRDefault="00AA7EF5" w:rsidP="0057318C">
      <w:pPr>
        <w:ind w:left="720"/>
        <w:jc w:val="both"/>
        <w:rPr>
          <w:rFonts w:asciiTheme="minorHAnsi" w:hAnsiTheme="minorHAnsi" w:cs="Arial"/>
        </w:rPr>
        <w:numPr>
          <w:ilvl w:val="0"/>
          <w:numId w:val="6"/>
        </w:numPr>
      </w:pPr>
      <w:r>
        <w:rPr>
          <w:rFonts w:asciiTheme="minorHAnsi" w:hAnsiTheme="minorHAnsi" w:cs="Arial"/>
        </w:rPr>
        <w:t>To obtain, clean and anonymize the station's sales and delivery records from 2021 onward (at least 5,000 transaction rows) by the end of Thesis 2, when the project is about 70 percent complete.</w:t>
      </w:r>
      <w:proofErr w:type="spellStart"/>
      <w:proofErr w:type="spellEnd"/>
      <w:proofErr w:type="spellStart"/>
      <w:proofErr w:type="spellEnd"/>
      <w:proofErr w:type="spellStart"/>
      <w:proofErr w:type="spellEnd"/>
      <w:proofErr w:type="spellStart"/>
      <w:proofErr w:type="spellEnd"/>
      <w:proofErr w:type="spellStart"/>
      <w:proofErr w:type="spellEnd"/>
    </w:p>
    <w:p w14:paraId="7126F09B" w14:textId="54040798" w:rsidR="0057318C" w:rsidRPr="0057318C" w:rsidRDefault="00AA7EF5" w:rsidP="0057318C">
      <w:pPr>
        <w:ind w:left="720"/>
        <w:jc w:val="both"/>
        <w:rPr>
          <w:rFonts w:asciiTheme="minorHAnsi" w:hAnsiTheme="minorHAnsi" w:cs="Arial"/>
        </w:rPr>
        <w:numPr>
          <w:ilvl w:val="0"/>
          <w:numId w:val="6"/>
        </w:numPr>
      </w:pPr>
      <w:r>
        <w:rPr>
          <w:rFonts w:asciiTheme="minorHAnsi" w:hAnsiTheme="minorHAnsi" w:cs="Arial"/>
        </w:rPr>
        <w:t>To build a seasonal naive baseline, ARIMA, Prophet and XGBoost models for daily demand, and to compare them using time-based cross-validation with MAE and WAPE, with the target that the best model lowers WAPE by at least 10 percent against the seasonal naive baseline (the target will be revised after the data check).</w:t>
      </w:r>
      <w:proofErr w:type="spellStart"/>
      <w:proofErr w:type="spellEnd"/>
      <w:proofErr w:type="spellStart"/>
      <w:proofErr w:type="spellEnd"/>
      <w:proofErr w:type="spellStart"/>
      <w:proofErr w:type="spellEnd"/>
      <w:proofErr w:type="spellStart"/>
      <w:proofErr w:type="spellEnd"/>
      <w:proofErr w:type="spellStart"/>
      <w:proofErr w:type="spellEnd"/>
    </w:p>
    <w:p w14:paraId="7126F09B" w14:textId="54040798" w:rsidR="0057318C" w:rsidRPr="0057318C" w:rsidRDefault="00AA7EF5" w:rsidP="0057318C">
      <w:pPr>
        <w:ind w:left="720"/>
        <w:jc w:val="both"/>
        <w:rPr>
          <w:rFonts w:asciiTheme="minorHAnsi" w:hAnsiTheme="minorHAnsi" w:cs="Arial"/>
        </w:rPr>
        <w:numPr>
          <w:ilvl w:val="0"/>
          <w:numId w:val="6"/>
        </w:numPr>
      </w:pPr>
      <w:r>
        <w:rPr>
          <w:rFonts w:asciiTheme="minorHAnsi" w:hAnsiTheme="minorHAnsi" w:cs="Arial"/>
        </w:rPr>
        <w:t>To develop a customer retention module that flags customers whose time since the last order is longer than their usual pattern, and to check its flags against past lapses in the records.</w:t>
      </w:r>
      <w:proofErr w:type="spellStart"/>
      <w:proofErr w:type="spellEnd"/>
      <w:proofErr w:type="spellStart"/>
      <w:proofErr w:type="spellEnd"/>
      <w:proofErr w:type="spellStart"/>
      <w:proofErr w:type="spellEnd"/>
      <w:proofErr w:type="spellStart"/>
      <w:proofErr w:type="spellEnd"/>
      <w:proofErr w:type="spellStart"/>
      <w:proofErr w:type="spellEnd"/>
    </w:p>
    <w:p w14:paraId="7126F09B" w14:textId="54040798" w:rsidR="0057318C" w:rsidRPr="0057318C" w:rsidRDefault="00AA7EF5" w:rsidP="0057318C">
      <w:pPr>
        <w:ind w:left="720"/>
        <w:jc w:val="both"/>
        <w:rPr>
          <w:rFonts w:asciiTheme="minorHAnsi" w:hAnsiTheme="minorHAnsi" w:cs="Arial"/>
        </w:rPr>
        <w:numPr>
          <w:ilvl w:val="0"/>
          <w:numId w:val="6"/>
        </w:numPr>
      </w:pPr>
      <w:r>
        <w:rPr>
          <w:rFonts w:asciiTheme="minorHAnsi" w:hAnsiTheme="minorHAnsi" w:cs="Arial"/>
        </w:rPr>
        <w:t>To deliver a dashboard of the forecast, the planning guide and the follow-up list, and to test it with the station owner by Thesis 3, when the system and the analysis are finished.</w:t>
      </w:r>
      <w:proofErr w:type="spellStart"/>
      <w:proofErr w:type="spellEnd"/>
      <w:proofErr w:type="spellStart"/>
      <w:proofErr w:type="spellEnd"/>
      <w:proofErr w:type="spellStart"/>
      <w:proofErr w:type="spellEnd"/>
      <w:proofErr w:type="spellStart"/>
      <w:proofErr w:type="spellEnd"/>
      <w:proofErr w:type="spellStart"/>
      <w:proofErr w:type="spellEnd"/>
    </w:p>
    <w:p w14:paraId="4CADF1AC" w14:textId="77777777" w:rsidR="00AA7EF5" w:rsidRPr="002647B1" w:rsidRDefault="00AA7EF5" w:rsidP="002647B1">
      <w:pPr>
        <w:rPr>
          <w:rFonts w:asciiTheme="minorHAnsi" w:hAnsiTheme="minorHAnsi" w:cs="Arial"/>
          <w:b/>
        </w:rPr>
      </w:pPr>
    </w:p>
    <w:p w14:paraId="0B5FB6FF" w14:textId="39A43E91" w:rsidR="00DB363E" w:rsidRDefault="001E53C3" w:rsidP="002647B1">
      <w:pPr>
        <w:pStyle w:val="ListParagraph"/>
        <w:numPr>
          <w:ilvl w:val="0"/>
          <w:numId w:val="4"/>
        </w:numPr>
        <w:rPr>
          <w:rFonts w:asciiTheme="minorHAnsi" w:hAnsiTheme="minorHAnsi" w:cs="Arial"/>
          <w:b/>
        </w:rPr>
      </w:pPr>
      <w:r w:rsidRPr="002647B1">
        <w:rPr>
          <w:rFonts w:asciiTheme="minorHAnsi" w:hAnsiTheme="minorHAnsi" w:cs="Arial"/>
          <w:b/>
        </w:rPr>
        <w:t>Scope and Limitations of the Study</w:t>
      </w:r>
      <w:r w:rsidR="00AD0CB1" w:rsidRPr="002647B1">
        <w:rPr>
          <w:rFonts w:asciiTheme="minorHAnsi" w:hAnsiTheme="minorHAnsi" w:cs="Arial"/>
          <w:b/>
        </w:rPr>
        <w:t>:</w:t>
      </w:r>
    </w:p>
    <w:p w14:paraId="6D010D2D" w14:textId="77777777" w:rsidR="0057318C" w:rsidRPr="0057318C" w:rsidRDefault="0057318C" w:rsidP="0057318C">
      <w:pPr>
        <w:rPr>
          <w:rFonts w:asciiTheme="minorHAnsi" w:hAnsiTheme="minorHAnsi" w:cs="Arial"/>
          <w:b/>
        </w:rPr>
      </w:pPr>
    </w:p>
    <w:p w14:paraId="0A4D3438" w14:textId="333C56EA" w:rsidR="002647B1" w:rsidRPr="00F32137" w:rsidRDefault="00F32137" w:rsidP="00F32137">
      <w:pPr>
        <w:ind w:left="720"/>
        <w:jc w:val="both"/>
        <w:rPr>
          <w:rFonts w:asciiTheme="minorHAnsi" w:hAnsiTheme="minorHAnsi" w:cs="Arial"/>
        </w:rPr>
      </w:pPr>
      <w:r>
        <w:rPr>
          <w:rFonts w:asciiTheme="minorHAnsi" w:hAnsiTheme="minorHAnsi" w:cs="Arial"/>
        </w:rPr>
        <w:t>The study covers one station, Aquaplus in San Juan City, and uses the station's records from 2021 onward. It forecasts daily and weekly demand for refills and deliveries up to four weeks ahead, and it flags customers at risk of lapsing using order recency and frequency. Calendar and holiday variables are the main inputs; weather or other outside data will be used only if the station supplies it, because the adviser does not allow open-source data or web scraping for this term.</w:t>
      </w:r>
    </w:p>
    <w:p w14:paraId="0A4D3438" w14:textId="333C56EA" w:rsidR="002647B1" w:rsidRPr="00F32137" w:rsidRDefault="00F32137" w:rsidP="00F32137">
      <w:pPr>
        <w:ind w:left="720"/>
        <w:jc w:val="both"/>
        <w:rPr>
          <w:rFonts w:asciiTheme="minorHAnsi" w:hAnsiTheme="minorHAnsi" w:cs="Arial"/>
        </w:rPr>
      </w:pPr>
      <w:r>
        <w:rPr>
          <w:rFonts w:asciiTheme="minorHAnsi" w:hAnsiTheme="minorHAnsi" w:cs="Arial"/>
        </w:rPr>
        <w:t>The study does not cover water quality testing, sanitation compliance, pricing optimization, automatic ordering of supplies, sensors or real-time monitoring, or other stations. Results apply to this station and may not hold for others. The accuracy of the forecasts depends on how complete and consistent the station's records are. Customer details are anonymized, so the retention module works on anonymous customer codes.</w:t>
      </w:r>
    </w:p>
    <w:p w14:paraId="5BFDF240" w14:textId="77777777" w:rsidR="002647B1" w:rsidRPr="002647B1" w:rsidRDefault="002647B1" w:rsidP="002647B1">
      <w:pPr>
        <w:rPr>
          <w:rFonts w:asciiTheme="minorHAnsi" w:hAnsiTheme="minorHAnsi" w:cs="Arial"/>
          <w:b/>
        </w:rPr>
      </w:pPr>
    </w:p>
    <w:p w14:paraId="4B6D7FD6" w14:textId="08426FCD" w:rsidR="001E53C3" w:rsidRPr="002647B1" w:rsidRDefault="001E53C3" w:rsidP="002647B1">
      <w:pPr>
        <w:pStyle w:val="ListParagraph"/>
        <w:numPr>
          <w:ilvl w:val="0"/>
          <w:numId w:val="4"/>
        </w:numPr>
        <w:rPr>
          <w:rFonts w:asciiTheme="minorHAnsi" w:hAnsiTheme="minorHAnsi" w:cs="Arial"/>
          <w:b/>
        </w:rPr>
      </w:pPr>
      <w:r w:rsidRPr="002647B1">
        <w:rPr>
          <w:rFonts w:asciiTheme="minorHAnsi" w:hAnsiTheme="minorHAnsi" w:cs="Arial"/>
          <w:b/>
        </w:rPr>
        <w:t>Target Beneficiaries:</w:t>
      </w:r>
    </w:p>
    <w:p w14:paraId="0D015C66" w14:textId="2CDF2F24" w:rsidR="002647B1" w:rsidRDefault="002647B1" w:rsidP="00F32137">
      <w:pPr>
        <w:ind w:left="720"/>
        <w:rPr>
          <w:rFonts w:asciiTheme="minorHAnsi" w:hAnsiTheme="minorHAnsi" w:cs="Arial"/>
          <w:b/>
        </w:rPr>
      </w:pPr>
    </w:p>
    <w:p w14:paraId="092053A5" w14:textId="05D032D9" w:rsidR="00F32137" w:rsidRPr="00F32137" w:rsidRDefault="00F32137" w:rsidP="007E33A8">
      <w:pPr>
        <w:ind w:left="720"/>
        <w:jc w:val="both"/>
        <w:rPr>
          <w:rFonts w:asciiTheme="minorHAnsi" w:hAnsiTheme="minorHAnsi" w:cs="Arial"/>
        </w:rPr>
      </w:pPr>
      <w:r>
        <w:rPr>
          <w:rFonts w:asciiTheme="minorHAnsi" w:hAnsiTheme="minorHAnsi" w:cs="Arial"/>
        </w:rPr>
        <w:t>Aquaplus owner and operators: plan stock, staff and delivery trips from a forecast and follow up customers who are drifting away, which protects sales.</w:t>
      </w:r>
    </w:p>
    <w:p w14:paraId="092053A5" w14:textId="05D032D9" w:rsidR="00F32137" w:rsidRPr="00F32137" w:rsidRDefault="00F32137" w:rsidP="007E33A8">
      <w:pPr>
        <w:ind w:left="720"/>
        <w:jc w:val="both"/>
        <w:rPr>
          <w:rFonts w:asciiTheme="minorHAnsi" w:hAnsiTheme="minorHAnsi" w:cs="Arial"/>
        </w:rPr>
      </w:pPr>
      <w:r>
        <w:rPr>
          <w:rFonts w:asciiTheme="minorHAnsi" w:hAnsiTheme="minorHAnsi" w:cs="Arial"/>
        </w:rPr>
        <w:t>Delivery staff: schedule trips with fewer wasted runs when delivery demand is predicted.</w:t>
      </w:r>
    </w:p>
    <w:p w14:paraId="092053A5" w14:textId="05D032D9" w:rsidR="00F32137" w:rsidRPr="00F32137" w:rsidRDefault="00F32137" w:rsidP="007E33A8">
      <w:pPr>
        <w:ind w:left="720"/>
        <w:jc w:val="both"/>
        <w:rPr>
          <w:rFonts w:asciiTheme="minorHAnsi" w:hAnsiTheme="minorHAnsi" w:cs="Arial"/>
        </w:rPr>
      </w:pPr>
      <w:r>
        <w:rPr>
          <w:rFonts w:asciiTheme="minorHAnsi" w:hAnsiTheme="minorHAnsi" w:cs="Arial"/>
        </w:rPr>
        <w:t>Regular customers: more reliable supply and timely follow-up from the station.</w:t>
      </w:r>
    </w:p>
    <w:p w14:paraId="092053A5" w14:textId="05D032D9" w:rsidR="00F32137" w:rsidRPr="00F32137" w:rsidRDefault="00F32137" w:rsidP="007E33A8">
      <w:pPr>
        <w:ind w:left="720"/>
        <w:jc w:val="both"/>
        <w:rPr>
          <w:rFonts w:asciiTheme="minorHAnsi" w:hAnsiTheme="minorHAnsi" w:cs="Arial"/>
        </w:rPr>
      </w:pPr>
      <w:r>
        <w:rPr>
          <w:rFonts w:asciiTheme="minorHAnsi" w:hAnsiTheme="minorHAnsi" w:cs="Arial"/>
        </w:rPr>
        <w:t>Other small refilling stations and small retailers: a documented, low-cost method they can adopt, indirectly.</w:t>
      </w:r>
    </w:p>
    <w:p w14:paraId="092053A5" w14:textId="05D032D9" w:rsidR="00F32137" w:rsidRPr="00F32137" w:rsidRDefault="00F32137" w:rsidP="007E33A8">
      <w:pPr>
        <w:ind w:left="720"/>
        <w:jc w:val="both"/>
        <w:rPr>
          <w:rFonts w:asciiTheme="minorHAnsi" w:hAnsiTheme="minorHAnsi" w:cs="Arial"/>
        </w:rPr>
      </w:pPr>
      <w:r>
        <w:rPr>
          <w:rFonts w:asciiTheme="minorHAnsi" w:hAnsiTheme="minorHAnsi" w:cs="Arial"/>
        </w:rPr>
        <w:t>Future students and researchers: a local case study that fills the gap in demand forecasting for small stations.</w:t>
      </w:r>
    </w:p>
    <w:p w14:paraId="3BAE0B9D" w14:textId="1F3B563F" w:rsidR="002647B1" w:rsidRDefault="002647B1" w:rsidP="002647B1">
      <w:pPr>
        <w:rPr>
          <w:rFonts w:asciiTheme="minorHAnsi" w:hAnsiTheme="minorHAnsi" w:cs="Arial"/>
          <w:b/>
        </w:rPr>
      </w:pPr>
    </w:p>
    <w:p w14:paraId="42687731" w14:textId="77777777" w:rsidR="007E33A8" w:rsidRPr="002647B1" w:rsidRDefault="007E33A8" w:rsidP="002647B1">
      <w:pPr>
        <w:rPr>
          <w:rFonts w:asciiTheme="minorHAnsi" w:hAnsiTheme="minorHAnsi" w:cs="Arial"/>
          <w:b/>
        </w:rPr>
      </w:pPr>
    </w:p>
    <w:p w14:paraId="5C81C4D6" w14:textId="4AEF24C2" w:rsidR="001967F0" w:rsidRDefault="001967F0" w:rsidP="001967F0">
      <w:pPr>
        <w:pStyle w:val="ListParagraph"/>
        <w:numPr>
          <w:ilvl w:val="0"/>
          <w:numId w:val="4"/>
        </w:numPr>
        <w:rPr>
          <w:rFonts w:asciiTheme="minorHAnsi" w:hAnsiTheme="minorHAnsi" w:cs="Arial"/>
          <w:b/>
        </w:rPr>
      </w:pPr>
      <w:r w:rsidRPr="001967F0">
        <w:rPr>
          <w:rFonts w:asciiTheme="minorHAnsi" w:hAnsiTheme="minorHAnsi" w:cs="Arial"/>
          <w:b/>
        </w:rPr>
        <w:t>SDG</w:t>
      </w:r>
      <w:r w:rsidR="007C3107">
        <w:rPr>
          <w:rFonts w:asciiTheme="minorHAnsi" w:hAnsiTheme="minorHAnsi" w:cs="Arial"/>
          <w:b/>
        </w:rPr>
        <w:t xml:space="preserve"> Category Number</w:t>
      </w:r>
      <w:r>
        <w:rPr>
          <w:rFonts w:asciiTheme="minorHAnsi" w:hAnsiTheme="minorHAnsi" w:cs="Arial"/>
          <w:b/>
        </w:rPr>
        <w:t xml:space="preserve">: </w:t>
      </w:r>
    </w:p>
    <w:p w14:paraId="426525D3" w14:textId="77777777" w:rsidR="001967F0" w:rsidRPr="001967F0" w:rsidRDefault="001967F0" w:rsidP="001967F0">
      <w:pPr>
        <w:pStyle w:val="ListParagraph"/>
        <w:jc w:val="both"/>
        <w:rPr>
          <w:rFonts w:asciiTheme="minorHAnsi" w:hAnsiTheme="minorHAnsi" w:cs="Arial"/>
          <w:b/>
        </w:rPr>
      </w:pPr>
      <w:r>
        <w:t>SDG 6, Clean Water and Sanitation (target 6.1, safe and affordable drinking water for all): a better planned small station keeps a reliable drinking water supply available to its community. The study also supports SDG 8, Decent Work and Economic Growth (target 8.3, growth of micro, small and medium-sized enterprises). [The group should confirm the SDG with the adviser.]</w:t>
      </w:r>
    </w:p>
    <w:p w14:paraId="1BE44668" w14:textId="77777777" w:rsidR="001967F0" w:rsidRDefault="001967F0" w:rsidP="001967F0">
      <w:pPr>
        <w:pStyle w:val="ListParagraph"/>
        <w:numPr>
          <w:ilvl w:val="0"/>
          <w:numId w:val="4"/>
        </w:numPr>
        <w:rPr>
          <w:rFonts w:asciiTheme="minorHAnsi" w:hAnsiTheme="minorHAnsi" w:cs="Arial"/>
          <w:b/>
        </w:rPr>
      </w:pPr>
      <w:r w:rsidRPr="007E33A8">
        <w:rPr>
          <w:rFonts w:asciiTheme="minorHAnsi" w:hAnsiTheme="minorHAnsi" w:cs="Arial"/>
          <w:b/>
        </w:rPr>
        <w:t>References:</w:t>
      </w:r>
    </w:p>
    <w:p w14:paraId="1F6DBD8E" w14:textId="77777777" w:rsidR="001967F0" w:rsidRDefault="001967F0" w:rsidP="001967F0">
      <w:pPr>
        <w:pStyle w:val="ListParagraph"/>
        <w:ind w:left="720" w:hanging="720"/>
        <w:jc w:val="left"/>
        <w:rPr>
          <w:rFonts w:asciiTheme="minorHAnsi" w:hAnsiTheme="minorHAnsi" w:cs="Arial"/>
        </w:rPr>
      </w:pPr>
      <w:r w:rsidRPr="007E33A8">
        <w:rPr>
          <w:rFonts w:asciiTheme="minorHAnsi" w:hAnsiTheme="minorHAnsi" w:cs="Arial"/>
        </w:rPr>
        <w:t>Akhmetbek, S. (2022). Forecasting customer future behavior in retail business using machine learning models. Scientific Journal of Astana IT University, 10, 45-60. doi:10.37943/ILMM7870</w:t>
      </w:r>
    </w:p>
    <w:p w14:paraId="1F6DBD8E" w14:textId="77777777" w:rsidR="001967F0" w:rsidRDefault="001967F0" w:rsidP="001967F0">
      <w:pPr>
        <w:pStyle w:val="ListParagraph"/>
        <w:ind w:left="720" w:hanging="720"/>
        <w:jc w:val="left"/>
        <w:rPr>
          <w:rFonts w:asciiTheme="minorHAnsi" w:hAnsiTheme="minorHAnsi" w:cs="Arial"/>
        </w:rPr>
      </w:pPr>
      <w:r w:rsidRPr="007E33A8">
        <w:rPr>
          <w:rFonts w:asciiTheme="minorHAnsi" w:hAnsiTheme="minorHAnsi" w:cs="Arial"/>
        </w:rPr>
        <w:t>Bergmeir, C., &amp; Benítez, J. M. (2012). On the use of cross-validation for time series predictor evaluation. Information Sciences, 191, 192-213. doi:10.1016/j.ins.2011.12.028</w:t>
      </w:r>
    </w:p>
    <w:p w14:paraId="1F6DBD8E" w14:textId="77777777" w:rsidR="001967F0" w:rsidRDefault="001967F0" w:rsidP="001967F0">
      <w:pPr>
        <w:pStyle w:val="ListParagraph"/>
        <w:ind w:left="720" w:hanging="720"/>
        <w:jc w:val="left"/>
        <w:rPr>
          <w:rFonts w:asciiTheme="minorHAnsi" w:hAnsiTheme="minorHAnsi" w:cs="Arial"/>
        </w:rPr>
      </w:pPr>
      <w:r w:rsidRPr="007E33A8">
        <w:rPr>
          <w:rFonts w:asciiTheme="minorHAnsi" w:hAnsiTheme="minorHAnsi" w:cs="Arial"/>
        </w:rPr>
        <w:t>Breiman, L. (2001). Random forests. Machine Learning, 45(1), 5-32. doi:10.1023/A:1010933404324</w:t>
      </w:r>
    </w:p>
    <w:p w14:paraId="1F6DBD8E" w14:textId="77777777" w:rsidR="001967F0" w:rsidRDefault="001967F0" w:rsidP="001967F0">
      <w:pPr>
        <w:pStyle w:val="ListParagraph"/>
        <w:ind w:left="720" w:hanging="720"/>
        <w:jc w:val="left"/>
        <w:rPr>
          <w:rFonts w:asciiTheme="minorHAnsi" w:hAnsiTheme="minorHAnsi" w:cs="Arial"/>
        </w:rPr>
      </w:pPr>
      <w:r w:rsidRPr="007E33A8">
        <w:rPr>
          <w:rFonts w:asciiTheme="minorHAnsi" w:hAnsiTheme="minorHAnsi" w:cs="Arial"/>
        </w:rPr>
        <w:t>Buckinx, W., &amp; Van den Poel, D. (2005). Customer base analysis: Partial defection of behaviourally loyal clients in a non-contractual FMCG retail setting. European Journal of Operational Research, 164(1), 252-268. doi:10.1016/j.ejor.2003.12.010</w:t>
      </w:r>
    </w:p>
    <w:p w14:paraId="1F6DBD8E" w14:textId="77777777" w:rsidR="001967F0" w:rsidRDefault="001967F0" w:rsidP="001967F0">
      <w:pPr>
        <w:pStyle w:val="ListParagraph"/>
        <w:ind w:left="720" w:hanging="720"/>
        <w:jc w:val="left"/>
        <w:rPr>
          <w:rFonts w:asciiTheme="minorHAnsi" w:hAnsiTheme="minorHAnsi" w:cs="Arial"/>
        </w:rPr>
      </w:pPr>
      <w:r w:rsidRPr="007E33A8">
        <w:rPr>
          <w:rFonts w:asciiTheme="minorHAnsi" w:hAnsiTheme="minorHAnsi" w:cs="Arial"/>
        </w:rPr>
        <w:t>Chen, T., &amp; Guestrin, C. (2016). XGBoost: A scalable tree boosting system. In Proceedings of the 22nd ACM SIGKDD International Conference on Knowledge Discovery and Data Mining (pp. 785-794). New York, NY: ACM. doi:10.1145/2939672.2939785</w:t>
      </w:r>
    </w:p>
    <w:p w14:paraId="1F6DBD8E" w14:textId="77777777" w:rsidR="001967F0" w:rsidRDefault="001967F0" w:rsidP="001967F0">
      <w:pPr>
        <w:pStyle w:val="ListParagraph"/>
        <w:ind w:left="720" w:hanging="720"/>
        <w:jc w:val="left"/>
        <w:rPr>
          <w:rFonts w:asciiTheme="minorHAnsi" w:hAnsiTheme="minorHAnsi" w:cs="Arial"/>
        </w:rPr>
      </w:pPr>
      <w:r w:rsidRPr="007E33A8">
        <w:rPr>
          <w:rFonts w:asciiTheme="minorHAnsi" w:hAnsiTheme="minorHAnsi" w:cs="Arial"/>
        </w:rPr>
        <w:t>Cope, M. A. B., Gutierrez, S. A. S., Mañalac, M. M. C., Ocampo, M. L. A. D. J., Perez, P. P., &amp; Quizon, R. R. (2013). Knowledge and practices of water refilling station owners and operators in providing safe and wholesome drinking water supply in one municipality of Cavite. Acta Medica Philippina, 47(2). doi:10.47895/amp.v47i2.1360</w:t>
      </w:r>
    </w:p>
    <w:p w14:paraId="1F6DBD8E" w14:textId="77777777" w:rsidR="001967F0" w:rsidRDefault="001967F0" w:rsidP="001967F0">
      <w:pPr>
        <w:pStyle w:val="ListParagraph"/>
        <w:ind w:left="720" w:hanging="720"/>
        <w:jc w:val="left"/>
        <w:rPr>
          <w:rFonts w:asciiTheme="minorHAnsi" w:hAnsiTheme="minorHAnsi" w:cs="Arial"/>
        </w:rPr>
      </w:pPr>
      <w:r w:rsidRPr="007E33A8">
        <w:rPr>
          <w:rFonts w:asciiTheme="minorHAnsi" w:hAnsiTheme="minorHAnsi" w:cs="Arial"/>
        </w:rPr>
        <w:t>Department of Health. (1999). Supplemental implementing rules and regulations of Chapter II (Water Supply) of the Code on Sanitation of the Philippines (PD 856). Retrieved from https://dev.lawyerly.ph/laws/48321</w:t>
      </w:r>
    </w:p>
    <w:p w14:paraId="1F6DBD8E" w14:textId="77777777" w:rsidR="001967F0" w:rsidRDefault="001967F0" w:rsidP="001967F0">
      <w:pPr>
        <w:pStyle w:val="ListParagraph"/>
        <w:ind w:left="720" w:hanging="720"/>
        <w:jc w:val="left"/>
        <w:rPr>
          <w:rFonts w:asciiTheme="minorHAnsi" w:hAnsiTheme="minorHAnsi" w:cs="Arial"/>
        </w:rPr>
      </w:pPr>
      <w:r w:rsidRPr="007E33A8">
        <w:rPr>
          <w:rFonts w:asciiTheme="minorHAnsi" w:hAnsiTheme="minorHAnsi" w:cs="Arial"/>
        </w:rPr>
        <w:t>Fader, P. S., Hardie, B. G. S., &amp; Lee, K. L. (2005). "Counting your customers" the easy way: An alternative to the Pareto/NBD model. Marketing Science, 24(2), 275-284. doi:10.1287/mksc.1040.0098</w:t>
      </w:r>
    </w:p>
    <w:p w14:paraId="1F6DBD8E" w14:textId="77777777" w:rsidR="001967F0" w:rsidRDefault="001967F0" w:rsidP="001967F0">
      <w:pPr>
        <w:pStyle w:val="ListParagraph"/>
        <w:ind w:left="720" w:hanging="720"/>
        <w:jc w:val="left"/>
        <w:rPr>
          <w:rFonts w:asciiTheme="minorHAnsi" w:hAnsiTheme="minorHAnsi" w:cs="Arial"/>
        </w:rPr>
      </w:pPr>
      <w:r w:rsidRPr="007E33A8">
        <w:rPr>
          <w:rFonts w:asciiTheme="minorHAnsi" w:hAnsiTheme="minorHAnsi" w:cs="Arial"/>
        </w:rPr>
        <w:t>Fatima, A., &amp; Salam, M. A. (2026). A data-driven predictive framework for inventory optimization using context-augmented machine learning models. arXiv:2601.05033. Retrieved from https://arxiv.org/abs/2601.05033</w:t>
      </w:r>
    </w:p>
    <w:p w14:paraId="1F6DBD8E" w14:textId="77777777" w:rsidR="001967F0" w:rsidRDefault="001967F0" w:rsidP="001967F0">
      <w:pPr>
        <w:pStyle w:val="ListParagraph"/>
        <w:ind w:left="720" w:hanging="720"/>
        <w:jc w:val="left"/>
        <w:rPr>
          <w:rFonts w:asciiTheme="minorHAnsi" w:hAnsiTheme="minorHAnsi" w:cs="Arial"/>
        </w:rPr>
      </w:pPr>
      <w:r w:rsidRPr="007E33A8">
        <w:rPr>
          <w:rFonts w:asciiTheme="minorHAnsi" w:hAnsiTheme="minorHAnsi" w:cs="Arial"/>
        </w:rPr>
        <w:t>Hyndman, R. J., &amp; Athanasopoulos, G. (2021). Forecasting: Principles and practice (3rd ed.). Melbourne, Australia: OTexts. Retrieved from https://otexts.com/fpp3/</w:t>
      </w:r>
    </w:p>
    <w:p w14:paraId="1F6DBD8E" w14:textId="77777777" w:rsidR="001967F0" w:rsidRDefault="001967F0" w:rsidP="001967F0">
      <w:pPr>
        <w:pStyle w:val="ListParagraph"/>
        <w:ind w:left="720" w:hanging="720"/>
        <w:jc w:val="left"/>
        <w:rPr>
          <w:rFonts w:asciiTheme="minorHAnsi" w:hAnsiTheme="minorHAnsi" w:cs="Arial"/>
        </w:rPr>
      </w:pPr>
      <w:r w:rsidRPr="007E33A8">
        <w:rPr>
          <w:rFonts w:asciiTheme="minorHAnsi" w:hAnsiTheme="minorHAnsi" w:cs="Arial"/>
        </w:rPr>
        <w:t>Hyndman, R. J., &amp; Koehler, A. B. (2006). Another look at measures of forecast accuracy. International Journal of Forecasting, 22(4), 679-688. doi:10.1016/j.ijforecast.2006.03.001</w:t>
      </w:r>
    </w:p>
    <w:p w14:paraId="1F6DBD8E" w14:textId="77777777" w:rsidR="001967F0" w:rsidRDefault="001967F0" w:rsidP="001967F0">
      <w:pPr>
        <w:pStyle w:val="ListParagraph"/>
        <w:ind w:left="720" w:hanging="720"/>
        <w:jc w:val="left"/>
        <w:rPr>
          <w:rFonts w:asciiTheme="minorHAnsi" w:hAnsiTheme="minorHAnsi" w:cs="Arial"/>
        </w:rPr>
      </w:pPr>
      <w:r w:rsidRPr="007E33A8">
        <w:rPr>
          <w:rFonts w:asciiTheme="minorHAnsi" w:hAnsiTheme="minorHAnsi" w:cs="Arial"/>
        </w:rPr>
        <w:t>Makridakis, S., Spiliotis, E., &amp; Assimakopoulos, V. (2018). Statistical and machine learning forecasting methods: Concerns and ways forward. PLOS ONE, 13(3), e0194889. doi:10.1371/journal.pone.0194889</w:t>
      </w:r>
    </w:p>
    <w:p w14:paraId="1F6DBD8E" w14:textId="77777777" w:rsidR="001967F0" w:rsidRDefault="001967F0" w:rsidP="001967F0">
      <w:pPr>
        <w:pStyle w:val="ListParagraph"/>
        <w:ind w:left="720" w:hanging="720"/>
        <w:jc w:val="left"/>
        <w:rPr>
          <w:rFonts w:asciiTheme="minorHAnsi" w:hAnsiTheme="minorHAnsi" w:cs="Arial"/>
        </w:rPr>
      </w:pPr>
      <w:r w:rsidRPr="007E33A8">
        <w:rPr>
          <w:rFonts w:asciiTheme="minorHAnsi" w:hAnsiTheme="minorHAnsi" w:cs="Arial"/>
        </w:rPr>
        <w:t>Makridakis, S., Spiliotis, E., &amp; Assimakopoulos, V. (2020). The M4 competition: 100,000 time series and 61 forecasting methods. International Journal of Forecasting, 36(1), 54-74. doi:10.1016/j.ijforecast.2019.04.014</w:t>
      </w:r>
    </w:p>
    <w:p w14:paraId="1F6DBD8E" w14:textId="77777777" w:rsidR="001967F0" w:rsidRDefault="001967F0" w:rsidP="001967F0">
      <w:pPr>
        <w:pStyle w:val="ListParagraph"/>
        <w:ind w:left="720" w:hanging="720"/>
        <w:jc w:val="left"/>
        <w:rPr>
          <w:rFonts w:asciiTheme="minorHAnsi" w:hAnsiTheme="minorHAnsi" w:cs="Arial"/>
        </w:rPr>
      </w:pPr>
      <w:r w:rsidRPr="007E33A8">
        <w:rPr>
          <w:rFonts w:asciiTheme="minorHAnsi" w:hAnsiTheme="minorHAnsi" w:cs="Arial"/>
        </w:rPr>
        <w:t>Molina, V. B., Quizon, R. R., Fadrilan-Camacho, V. F. F., Lee-Delos Reyes, C., Deauna, J. P., II, Agosto, H. C., ... Magtibay, B. B. (2016). Development of water safety plan models for water refilling stations in the Philippines. Acta Medica Philippina, 50(3). doi:10.47895/amp.v50i3.817</w:t>
      </w:r>
    </w:p>
    <w:p w14:paraId="1F6DBD8E" w14:textId="77777777" w:rsidR="001967F0" w:rsidRDefault="001967F0" w:rsidP="001967F0">
      <w:pPr>
        <w:pStyle w:val="ListParagraph"/>
        <w:ind w:left="720" w:hanging="720"/>
        <w:jc w:val="left"/>
        <w:rPr>
          <w:rFonts w:asciiTheme="minorHAnsi" w:hAnsiTheme="minorHAnsi" w:cs="Arial"/>
        </w:rPr>
      </w:pPr>
      <w:r w:rsidRPr="007E33A8">
        <w:rPr>
          <w:rFonts w:asciiTheme="minorHAnsi" w:hAnsiTheme="minorHAnsi" w:cs="Arial"/>
        </w:rPr>
        <w:t>Presidential Decree No. 856. (1975). Code on sanitation of the Philippines. Retrieved from https://lpr.adb.org/sites/default/files/2024-05/philippines-presidential-decree-no-856-s-1975.pdf</w:t>
      </w:r>
    </w:p>
    <w:p w14:paraId="1F6DBD8E" w14:textId="77777777" w:rsidR="001967F0" w:rsidRDefault="001967F0" w:rsidP="001967F0">
      <w:pPr>
        <w:pStyle w:val="ListParagraph"/>
        <w:ind w:left="720" w:hanging="720"/>
        <w:jc w:val="left"/>
        <w:rPr>
          <w:rFonts w:asciiTheme="minorHAnsi" w:hAnsiTheme="minorHAnsi" w:cs="Arial"/>
        </w:rPr>
      </w:pPr>
      <w:r w:rsidRPr="007E33A8">
        <w:rPr>
          <w:rFonts w:asciiTheme="minorHAnsi" w:hAnsiTheme="minorHAnsi" w:cs="Arial"/>
        </w:rPr>
        <w:t>Republic Act No. 10173. (2012). Data Privacy Act of 2012. Retrieved from https://www.lawphil.net/statutes/repacts/ra2012/ra_10173_2012.html</w:t>
      </w:r>
    </w:p>
    <w:p w14:paraId="1F6DBD8E" w14:textId="77777777" w:rsidR="001967F0" w:rsidRDefault="001967F0" w:rsidP="001967F0">
      <w:pPr>
        <w:pStyle w:val="ListParagraph"/>
        <w:ind w:left="720" w:hanging="720"/>
        <w:jc w:val="left"/>
        <w:rPr>
          <w:rFonts w:asciiTheme="minorHAnsi" w:hAnsiTheme="minorHAnsi" w:cs="Arial"/>
        </w:rPr>
      </w:pPr>
      <w:r w:rsidRPr="007E33A8">
        <w:rPr>
          <w:rFonts w:asciiTheme="minorHAnsi" w:hAnsiTheme="minorHAnsi" w:cs="Arial"/>
        </w:rPr>
        <w:t>Shahar, N. A. M., Mutalib, S., Halim, S. A., &amp; Ramdhan, W. (2024). Sales forecasting using machine learning methods for online store. In Proceedings of the International Conference on Innovation &amp; Entrepreneurship in Computing, Engineering &amp; Science Education (InvENT 2024). Atlantis Press. doi:10.2991/978-94-6463-589-8_6</w:t>
      </w:r>
    </w:p>
    <w:p w14:paraId="1F6DBD8E" w14:textId="77777777" w:rsidR="001967F0" w:rsidRDefault="001967F0" w:rsidP="001967F0">
      <w:pPr>
        <w:pStyle w:val="ListParagraph"/>
        <w:ind w:left="720" w:hanging="720"/>
        <w:jc w:val="left"/>
        <w:rPr>
          <w:rFonts w:asciiTheme="minorHAnsi" w:hAnsiTheme="minorHAnsi" w:cs="Arial"/>
        </w:rPr>
      </w:pPr>
      <w:r w:rsidRPr="007E33A8">
        <w:rPr>
          <w:rFonts w:asciiTheme="minorHAnsi" w:hAnsiTheme="minorHAnsi" w:cs="Arial"/>
        </w:rPr>
        <w:t>Taylor, S. J., &amp; Letham, B. (2018). Forecasting at scale. The American Statistician, 72(1), 37-45. doi:10.1080/00031305.2017.1380080</w:t>
      </w:r>
    </w:p>
    <w:p w14:paraId="1F6DBD8E" w14:textId="77777777" w:rsidR="001967F0" w:rsidRDefault="001967F0" w:rsidP="001967F0">
      <w:pPr>
        <w:pStyle w:val="ListParagraph"/>
        <w:ind w:left="720" w:hanging="720"/>
        <w:jc w:val="left"/>
        <w:rPr>
          <w:rFonts w:asciiTheme="minorHAnsi" w:hAnsiTheme="minorHAnsi" w:cs="Arial"/>
        </w:rPr>
      </w:pPr>
      <w:r w:rsidRPr="007E33A8">
        <w:rPr>
          <w:rFonts w:asciiTheme="minorHAnsi" w:hAnsiTheme="minorHAnsi" w:cs="Arial"/>
        </w:rPr>
        <w:t>United Nations. (2015). Transforming our world: The 2030 agenda for sustainable development. Retrieved from https://sdgs.un.org/2030agenda</w:t>
      </w:r>
    </w:p>
    <w:p w14:paraId="1F6DBD8E" w14:textId="77777777" w:rsidR="001967F0" w:rsidRDefault="001967F0" w:rsidP="001967F0">
      <w:pPr>
        <w:pStyle w:val="ListParagraph"/>
        <w:ind w:left="720" w:hanging="720"/>
        <w:jc w:val="left"/>
        <w:rPr>
          <w:rFonts w:asciiTheme="minorHAnsi" w:hAnsiTheme="minorHAnsi" w:cs="Arial"/>
        </w:rPr>
      </w:pPr>
      <w:r w:rsidRPr="007E33A8">
        <w:rPr>
          <w:rFonts w:asciiTheme="minorHAnsi" w:hAnsiTheme="minorHAnsi" w:cs="Arial"/>
        </w:rPr>
        <w:t>Verbeke, W., Dejaeger, K., Martens, D., Hur, J., &amp; Baesens, B. (2012). New insights into churn prediction in the telecommunication sector: A profit driven data mining approach. European Journal of Operational Research, 218(1), 211-229. doi:10.1016/j.ejor.2011.09.031</w:t>
      </w:r>
    </w:p>
    <w:p w14:paraId="2E16418B" w14:textId="77777777" w:rsidR="001967F0" w:rsidRPr="001967F0" w:rsidRDefault="001967F0" w:rsidP="001967F0">
      <w:pPr>
        <w:rPr>
          <w:rFonts w:asciiTheme="minorHAnsi" w:hAnsiTheme="minorHAnsi" w:cs="Arial"/>
          <w:b/>
        </w:rPr>
      </w:pPr>
    </w:p>
    <w:p w14:paraId="167C7AF4" w14:textId="4085A8B3" w:rsidR="007E33A8" w:rsidRDefault="007E33A8" w:rsidP="007E33A8">
      <w:pPr>
        <w:pStyle w:val="ListParagraph"/>
        <w:rPr>
          <w:rFonts w:asciiTheme="minorHAnsi" w:hAnsiTheme="minorHAnsi" w:cs="Arial"/>
          <w:b/>
        </w:rPr>
      </w:pPr>
    </w:p>
    <w:p w14:paraId="78BD49BD" w14:textId="77777777" w:rsidR="001967F0" w:rsidRDefault="001967F0" w:rsidP="0047147E">
      <w:pPr>
        <w:rPr>
          <w:rFonts w:asciiTheme="minorHAnsi" w:hAnsiTheme="minorHAnsi" w:cs="Arial"/>
        </w:rPr>
      </w:pPr>
    </w:p>
    <w:p w14:paraId="10C2C609" w14:textId="7BF9CE11" w:rsidR="001967F0" w:rsidRPr="000917AA" w:rsidRDefault="001967F0" w:rsidP="0047147E">
      <w:pPr>
        <w:rPr>
          <w:rFonts w:asciiTheme="minorHAnsi" w:hAnsiTheme="minorHAnsi" w:cs="Arial"/>
          <w:b/>
        </w:rPr>
      </w:pPr>
      <w:r w:rsidRPr="000917AA">
        <w:rPr>
          <w:rFonts w:asciiTheme="minorHAnsi" w:hAnsiTheme="minorHAnsi" w:cs="Arial"/>
          <w:b/>
        </w:rPr>
        <w:t xml:space="preserve"> Approved by:</w:t>
      </w:r>
    </w:p>
    <w:p w14:paraId="1B33F55A" w14:textId="77777777" w:rsidR="001967F0" w:rsidRDefault="001967F0" w:rsidP="0047147E">
      <w:pPr>
        <w:rPr>
          <w:rFonts w:asciiTheme="minorHAnsi" w:hAnsiTheme="minorHAnsi" w:cs="Arial"/>
        </w:rPr>
      </w:pPr>
    </w:p>
    <w:p w14:paraId="5D76A7B6" w14:textId="01CA4B11" w:rsidR="001967F0" w:rsidRDefault="001967F0" w:rsidP="0047147E">
      <w:pPr>
        <w:rPr>
          <w:rFonts w:asciiTheme="minorHAnsi" w:hAnsiTheme="minorHAnsi" w:cs="Arial"/>
        </w:rPr>
      </w:pPr>
      <w:r>
        <w:rPr>
          <w:rFonts w:asciiTheme="minorHAnsi" w:hAnsiTheme="minorHAnsi" w:cs="Arial"/>
        </w:rPr>
        <w:t>______________</w:t>
      </w:r>
    </w:p>
    <w:p w14:paraId="2C0CCABC" w14:textId="6DF8930B" w:rsidR="001967F0" w:rsidRPr="000917AA" w:rsidRDefault="001967F0" w:rsidP="0047147E">
      <w:pPr>
        <w:rPr>
          <w:rFonts w:asciiTheme="minorHAnsi" w:hAnsiTheme="minorHAnsi" w:cs="Arial"/>
          <w:b/>
        </w:rPr>
      </w:pPr>
      <w:r w:rsidRPr="000917AA">
        <w:rPr>
          <w:rFonts w:asciiTheme="minorHAnsi" w:hAnsiTheme="minorHAnsi" w:cs="Arial"/>
          <w:b/>
        </w:rPr>
        <w:t>Panel Member 1</w:t>
      </w:r>
    </w:p>
    <w:p w14:paraId="79AC249C" w14:textId="77777777" w:rsidR="001967F0" w:rsidRDefault="001967F0" w:rsidP="0047147E">
      <w:pPr>
        <w:rPr>
          <w:rFonts w:asciiTheme="minorHAnsi" w:hAnsiTheme="minorHAnsi" w:cs="Arial"/>
        </w:rPr>
      </w:pPr>
    </w:p>
    <w:p w14:paraId="7A70E84B" w14:textId="77777777" w:rsidR="001967F0" w:rsidRDefault="001967F0" w:rsidP="0047147E">
      <w:pPr>
        <w:rPr>
          <w:rFonts w:asciiTheme="minorHAnsi" w:hAnsiTheme="minorHAnsi" w:cs="Arial"/>
        </w:rPr>
      </w:pPr>
    </w:p>
    <w:p w14:paraId="22AEB587" w14:textId="77777777" w:rsidR="001967F0" w:rsidRDefault="001967F0" w:rsidP="001967F0">
      <w:pPr>
        <w:rPr>
          <w:rFonts w:asciiTheme="minorHAnsi" w:hAnsiTheme="minorHAnsi" w:cs="Arial"/>
        </w:rPr>
      </w:pPr>
      <w:r>
        <w:rPr>
          <w:rFonts w:asciiTheme="minorHAnsi" w:hAnsiTheme="minorHAnsi" w:cs="Arial"/>
        </w:rPr>
        <w:t>______________</w:t>
      </w:r>
    </w:p>
    <w:p w14:paraId="2376C5A0" w14:textId="742DFD03" w:rsidR="001967F0" w:rsidRPr="000917AA" w:rsidRDefault="001967F0" w:rsidP="001967F0">
      <w:pPr>
        <w:rPr>
          <w:rFonts w:asciiTheme="minorHAnsi" w:hAnsiTheme="minorHAnsi" w:cs="Arial"/>
          <w:b/>
        </w:rPr>
      </w:pPr>
      <w:r w:rsidRPr="000917AA">
        <w:rPr>
          <w:rFonts w:asciiTheme="minorHAnsi" w:hAnsiTheme="minorHAnsi" w:cs="Arial"/>
          <w:b/>
        </w:rPr>
        <w:t>Panel Member 2</w:t>
      </w:r>
    </w:p>
    <w:p w14:paraId="1E884CD7" w14:textId="77777777" w:rsidR="001967F0" w:rsidRPr="001A4029" w:rsidRDefault="001967F0" w:rsidP="001967F0">
      <w:pPr>
        <w:rPr>
          <w:rFonts w:asciiTheme="minorHAnsi" w:hAnsiTheme="minorHAnsi" w:cs="Arial"/>
        </w:rPr>
      </w:pPr>
    </w:p>
    <w:p w14:paraId="588C8A9E" w14:textId="77777777" w:rsidR="001967F0" w:rsidRDefault="001967F0" w:rsidP="0047147E">
      <w:pPr>
        <w:rPr>
          <w:rFonts w:asciiTheme="minorHAnsi" w:hAnsiTheme="minorHAnsi" w:cs="Arial"/>
        </w:rPr>
      </w:pPr>
    </w:p>
    <w:p w14:paraId="439155AD" w14:textId="39909D92" w:rsidR="00FF1561" w:rsidRDefault="00FF1561" w:rsidP="0047147E">
      <w:pPr>
        <w:rPr>
          <w:rFonts w:asciiTheme="minorHAnsi" w:hAnsiTheme="minorHAnsi" w:cs="Arial"/>
          <w:b/>
        </w:rPr>
      </w:pPr>
      <w:r w:rsidRPr="00FF1561">
        <w:rPr>
          <w:rFonts w:asciiTheme="minorHAnsi" w:hAnsiTheme="minorHAnsi" w:cs="Arial"/>
          <w:b/>
        </w:rPr>
        <w:t xml:space="preserve">Noted by: </w:t>
      </w:r>
    </w:p>
    <w:p w14:paraId="39634ED3" w14:textId="77777777" w:rsidR="00FF1561" w:rsidRDefault="00FF1561" w:rsidP="0047147E">
      <w:pPr>
        <w:rPr>
          <w:rFonts w:asciiTheme="minorHAnsi" w:hAnsiTheme="minorHAnsi" w:cs="Arial"/>
          <w:b/>
        </w:rPr>
      </w:pPr>
    </w:p>
    <w:p w14:paraId="31D3B6D1" w14:textId="632161BD" w:rsidR="00FF1561" w:rsidRDefault="00FF1561" w:rsidP="0047147E">
      <w:pPr>
        <w:rPr>
          <w:rFonts w:asciiTheme="minorHAnsi" w:hAnsiTheme="minorHAnsi" w:cs="Arial"/>
          <w:b/>
        </w:rPr>
      </w:pPr>
      <w:r>
        <w:rPr>
          <w:rFonts w:asciiTheme="minorHAnsi" w:hAnsiTheme="minorHAnsi" w:cs="Arial"/>
          <w:b/>
        </w:rPr>
        <w:t>___________________</w:t>
      </w:r>
    </w:p>
    <w:p w14:paraId="22193250" w14:textId="03801139" w:rsidR="00FF1561" w:rsidRPr="00FF1561" w:rsidRDefault="00FF1561" w:rsidP="0047147E">
      <w:pPr>
        <w:rPr>
          <w:rFonts w:asciiTheme="minorHAnsi" w:hAnsiTheme="minorHAnsi" w:cs="Arial"/>
          <w:b/>
        </w:rPr>
      </w:pPr>
      <w:r>
        <w:rPr>
          <w:rFonts w:asciiTheme="minorHAnsi" w:hAnsiTheme="minorHAnsi" w:cs="Arial"/>
          <w:b/>
        </w:rPr>
        <w:t>Thesis 1 Course Adviser</w:t>
      </w:r>
    </w:p>
    <w:sectPr w:rsidR="00FF1561" w:rsidRPr="00FF1561" w:rsidSect="0097551F">
      <w:headerReference w:type="first" r:id="rId8"/>
      <w:pgSz w:w="12240" w:h="18720" w:code="1"/>
      <w:pgMar w:top="813" w:right="1152" w:bottom="720" w:left="1152"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51B7B7" w14:textId="77777777" w:rsidR="0060597B" w:rsidRDefault="0060597B">
      <w:r>
        <w:separator/>
      </w:r>
    </w:p>
  </w:endnote>
  <w:endnote w:type="continuationSeparator" w:id="0">
    <w:p w14:paraId="2B048D4D" w14:textId="77777777" w:rsidR="0060597B" w:rsidRDefault="006059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8D094" w14:textId="77777777" w:rsidR="0060597B" w:rsidRDefault="0060597B">
      <w:r>
        <w:separator/>
      </w:r>
    </w:p>
  </w:footnote>
  <w:footnote w:type="continuationSeparator" w:id="0">
    <w:p w14:paraId="3AA99B3B" w14:textId="77777777" w:rsidR="0060597B" w:rsidRDefault="006059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5DACB" w14:textId="1AB3D998" w:rsidR="001A4029" w:rsidRPr="004E6863" w:rsidRDefault="00FF49C9" w:rsidP="001A4029">
    <w:pPr>
      <w:pStyle w:val="Header"/>
      <w:ind w:firstLine="720"/>
      <w:jc w:val="right"/>
      <w:rPr>
        <w:rFonts w:ascii="Verdana" w:hAnsi="Verdana"/>
        <w:b/>
        <w:sz w:val="16"/>
        <w:szCs w:val="16"/>
      </w:rPr>
    </w:pPr>
    <w:r>
      <w:rPr>
        <w:rFonts w:ascii="Verdana" w:hAnsi="Verdana"/>
        <w:b/>
        <w:noProof/>
        <w:sz w:val="16"/>
        <w:szCs w:val="16"/>
      </w:rPr>
      <mc:AlternateContent>
        <mc:Choice Requires="wps">
          <w:drawing>
            <wp:anchor distT="0" distB="0" distL="114300" distR="114300" simplePos="0" relativeHeight="251657728" behindDoc="0" locked="0" layoutInCell="1" allowOverlap="1" wp14:anchorId="755DED2F" wp14:editId="5574ED54">
              <wp:simplePos x="0" y="0"/>
              <wp:positionH relativeFrom="margin">
                <wp:align>center</wp:align>
              </wp:positionH>
              <wp:positionV relativeFrom="paragraph">
                <wp:posOffset>10795</wp:posOffset>
              </wp:positionV>
              <wp:extent cx="3308985" cy="239395"/>
              <wp:effectExtent l="0" t="0" r="0" b="8255"/>
              <wp:wrapNone/>
              <wp:docPr id="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08985" cy="239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0AD81D" w14:textId="77777777" w:rsidR="00BA4842" w:rsidRPr="00FF49C9" w:rsidRDefault="00BA4842" w:rsidP="00BA4842">
                          <w:pPr>
                            <w:jc w:val="right"/>
                            <w:rPr>
                              <w:rFonts w:asciiTheme="minorHAnsi" w:hAnsiTheme="minorHAnsi" w:cstheme="minorHAnsi"/>
                              <w:b/>
                              <w:sz w:val="20"/>
                            </w:rPr>
                          </w:pPr>
                          <w:r w:rsidRPr="00FF49C9">
                            <w:rPr>
                              <w:rFonts w:asciiTheme="minorHAnsi" w:hAnsiTheme="minorHAnsi" w:cstheme="minorHAnsi"/>
                              <w:b/>
                              <w:sz w:val="20"/>
                            </w:rPr>
                            <w:t>COLLEGE OF COMPUTER STUDIES DEPARTMENT</w:t>
                          </w:r>
                        </w:p>
                        <w:p w14:paraId="1E482098" w14:textId="154EAB35" w:rsidR="001A4029" w:rsidRPr="00F96465" w:rsidRDefault="001A4029" w:rsidP="001A4029">
                          <w:pPr>
                            <w:jc w:val="right"/>
                            <w:rPr>
                              <w:rFonts w:asciiTheme="minorHAnsi" w:hAnsiTheme="minorHAnsi" w:cstheme="minorHAnsi"/>
                              <w:b/>
                              <w:sz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w:pict>
            <v:shapetype w14:anchorId="755DED2F" id="_x0000_t202" coordsize="21600,21600" o:spt="202" path="m,l,21600r21600,l21600,xe">
              <v:stroke joinstyle="miter"/>
              <v:path gradientshapeok="t" o:connecttype="rect"/>
            </v:shapetype>
            <v:shape id="Text Box 5" o:spid="_x0000_s1026" type="#_x0000_t202" style="position:absolute;left:0;text-align:left;margin-left:0;margin-top:.85pt;width:260.55pt;height:18.85pt;z-index:2516577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" filled="f" stroked="f">
              <v:textbox>
                <w:txbxContent>
                  <w:p w14:paraId="060AD81D" w14:textId="77777777" w:rsidR="00BA4842" w:rsidRPr="00FF49C9" w:rsidRDefault="00BA4842" w:rsidP="00BA4842">
                    <w:pPr>
                      <w:jc w:val="right"/>
                      <w:rPr>
                        <w:rFonts w:asciiTheme="minorHAnsi" w:hAnsiTheme="minorHAnsi" w:cstheme="minorHAnsi"/>
                        <w:b/>
                        <w:sz w:val="20"/>
                      </w:rPr>
                    </w:pPr>
                    <w:r w:rsidRPr="00FF49C9">
                      <w:rPr>
                        <w:rFonts w:asciiTheme="minorHAnsi" w:hAnsiTheme="minorHAnsi" w:cstheme="minorHAnsi"/>
                        <w:b/>
                        <w:sz w:val="20"/>
                      </w:rPr>
                      <w:t>COLLEGE OF COMPUTER STUDIES DEPARTMENT</w:t>
                    </w:r>
                  </w:p>
                  <w:p w14:paraId="1E482098" w14:textId="154EAB35" w:rsidR="001A4029" w:rsidRPr="00F96465" w:rsidRDefault="001A4029" w:rsidP="001A4029">
                    <w:pPr>
                      <w:jc w:val="right"/>
                      <w:rPr>
                        <w:rFonts w:asciiTheme="minorHAnsi" w:hAnsiTheme="minorHAnsi" w:cstheme="minorHAnsi"/>
                        <w:b/>
                        <w:sz w:val="16"/>
                      </w:rPr>
                    </w:pPr>
                  </w:p>
                </w:txbxContent>
              </v:textbox>
              <w10:wrap anchorx="margin"/>
            </v:shape>
          </w:pict>
        </mc:Fallback>
      </mc:AlternateContent>
    </w:r>
    <w:r>
      <w:rPr>
        <w:rFonts w:ascii="Verdana" w:hAnsi="Verdana"/>
        <w:b/>
        <w:noProof/>
        <w:sz w:val="16"/>
        <w:szCs w:val="16"/>
      </w:rPr>
      <mc:AlternateContent>
        <mc:Choice Requires="wps">
          <w:drawing>
            <wp:anchor distT="0" distB="0" distL="114300" distR="114300" simplePos="0" relativeHeight="251658752" behindDoc="0" locked="0" layoutInCell="1" allowOverlap="1" wp14:anchorId="60A7BE9B" wp14:editId="73F1C76B">
              <wp:simplePos x="0" y="0"/>
              <wp:positionH relativeFrom="column">
                <wp:posOffset>0</wp:posOffset>
              </wp:positionH>
              <wp:positionV relativeFrom="paragraph">
                <wp:posOffset>283845</wp:posOffset>
              </wp:positionV>
              <wp:extent cx="6286500" cy="0"/>
              <wp:effectExtent l="28575" t="36195" r="28575" b="30480"/>
              <wp:wrapNone/>
              <wp:docPr id="1"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86500" cy="0"/>
                      </a:xfrm>
                      <a:prstGeom prst="line">
                        <a:avLst/>
                      </a:prstGeom>
                      <a:noFill/>
                      <a:ln w="57150" cmpd="thinThick">
                        <a:solidFill>
                          <a:srgbClr val="0066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line w14:anchorId="140837D5" id="Line 6"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2.35pt" to="495pt,2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" strokecolor="#060" strokeweight="4.5pt">
              <v:stroke linestyle="thinThick"/>
            </v:line>
          </w:pict>
        </mc:Fallback>
      </mc:AlternateContent>
    </w:r>
  </w:p>
  <w:p w14:paraId="761796AD" w14:textId="77777777" w:rsidR="001A4029" w:rsidRPr="005A16B9" w:rsidRDefault="001A4029" w:rsidP="001A4029">
    <w:pPr>
      <w:pStyle w:val="Header"/>
      <w:rPr>
        <w:szCs w:val="16"/>
      </w:rPr>
    </w:pPr>
  </w:p>
  <w:p w14:paraId="01FC717F" w14:textId="77777777" w:rsidR="001A4029" w:rsidRDefault="001A4029" w:rsidP="001A40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94BF4"/>
    <w:multiLevelType w:val="hybridMultilevel"/>
    <w:tmpl w:val="93A0EA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F73F00"/>
    <w:multiLevelType w:val="hybridMultilevel"/>
    <w:tmpl w:val="F6D4A89E"/>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3DC01D49"/>
    <w:multiLevelType w:val="multilevel"/>
    <w:tmpl w:val="3CFE313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47E266D9"/>
    <w:multiLevelType w:val="hybridMultilevel"/>
    <w:tmpl w:val="195A0062"/>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7DE87CBB"/>
    <w:multiLevelType w:val="hybridMultilevel"/>
    <w:tmpl w:val="C6DEC1E8"/>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5">
    <w:lvl w:ilvl="0">
      <w:start w:val="1"/>
      <w:numFmt w:val="decimal"/>
      <w:lvlText w:val="%1."/>
      <w:lvlJc w:val="left"/>
      <w:pPr>
        <w:ind w:left="720" w:hanging="360"/>
      </w:pPr>
    </w:lvl>
  </w:abstractNum>
  <w:num w:numId="1" w16cid:durableId="1774741532">
    <w:abstractNumId w:val="1"/>
  </w:num>
  <w:num w:numId="2" w16cid:durableId="638849358">
    <w:abstractNumId w:val="3"/>
  </w:num>
  <w:num w:numId="3" w16cid:durableId="1465661007">
    <w:abstractNumId w:val="0"/>
  </w:num>
  <w:num w:numId="4" w16cid:durableId="636955039">
    <w:abstractNumId w:val="2"/>
  </w:num>
  <w:num w:numId="5" w16cid:durableId="1291470457">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6863"/>
    <w:rsid w:val="00016DDA"/>
    <w:rsid w:val="00016F3B"/>
    <w:rsid w:val="00030F0C"/>
    <w:rsid w:val="0006162B"/>
    <w:rsid w:val="00062F2D"/>
    <w:rsid w:val="00063316"/>
    <w:rsid w:val="0007747D"/>
    <w:rsid w:val="000917AA"/>
    <w:rsid w:val="0009468F"/>
    <w:rsid w:val="000A7FD1"/>
    <w:rsid w:val="000B00F3"/>
    <w:rsid w:val="000C40E5"/>
    <w:rsid w:val="001028AA"/>
    <w:rsid w:val="00103361"/>
    <w:rsid w:val="001038DE"/>
    <w:rsid w:val="0010734B"/>
    <w:rsid w:val="00112AC3"/>
    <w:rsid w:val="00124246"/>
    <w:rsid w:val="001307C7"/>
    <w:rsid w:val="00132314"/>
    <w:rsid w:val="001438A3"/>
    <w:rsid w:val="00146797"/>
    <w:rsid w:val="001500AE"/>
    <w:rsid w:val="001531D8"/>
    <w:rsid w:val="0016443E"/>
    <w:rsid w:val="00167610"/>
    <w:rsid w:val="00172E5E"/>
    <w:rsid w:val="00177B39"/>
    <w:rsid w:val="00181224"/>
    <w:rsid w:val="001967F0"/>
    <w:rsid w:val="001A4029"/>
    <w:rsid w:val="001A5938"/>
    <w:rsid w:val="001E53C3"/>
    <w:rsid w:val="00212A81"/>
    <w:rsid w:val="002166D8"/>
    <w:rsid w:val="0023280D"/>
    <w:rsid w:val="002330A7"/>
    <w:rsid w:val="00246E0F"/>
    <w:rsid w:val="00251A7E"/>
    <w:rsid w:val="002647B1"/>
    <w:rsid w:val="00267257"/>
    <w:rsid w:val="00293742"/>
    <w:rsid w:val="00294E8F"/>
    <w:rsid w:val="002B1AA4"/>
    <w:rsid w:val="002E3159"/>
    <w:rsid w:val="002E43E8"/>
    <w:rsid w:val="002E713D"/>
    <w:rsid w:val="002F76B5"/>
    <w:rsid w:val="003229C7"/>
    <w:rsid w:val="003247C4"/>
    <w:rsid w:val="00332D05"/>
    <w:rsid w:val="003548F7"/>
    <w:rsid w:val="00387B52"/>
    <w:rsid w:val="003925A6"/>
    <w:rsid w:val="003955E5"/>
    <w:rsid w:val="003B44C5"/>
    <w:rsid w:val="003B4F9D"/>
    <w:rsid w:val="003C1A8C"/>
    <w:rsid w:val="003C69C9"/>
    <w:rsid w:val="003C6D2F"/>
    <w:rsid w:val="003E36C9"/>
    <w:rsid w:val="003E76B1"/>
    <w:rsid w:val="003E7DA2"/>
    <w:rsid w:val="003F10F4"/>
    <w:rsid w:val="004006F4"/>
    <w:rsid w:val="0040739E"/>
    <w:rsid w:val="00412465"/>
    <w:rsid w:val="00470C21"/>
    <w:rsid w:val="0047147E"/>
    <w:rsid w:val="00487FBC"/>
    <w:rsid w:val="004932D4"/>
    <w:rsid w:val="0049630F"/>
    <w:rsid w:val="004B2D5D"/>
    <w:rsid w:val="004C0877"/>
    <w:rsid w:val="004C2BAC"/>
    <w:rsid w:val="004D601C"/>
    <w:rsid w:val="004D7D45"/>
    <w:rsid w:val="004E2C05"/>
    <w:rsid w:val="004E5CE3"/>
    <w:rsid w:val="004E6863"/>
    <w:rsid w:val="004F380C"/>
    <w:rsid w:val="00503A38"/>
    <w:rsid w:val="00510C04"/>
    <w:rsid w:val="005131AD"/>
    <w:rsid w:val="005207DF"/>
    <w:rsid w:val="0053000C"/>
    <w:rsid w:val="00541FA1"/>
    <w:rsid w:val="00561844"/>
    <w:rsid w:val="00561F10"/>
    <w:rsid w:val="00562E9C"/>
    <w:rsid w:val="0057318C"/>
    <w:rsid w:val="00581B90"/>
    <w:rsid w:val="005A2940"/>
    <w:rsid w:val="005B3EBB"/>
    <w:rsid w:val="005C0D9C"/>
    <w:rsid w:val="005C2329"/>
    <w:rsid w:val="005F5F6F"/>
    <w:rsid w:val="0060597B"/>
    <w:rsid w:val="00625330"/>
    <w:rsid w:val="00630917"/>
    <w:rsid w:val="006374E8"/>
    <w:rsid w:val="0064578A"/>
    <w:rsid w:val="006564EE"/>
    <w:rsid w:val="00665FD0"/>
    <w:rsid w:val="006811B9"/>
    <w:rsid w:val="006967CD"/>
    <w:rsid w:val="006E11D7"/>
    <w:rsid w:val="006E4F75"/>
    <w:rsid w:val="0070748B"/>
    <w:rsid w:val="00707AFA"/>
    <w:rsid w:val="007126E6"/>
    <w:rsid w:val="00752912"/>
    <w:rsid w:val="00756FFC"/>
    <w:rsid w:val="00766A6C"/>
    <w:rsid w:val="00775747"/>
    <w:rsid w:val="0078287A"/>
    <w:rsid w:val="00795020"/>
    <w:rsid w:val="00797AAD"/>
    <w:rsid w:val="00797DF4"/>
    <w:rsid w:val="007A2098"/>
    <w:rsid w:val="007B0CFC"/>
    <w:rsid w:val="007B3446"/>
    <w:rsid w:val="007B7D4D"/>
    <w:rsid w:val="007C3107"/>
    <w:rsid w:val="007C65F9"/>
    <w:rsid w:val="007D4360"/>
    <w:rsid w:val="007D59AA"/>
    <w:rsid w:val="007E32E9"/>
    <w:rsid w:val="007E33A8"/>
    <w:rsid w:val="007F2864"/>
    <w:rsid w:val="008240C8"/>
    <w:rsid w:val="00855EF8"/>
    <w:rsid w:val="00864863"/>
    <w:rsid w:val="00873051"/>
    <w:rsid w:val="00877A76"/>
    <w:rsid w:val="00886630"/>
    <w:rsid w:val="008A40F7"/>
    <w:rsid w:val="008A7002"/>
    <w:rsid w:val="008D4F2E"/>
    <w:rsid w:val="008E6D67"/>
    <w:rsid w:val="008F1D45"/>
    <w:rsid w:val="00942C3B"/>
    <w:rsid w:val="00952992"/>
    <w:rsid w:val="009737A0"/>
    <w:rsid w:val="009750C5"/>
    <w:rsid w:val="0097551F"/>
    <w:rsid w:val="00982B56"/>
    <w:rsid w:val="009879C2"/>
    <w:rsid w:val="00991711"/>
    <w:rsid w:val="009B272F"/>
    <w:rsid w:val="009B5D71"/>
    <w:rsid w:val="009C38F7"/>
    <w:rsid w:val="009C613A"/>
    <w:rsid w:val="009D1A95"/>
    <w:rsid w:val="009E1F82"/>
    <w:rsid w:val="00A02570"/>
    <w:rsid w:val="00A026B5"/>
    <w:rsid w:val="00A050CA"/>
    <w:rsid w:val="00A17778"/>
    <w:rsid w:val="00A17906"/>
    <w:rsid w:val="00A24085"/>
    <w:rsid w:val="00A27E89"/>
    <w:rsid w:val="00A33F4F"/>
    <w:rsid w:val="00A877A1"/>
    <w:rsid w:val="00A90E34"/>
    <w:rsid w:val="00A9332F"/>
    <w:rsid w:val="00AA7EF5"/>
    <w:rsid w:val="00AB07B2"/>
    <w:rsid w:val="00AC146F"/>
    <w:rsid w:val="00AC5F44"/>
    <w:rsid w:val="00AC64C5"/>
    <w:rsid w:val="00AD0CB1"/>
    <w:rsid w:val="00AD4F65"/>
    <w:rsid w:val="00AD6D32"/>
    <w:rsid w:val="00AE1E3A"/>
    <w:rsid w:val="00AE2DC1"/>
    <w:rsid w:val="00AF16DB"/>
    <w:rsid w:val="00AF6B70"/>
    <w:rsid w:val="00B0357D"/>
    <w:rsid w:val="00B906EE"/>
    <w:rsid w:val="00B94829"/>
    <w:rsid w:val="00BA10BF"/>
    <w:rsid w:val="00BA276A"/>
    <w:rsid w:val="00BA4842"/>
    <w:rsid w:val="00BA753D"/>
    <w:rsid w:val="00BB3C8F"/>
    <w:rsid w:val="00BC3FFD"/>
    <w:rsid w:val="00BD03A3"/>
    <w:rsid w:val="00BD048D"/>
    <w:rsid w:val="00BD536A"/>
    <w:rsid w:val="00C0470F"/>
    <w:rsid w:val="00C050B6"/>
    <w:rsid w:val="00C11833"/>
    <w:rsid w:val="00C20BED"/>
    <w:rsid w:val="00C31757"/>
    <w:rsid w:val="00C36B20"/>
    <w:rsid w:val="00C37000"/>
    <w:rsid w:val="00C53C8E"/>
    <w:rsid w:val="00C65AFD"/>
    <w:rsid w:val="00C71764"/>
    <w:rsid w:val="00C75673"/>
    <w:rsid w:val="00C96C69"/>
    <w:rsid w:val="00C970CC"/>
    <w:rsid w:val="00CA5609"/>
    <w:rsid w:val="00CC5816"/>
    <w:rsid w:val="00CF1787"/>
    <w:rsid w:val="00D14C7A"/>
    <w:rsid w:val="00D447D0"/>
    <w:rsid w:val="00D4499C"/>
    <w:rsid w:val="00D51C64"/>
    <w:rsid w:val="00D565D8"/>
    <w:rsid w:val="00D56E08"/>
    <w:rsid w:val="00D57BE0"/>
    <w:rsid w:val="00D663CD"/>
    <w:rsid w:val="00D7150B"/>
    <w:rsid w:val="00D8001E"/>
    <w:rsid w:val="00D85917"/>
    <w:rsid w:val="00DA38FE"/>
    <w:rsid w:val="00DB363E"/>
    <w:rsid w:val="00DC695E"/>
    <w:rsid w:val="00DC7EF8"/>
    <w:rsid w:val="00DD1077"/>
    <w:rsid w:val="00E556E0"/>
    <w:rsid w:val="00E61E6E"/>
    <w:rsid w:val="00EA62D1"/>
    <w:rsid w:val="00EB0E83"/>
    <w:rsid w:val="00EB1CF9"/>
    <w:rsid w:val="00EB219B"/>
    <w:rsid w:val="00EC0630"/>
    <w:rsid w:val="00EC7467"/>
    <w:rsid w:val="00EE5245"/>
    <w:rsid w:val="00EF5509"/>
    <w:rsid w:val="00EF71FF"/>
    <w:rsid w:val="00EF78E2"/>
    <w:rsid w:val="00F20BC2"/>
    <w:rsid w:val="00F27C72"/>
    <w:rsid w:val="00F32137"/>
    <w:rsid w:val="00F46FE1"/>
    <w:rsid w:val="00F750ED"/>
    <w:rsid w:val="00FA5272"/>
    <w:rsid w:val="00FF1561"/>
    <w:rsid w:val="00FF49C9"/>
  </w:rsids>
  <m:mathPr>
    <m:mathFont m:val="Cambria Math"/>
    <m:brkBin m:val="before"/>
    <m:brkBinSub m:val="--"/>
    <m:smallFrac m:val="0"/>
    <m:dispDef/>
    <m:lMargin m:val="0"/>
    <m:rMargin m:val="0"/>
    <m:defJc m:val="centerGroup"/>
    <m:wrapIndent m:val="1440"/>
    <m:intLim m:val="subSup"/>
    <m:naryLim m:val="undOvr"/>
  </m:mathPr>
  <w:themeFontLang w:val="en-PH"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D7F4B74"/>
  <w15:docId w15:val="{FAF35933-848A-4C8E-AA14-A93557494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565D8"/>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E6863"/>
    <w:pPr>
      <w:tabs>
        <w:tab w:val="center" w:pos="4320"/>
        <w:tab w:val="right" w:pos="8640"/>
      </w:tabs>
    </w:pPr>
  </w:style>
  <w:style w:type="paragraph" w:styleId="Footer">
    <w:name w:val="footer"/>
    <w:basedOn w:val="Normal"/>
    <w:rsid w:val="004E6863"/>
    <w:pPr>
      <w:tabs>
        <w:tab w:val="center" w:pos="4320"/>
        <w:tab w:val="right" w:pos="8640"/>
      </w:tabs>
    </w:pPr>
  </w:style>
  <w:style w:type="table" w:styleId="TableGrid">
    <w:name w:val="Table Grid"/>
    <w:basedOn w:val="TableNormal"/>
    <w:rsid w:val="004E5C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32314"/>
    <w:pPr>
      <w:ind w:left="720"/>
      <w:contextualSpacing/>
    </w:pPr>
  </w:style>
  <w:style w:type="paragraph" w:styleId="BalloonText">
    <w:name w:val="Balloon Text"/>
    <w:basedOn w:val="Normal"/>
    <w:link w:val="BalloonTextChar"/>
    <w:rsid w:val="00181224"/>
    <w:rPr>
      <w:rFonts w:ascii="Lucida Grande" w:hAnsi="Lucida Grande"/>
      <w:sz w:val="18"/>
      <w:szCs w:val="18"/>
    </w:rPr>
  </w:style>
  <w:style w:type="character" w:customStyle="1" w:styleId="BalloonTextChar">
    <w:name w:val="Balloon Text Char"/>
    <w:basedOn w:val="DefaultParagraphFont"/>
    <w:link w:val="BalloonText"/>
    <w:rsid w:val="00181224"/>
    <w:rPr>
      <w:rFonts w:ascii="Lucida Grande" w:hAnsi="Lucida Grande"/>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AF4E113-89DC-1143-9A74-401F5AE8E3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421</Words>
  <Characters>2403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STUDENT PROGRESS REPORT</vt:lpstr>
    </vt:vector>
  </TitlesOfParts>
  <Company>FEU - East Asia College</Company>
  <LinksUpToDate>false</LinksUpToDate>
  <CharactersWithSpaces>2819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PROGRESS REPORT</dc:title>
  <dc:creator>csim_parttime</dc:creator>
  <cp:lastModifiedBy>hazel san patilano</cp:lastModifiedBy>
  <cp:revision>3</cp:revision>
  <cp:lastPrinted>2011-02-02T03:49:00Z</cp:lastPrinted>
  <dcterms:created xsi:type="dcterms:W3CDTF">2025-09-19T01:15:00Z</dcterms:created>
  <dcterms:modified xsi:type="dcterms:W3CDTF">2026-08-19T07:33:00Z</dcterms:modified>
</cp:coreProperties>
</file>