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60"/>
        </w:rPr>
        <w:t>COMPUTER SCIENCE DEPARTMENT</w:t>
      </w:r>
    </w:p>
    <w:p>
      <w:pPr>
        <w:jc w:val="center"/>
      </w:pPr>
    </w:p>
    <w:p>
      <w:pPr>
        <w:jc w:val="center"/>
      </w:pPr>
      <w:r>
        <w:rPr>
          <w:b/>
          <w:sz w:val="60"/>
        </w:rPr>
        <w:t>CS0025</w:t>
      </w:r>
    </w:p>
    <w:p>
      <w:pPr>
        <w:jc w:val="center"/>
      </w:pPr>
      <w:r>
        <w:rPr>
          <w:b/>
          <w:sz w:val="60"/>
        </w:rPr>
        <w:t>(SOFTWARE ENGINEERING 1)</w:t>
      </w:r>
    </w:p>
    <w:p>
      <w:pPr>
        <w:jc w:val="center"/>
      </w:pPr>
    </w:p>
    <w:p>
      <w:pPr>
        <w:jc w:val="center"/>
      </w:pPr>
      <w:r>
        <w:rPr>
          <w:b/>
          <w:sz w:val="60"/>
        </w:rPr>
        <w:t>ACTIVITY</w:t>
      </w:r>
    </w:p>
    <w:p>
      <w:pPr>
        <w:jc w:val="center"/>
      </w:pPr>
      <w:r>
        <w:rPr>
          <w:b/>
          <w:sz w:val="60"/>
        </w:rPr>
        <w:t>2</w:t>
      </w:r>
    </w:p>
    <w:p>
      <w:pPr>
        <w:jc w:val="center"/>
      </w:pPr>
      <w:r>
        <w:rPr>
          <w:b/>
          <w:sz w:val="60"/>
        </w:rPr>
        <w:t>[AI – ASSISTED]</w:t>
      </w:r>
    </w:p>
    <w:p>
      <w:pPr>
        <w:jc w:val="center"/>
      </w:pPr>
    </w:p>
    <w:p>
      <w:pPr>
        <w:jc w:val="center"/>
      </w:pPr>
      <w:r>
        <w:rPr>
          <w:b/>
          <w:sz w:val="40"/>
        </w:rPr>
        <w:t>REVIEW OF RELATED LITERATURE AND STUDIES</w:t>
      </w:r>
    </w:p>
    <w:p>
      <w:pPr>
        <w:jc w:val="center"/>
      </w:pPr>
      <w:r>
        <w:rPr>
          <w:b/>
          <w:sz w:val="28"/>
        </w:rPr>
        <w:t>Chapters 1 to 3 of the Proposed Thesis Titles</w:t>
      </w:r>
    </w:p>
    <w:p>
      <w:pPr>
        <w:jc w:val="center"/>
      </w:pP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304"/>
            <w:shd w:val="clear" w:color="auto" w:fill="EDEDED"/>
          </w:tcPr>
          <w:p>
            <w:r/>
            <w:r>
              <w:rPr>
                <w:b/>
                <w:sz w:val="18"/>
              </w:rPr>
              <w:t>Item</w:t>
            </w:r>
          </w:p>
        </w:tc>
        <w:tc>
          <w:tcPr>
            <w:tcW w:type="dxa" w:w="7920"/>
            <w:shd w:val="clear" w:color="auto" w:fill="EDEDED"/>
          </w:tcPr>
          <w:p>
            <w:r/>
            <w:r>
              <w:rPr>
                <w:b/>
                <w:sz w:val="18"/>
              </w:rPr>
              <w:t>Details</w:t>
            </w:r>
          </w:p>
        </w:tc>
      </w:tr>
      <w:tr>
        <w:tc>
          <w:tcPr>
            <w:tcW w:type="dxa" w:w="2304"/>
          </w:tcPr>
          <w:p>
            <w:r/>
            <w:r>
              <w:rPr>
                <w:sz w:val="18"/>
              </w:rPr>
              <w:t>Group Name:</w:t>
            </w:r>
          </w:p>
        </w:tc>
        <w:tc>
          <w:tcPr>
            <w:tcW w:type="dxa" w:w="7920"/>
          </w:tcPr>
          <w:p>
            <w:r/>
            <w:r>
              <w:rPr>
                <w:sz w:val="18"/>
              </w:rPr>
              <w:t>Statisfied (Section TS31)</w:t>
            </w:r>
          </w:p>
        </w:tc>
      </w:tr>
      <w:tr>
        <w:tc>
          <w:tcPr>
            <w:tcW w:type="dxa" w:w="2304"/>
          </w:tcPr>
          <w:p>
            <w:r/>
            <w:r>
              <w:rPr>
                <w:sz w:val="18"/>
              </w:rPr>
              <w:t>Group Member/s:</w:t>
            </w:r>
          </w:p>
        </w:tc>
        <w:tc>
          <w:tcPr>
            <w:tcW w:type="dxa" w:w="7920"/>
          </w:tcPr>
          <w:p>
            <w:r/>
            <w:r>
              <w:rPr>
                <w:sz w:val="18"/>
              </w:rPr>
              <w:t>Dawn Andrei Pamesa (Leader), Rogelio Porras, John Ashley Alba, Ralph Blanco</w:t>
            </w:r>
          </w:p>
        </w:tc>
      </w:tr>
      <w:tr>
        <w:tc>
          <w:tcPr>
            <w:tcW w:type="dxa" w:w="2304"/>
          </w:tcPr>
          <w:p>
            <w:r/>
            <w:r>
              <w:rPr>
                <w:sz w:val="18"/>
              </w:rPr>
              <w:t>Professor:</w:t>
            </w:r>
          </w:p>
        </w:tc>
        <w:tc>
          <w:tcPr>
            <w:tcW w:type="dxa" w:w="7920"/>
          </w:tcPr>
          <w:p>
            <w:r/>
            <w:r>
              <w:rPr>
                <w:sz w:val="18"/>
              </w:rPr>
              <w:t>Doc Beau Gray Habal</w:t>
            </w:r>
          </w:p>
        </w:tc>
      </w:tr>
      <w:tr>
        <w:tc>
          <w:tcPr>
            <w:tcW w:type="dxa" w:w="2304"/>
          </w:tcPr>
          <w:p>
            <w:r/>
            <w:r>
              <w:rPr>
                <w:sz w:val="18"/>
              </w:rPr>
              <w:t>Date Performed:</w:t>
            </w:r>
          </w:p>
        </w:tc>
        <w:tc>
          <w:tcPr>
            <w:tcW w:type="dxa" w:w="7920"/>
          </w:tcPr>
          <w:p>
            <w:r/>
            <w:r>
              <w:rPr>
                <w:sz w:val="18"/>
              </w:rPr>
              <w:t xml:space="preserve">September 18 to 24, 2026 </w:t>
            </w:r>
            <w:r>
              <w:rPr>
                <w:sz w:val="18"/>
                <w:highlight w:val="yellow"/>
              </w:rPr>
              <w:t>[confirm the dates]</w:t>
            </w:r>
          </w:p>
        </w:tc>
      </w:tr>
      <w:tr>
        <w:tc>
          <w:tcPr>
            <w:tcW w:type="dxa" w:w="2304"/>
          </w:tcPr>
          <w:p>
            <w:r/>
            <w:r>
              <w:rPr>
                <w:sz w:val="18"/>
              </w:rPr>
              <w:t>Date Submitted:</w:t>
            </w:r>
          </w:p>
        </w:tc>
        <w:tc>
          <w:tcPr>
            <w:tcW w:type="dxa" w:w="7920"/>
          </w:tcPr>
          <w:p>
            <w:r/>
            <w:r>
              <w:rPr>
                <w:sz w:val="18"/>
              </w:rPr>
              <w:t>September 24, 2026</w:t>
            </w:r>
          </w:p>
        </w:tc>
      </w:tr>
    </w:tbl>
    <w:p>
      <w:pPr>
        <w:spacing w:after="40"/>
      </w:pPr>
    </w:p>
    <w:p>
      <w:r>
        <w:br w:type="page"/>
      </w:r>
    </w:p>
    <w:p>
      <w:pPr>
        <w:keepNext/>
        <w:spacing w:before="160" w:after="80"/>
      </w:pPr>
      <w:r>
        <w:rPr>
          <w:b/>
          <w:sz w:val="22"/>
        </w:rPr>
        <w:t>Assessment Purpose</w:t>
      </w:r>
    </w:p>
    <w:p>
      <w:pPr>
        <w:spacing w:after="120"/>
        <w:jc w:val="both"/>
      </w:pPr>
      <w:r>
        <w:t>This activity revises the group's Technical Assessment 1 feasibility study into the first three chapters of a research paper for each proposed thesis title. For every title, Chapter 1 states the problem and its background, Chapter 2 reviews related literature and studies to establish that the problem exists and has a technology-based solution, and Chapter 3 describes the proposed method, data source, evaluation, and ethical controls. The paper ends with a summary that ranks the titles and names the group's top five.</w:t>
      </w:r>
    </w:p>
    <w:p>
      <w:pPr>
        <w:keepNext/>
        <w:spacing w:before="160" w:after="80"/>
      </w:pPr>
      <w:r>
        <w:rPr>
          <w:b/>
          <w:sz w:val="22"/>
        </w:rPr>
        <w:t>What Changed Since Technical Assessment 1</w:t>
      </w:r>
    </w:p>
    <w:p>
      <w:pPr>
        <w:spacing w:after="60"/>
        <w:jc w:val="both"/>
        <w:numPr>
          <w:ilvl w:val="0"/>
          <w:numId w:val="10"/>
        </w:numPr>
      </w:pPr>
      <w:r>
        <w:rPr>
          <w:b/>
        </w:rPr>
        <w:t>The Benguet title is awaiting BAPTC.</w:t>
      </w:r>
      <w:r>
        <w:t xml:space="preserve"> BAPTC acknowledged the group's request, and the group is waiting for further updates. Department of Agriculture Bantay Presyo bulletins remain the secondary data source, as planned in Technical Assessment 1.</w:t>
      </w:r>
    </w:p>
    <w:p>
      <w:pPr>
        <w:spacing w:after="60"/>
        <w:jc w:val="both"/>
        <w:numPr>
          <w:ilvl w:val="0"/>
          <w:numId w:val="10"/>
        </w:numPr>
      </w:pPr>
      <w:r>
        <w:rPr>
          <w:b/>
        </w:rPr>
        <w:t>Two titles were replaced.</w:t>
      </w:r>
      <w:r>
        <w:t xml:space="preserve"> The Luzon Grid title was dropped because another group is pursuing a similar topic, and the Barangay Tatalon title was replaced by a barangay health center data quality and privacy tool.</w:t>
      </w:r>
    </w:p>
    <w:p>
      <w:pPr>
        <w:spacing w:after="60"/>
        <w:jc w:val="both"/>
        <w:numPr>
          <w:ilvl w:val="0"/>
          <w:numId w:val="10"/>
        </w:numPr>
      </w:pPr>
      <w:r>
        <w:rPr>
          <w:b/>
        </w:rPr>
        <w:t>Two partner-based titles were added.</w:t>
      </w:r>
      <w:r>
        <w:t xml:space="preserve"> SM Foundation invited the group to submit a proposal on September 21, 2026, and a Transcom Philippines contact was reached through a classmate. Proposal letters were sent to both, and to the Quezon City ITDD, and replies are pending.</w:t>
      </w:r>
    </w:p>
    <w:p>
      <w:pPr>
        <w:spacing w:after="60"/>
        <w:jc w:val="both"/>
        <w:numPr>
          <w:ilvl w:val="0"/>
          <w:numId w:val="10"/>
        </w:numPr>
      </w:pPr>
      <w:r>
        <w:rPr>
          <w:b/>
        </w:rPr>
        <w:t>The retail title was made more specific.</w:t>
      </w:r>
      <w:r>
        <w:t xml:space="preserve"> It now targets perishable products and uses remaining shelf life as an input.</w:t>
      </w:r>
    </w:p>
    <w:p>
      <w:pPr>
        <w:spacing w:after="60"/>
        <w:jc w:val="both"/>
        <w:numPr>
          <w:ilvl w:val="0"/>
          <w:numId w:val="10"/>
        </w:numPr>
      </w:pPr>
      <w:r>
        <w:rPr>
          <w:b/>
        </w:rPr>
        <w:t>Every title now carries evidence.</w:t>
      </w:r>
      <w:r>
        <w:t xml:space="preserve"> Each title has a review of related literature and studies, a research gap, and a refined title. Every source link was opened and checked by the group before submission.</w:t>
      </w:r>
    </w:p>
    <w:p>
      <w:pPr>
        <w:spacing w:after="0"/>
      </w:pPr>
    </w:p>
    <w:p>
      <w:pPr>
        <w:keepNext/>
        <w:spacing w:before="160" w:after="80"/>
      </w:pPr>
      <w:r>
        <w:rPr>
          <w:b/>
          <w:sz w:val="22"/>
        </w:rPr>
        <w:t>Titles Under Assessment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45"/>
        <w:gridCol w:w="2045"/>
        <w:gridCol w:w="2045"/>
        <w:gridCol w:w="2045"/>
        <w:gridCol w:w="2045"/>
      </w:tblGrid>
      <w:tr>
        <w:tc>
          <w:tcPr>
            <w:tcW w:type="dxa" w:w="432"/>
            <w:shd w:val="clear" w:color="auto" w:fill="EDEDED"/>
          </w:tcPr>
          <w:p>
            <w:r/>
            <w:r>
              <w:rPr>
                <w:b/>
                <w:sz w:val="18"/>
              </w:rPr>
              <w:t>#</w:t>
            </w:r>
          </w:p>
        </w:tc>
        <w:tc>
          <w:tcPr>
            <w:tcW w:type="dxa" w:w="3744"/>
            <w:shd w:val="clear" w:color="auto" w:fill="EDEDED"/>
          </w:tcPr>
          <w:p>
            <w:r/>
            <w:r>
              <w:rPr>
                <w:b/>
                <w:sz w:val="18"/>
              </w:rPr>
              <w:t>Proposed Thesis Title</w:t>
            </w:r>
          </w:p>
        </w:tc>
        <w:tc>
          <w:tcPr>
            <w:tcW w:type="dxa" w:w="2448"/>
            <w:shd w:val="clear" w:color="auto" w:fill="EDEDED"/>
          </w:tcPr>
          <w:p>
            <w:r/>
            <w:r>
              <w:rPr>
                <w:b/>
                <w:sz w:val="18"/>
              </w:rPr>
              <w:t>Partner or Data Source</w:t>
            </w:r>
          </w:p>
        </w:tc>
        <w:tc>
          <w:tcPr>
            <w:tcW w:type="dxa" w:w="1728"/>
            <w:shd w:val="clear" w:color="auto" w:fill="EDEDED"/>
          </w:tcPr>
          <w:p>
            <w:r/>
            <w:r>
              <w:rPr>
                <w:b/>
                <w:sz w:val="18"/>
              </w:rPr>
              <w:t>Primary Technique</w:t>
            </w:r>
          </w:p>
        </w:tc>
        <w:tc>
          <w:tcPr>
            <w:tcW w:type="dxa" w:w="1872"/>
            <w:shd w:val="clear" w:color="auto" w:fill="EDEDED"/>
          </w:tcPr>
          <w:p>
            <w:r/>
            <w:r>
              <w:rPr>
                <w:b/>
                <w:sz w:val="18"/>
              </w:rPr>
              <w:t>Partner Status</w:t>
            </w:r>
          </w:p>
        </w:tc>
      </w:tr>
      <w:tr>
        <w:tc>
          <w:tcPr>
            <w:tcW w:type="dxa" w:w="432"/>
          </w:tcPr>
          <w:p>
            <w:r/>
            <w:r>
              <w:rPr>
                <w:sz w:val="18"/>
              </w:rPr>
              <w:t>1</w:t>
            </w:r>
          </w:p>
        </w:tc>
        <w:tc>
          <w:tcPr>
            <w:tcW w:type="dxa" w:w="3744"/>
          </w:tcPr>
          <w:p>
            <w:r/>
            <w:r>
              <w:rPr>
                <w:sz w:val="18"/>
              </w:rPr>
              <w:t>Highland Vegetable Price and Supply Glut Forecasting at the Benguet Agri-Pinoy Trading Center Using XGBoost</w:t>
            </w:r>
          </w:p>
        </w:tc>
        <w:tc>
          <w:tcPr>
            <w:tcW w:type="dxa" w:w="2448"/>
          </w:tcPr>
          <w:p>
            <w:r/>
            <w:r>
              <w:rPr>
                <w:sz w:val="18"/>
              </w:rPr>
              <w:t>BAPTC price and trading-volume records; DA Bantay Presyo bulletins as secondary source</w:t>
            </w:r>
          </w:p>
        </w:tc>
        <w:tc>
          <w:tcPr>
            <w:tcW w:type="dxa" w:w="1728"/>
          </w:tcPr>
          <w:p>
            <w:r/>
            <w:r>
              <w:rPr>
                <w:sz w:val="18"/>
              </w:rPr>
              <w:t>Predictive Analytics</w:t>
            </w:r>
          </w:p>
        </w:tc>
        <w:tc>
          <w:tcPr>
            <w:tcW w:type="dxa" w:w="1872"/>
          </w:tcPr>
          <w:p>
            <w:r/>
            <w:r>
              <w:rPr>
                <w:sz w:val="18"/>
              </w:rPr>
              <w:t>Request acknowledged by BAPTC; awaiting updates</w:t>
            </w:r>
          </w:p>
        </w:tc>
      </w:tr>
      <w:tr>
        <w:tc>
          <w:tcPr>
            <w:tcW w:type="dxa" w:w="432"/>
          </w:tcPr>
          <w:p>
            <w:r/>
            <w:r>
              <w:rPr>
                <w:sz w:val="18"/>
              </w:rPr>
              <w:t>2</w:t>
            </w:r>
          </w:p>
        </w:tc>
        <w:tc>
          <w:tcPr>
            <w:tcW w:type="dxa" w:w="3744"/>
          </w:tcPr>
          <w:p>
            <w:r/>
            <w:r>
              <w:rPr>
                <w:sz w:val="18"/>
              </w:rPr>
              <w:t>A Data Governance System for Verifiable CSR Impact Reporting Using Fellegi-Sunter Record Linkage</w:t>
            </w:r>
          </w:p>
        </w:tc>
        <w:tc>
          <w:tcPr>
            <w:tcW w:type="dxa" w:w="2448"/>
          </w:tcPr>
          <w:p>
            <w:r/>
            <w:r>
              <w:rPr>
                <w:sz w:val="18"/>
              </w:rPr>
              <w:t>SM Foundation, Kabalikat sa Kabuhayan programme records</w:t>
            </w:r>
          </w:p>
        </w:tc>
        <w:tc>
          <w:tcPr>
            <w:tcW w:type="dxa" w:w="1728"/>
          </w:tcPr>
          <w:p>
            <w:r/>
            <w:r>
              <w:rPr>
                <w:sz w:val="18"/>
              </w:rPr>
              <w:t>Data Governance and Ethics</w:t>
            </w:r>
          </w:p>
        </w:tc>
        <w:tc>
          <w:tcPr>
            <w:tcW w:type="dxa" w:w="1872"/>
          </w:tcPr>
          <w:p>
            <w:r/>
            <w:r>
              <w:rPr>
                <w:sz w:val="18"/>
              </w:rPr>
              <w:t>Letter sent September 23, 2026; reply pending</w:t>
            </w:r>
          </w:p>
        </w:tc>
      </w:tr>
      <w:tr>
        <w:tc>
          <w:tcPr>
            <w:tcW w:type="dxa" w:w="432"/>
          </w:tcPr>
          <w:p>
            <w:r/>
            <w:r>
              <w:rPr>
                <w:sz w:val="18"/>
              </w:rPr>
              <w:t>3</w:t>
            </w:r>
          </w:p>
        </w:tc>
        <w:tc>
          <w:tcPr>
            <w:tcW w:type="dxa" w:w="3744"/>
          </w:tcPr>
          <w:p>
            <w:r/>
            <w:r>
              <w:rPr>
                <w:sz w:val="18"/>
              </w:rPr>
              <w:t>A Data Governance System for Privacy Release Readiness of Quezon City Open Data Using Mondrian k-Anonymity</w:t>
            </w:r>
          </w:p>
        </w:tc>
        <w:tc>
          <w:tcPr>
            <w:tcW w:type="dxa" w:w="2448"/>
          </w:tcPr>
          <w:p>
            <w:r/>
            <w:r>
              <w:rPr>
                <w:sz w:val="18"/>
              </w:rPr>
              <w:t>Quezon City ITDD, de-identified Helpline 122 records</w:t>
            </w:r>
          </w:p>
        </w:tc>
        <w:tc>
          <w:tcPr>
            <w:tcW w:type="dxa" w:w="1728"/>
          </w:tcPr>
          <w:p>
            <w:r/>
            <w:r>
              <w:rPr>
                <w:sz w:val="18"/>
              </w:rPr>
              <w:t>Data Governance and Ethics</w:t>
            </w:r>
          </w:p>
        </w:tc>
        <w:tc>
          <w:tcPr>
            <w:tcW w:type="dxa" w:w="1872"/>
          </w:tcPr>
          <w:p>
            <w:r/>
            <w:r>
              <w:rPr>
                <w:sz w:val="18"/>
              </w:rPr>
              <w:t>Letter sent; reply pending</w:t>
            </w:r>
          </w:p>
        </w:tc>
      </w:tr>
      <w:tr>
        <w:tc>
          <w:tcPr>
            <w:tcW w:type="dxa" w:w="432"/>
          </w:tcPr>
          <w:p>
            <w:r/>
            <w:r>
              <w:rPr>
                <w:sz w:val="18"/>
              </w:rPr>
              <w:t>4</w:t>
            </w:r>
          </w:p>
        </w:tc>
        <w:tc>
          <w:tcPr>
            <w:tcW w:type="dxa" w:w="3744"/>
          </w:tcPr>
          <w:p>
            <w:r/>
            <w:r>
              <w:rPr>
                <w:sz w:val="18"/>
              </w:rPr>
              <w:t>Development of an Explainable Hybrid Data Quality and Privacy Risk Assessment Tool for Patient Record Management at a Barangay Health Center in Mandaluyong City</w:t>
            </w:r>
          </w:p>
        </w:tc>
        <w:tc>
          <w:tcPr>
            <w:tcW w:type="dxa" w:w="2448"/>
          </w:tcPr>
          <w:p>
            <w:r/>
            <w:r>
              <w:rPr>
                <w:sz w:val="18"/>
              </w:rPr>
              <w:t>Barangay health center patient records</w:t>
            </w:r>
          </w:p>
        </w:tc>
        <w:tc>
          <w:tcPr>
            <w:tcW w:type="dxa" w:w="1728"/>
          </w:tcPr>
          <w:p>
            <w:r/>
            <w:r>
              <w:rPr>
                <w:sz w:val="18"/>
              </w:rPr>
              <w:t>Data Governance and Ethics</w:t>
            </w:r>
          </w:p>
        </w:tc>
        <w:tc>
          <w:tcPr>
            <w:tcW w:type="dxa" w:w="1872"/>
          </w:tcPr>
          <w:p>
            <w:r/>
            <w:r>
              <w:rPr>
                <w:sz w:val="18"/>
              </w:rPr>
              <w:t xml:space="preserve">Partner not yet approached </w:t>
            </w:r>
            <w:r>
              <w:rPr>
                <w:sz w:val="18"/>
                <w:highlight w:val="yellow"/>
              </w:rPr>
              <w:t>[confirm]</w:t>
            </w:r>
          </w:p>
        </w:tc>
      </w:tr>
      <w:tr>
        <w:tc>
          <w:tcPr>
            <w:tcW w:type="dxa" w:w="432"/>
          </w:tcPr>
          <w:p>
            <w:r/>
            <w:r>
              <w:rPr>
                <w:sz w:val="18"/>
              </w:rPr>
              <w:t>5</w:t>
            </w:r>
          </w:p>
        </w:tc>
        <w:tc>
          <w:tcPr>
            <w:tcW w:type="dxa" w:w="3744"/>
          </w:tcPr>
          <w:p>
            <w:r/>
            <w:r>
              <w:rPr>
                <w:sz w:val="18"/>
              </w:rPr>
              <w:t>Machine Learning-Based Demand Forecasting and Dynamic Price Optimization for Perishable Retail Products Considering Remaining Shelf Life</w:t>
            </w:r>
          </w:p>
        </w:tc>
        <w:tc>
          <w:tcPr>
            <w:tcW w:type="dxa" w:w="2448"/>
          </w:tcPr>
          <w:p>
            <w:r/>
            <w:r>
              <w:rPr>
                <w:sz w:val="18"/>
              </w:rPr>
              <w:t>Partner store or public retail dataset</w:t>
            </w:r>
          </w:p>
        </w:tc>
        <w:tc>
          <w:tcPr>
            <w:tcW w:type="dxa" w:w="1728"/>
          </w:tcPr>
          <w:p>
            <w:r/>
            <w:r>
              <w:rPr>
                <w:sz w:val="18"/>
              </w:rPr>
              <w:t>Predictive Analytics</w:t>
            </w:r>
          </w:p>
        </w:tc>
        <w:tc>
          <w:tcPr>
            <w:tcW w:type="dxa" w:w="1872"/>
          </w:tcPr>
          <w:p>
            <w:r/>
            <w:r>
              <w:rPr>
                <w:sz w:val="18"/>
              </w:rPr>
              <w:t>No partner yet</w:t>
            </w:r>
          </w:p>
        </w:tc>
      </w:tr>
      <w:tr>
        <w:tc>
          <w:tcPr>
            <w:tcW w:type="dxa" w:w="432"/>
          </w:tcPr>
          <w:p>
            <w:r/>
            <w:r>
              <w:rPr>
                <w:sz w:val="18"/>
              </w:rPr>
              <w:t>6</w:t>
            </w:r>
          </w:p>
        </w:tc>
        <w:tc>
          <w:tcPr>
            <w:tcW w:type="dxa" w:w="3744"/>
          </w:tcPr>
          <w:p>
            <w:r/>
            <w:r>
              <w:rPr>
                <w:sz w:val="18"/>
              </w:rPr>
              <w:t>A Personal Data Detection and Redaction Governance System for Contact Centers Using Conditional Random Fields</w:t>
            </w:r>
          </w:p>
        </w:tc>
        <w:tc>
          <w:tcPr>
            <w:tcW w:type="dxa" w:w="2448"/>
          </w:tcPr>
          <w:p>
            <w:r/>
            <w:r>
              <w:rPr>
                <w:sz w:val="18"/>
              </w:rPr>
              <w:t>Public de-identification corpora and synthetic notes; Transcom Philippines</w:t>
            </w:r>
          </w:p>
        </w:tc>
        <w:tc>
          <w:tcPr>
            <w:tcW w:type="dxa" w:w="1728"/>
          </w:tcPr>
          <w:p>
            <w:r/>
            <w:r>
              <w:rPr>
                <w:sz w:val="18"/>
              </w:rPr>
              <w:t>Data Governance and Ethics</w:t>
            </w:r>
          </w:p>
        </w:tc>
        <w:tc>
          <w:tcPr>
            <w:tcW w:type="dxa" w:w="1872"/>
          </w:tcPr>
          <w:p>
            <w:r/>
            <w:r>
              <w:rPr>
                <w:sz w:val="18"/>
              </w:rPr>
              <w:t>Letter sent through a classmate's contact; reply pending</w:t>
            </w:r>
          </w:p>
        </w:tc>
      </w:tr>
    </w:tbl>
    <w:p>
      <w:pPr>
        <w:spacing w:after="40"/>
      </w:pP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1 OF 6</w:t>
            </w:r>
          </w:p>
          <w:p>
            <w:r>
              <w:rPr>
                <w:color w:val="E0E0E0"/>
                <w:sz w:val="18"/>
              </w:rPr>
              <w:t>Highland Vegetable Price and Supply Glut Forecasting at the Benguet Agri-Pinoy Trading Center Using XGBoost</w:t>
            </w:r>
          </w:p>
        </w:tc>
      </w:tr>
    </w:tbl>
    <w:p>
      <w:pPr>
        <w:spacing w:after="40"/>
      </w:pPr>
    </w:p>
    <w:p>
      <w:pPr>
        <w:spacing w:after="120"/>
        <w:jc w:val="both"/>
      </w:pPr>
      <w:r>
        <w:rPr>
          <w:b/>
        </w:rPr>
        <w:t>Thesis specialization:</w:t>
      </w:r>
      <w:r>
        <w:t xml:space="preserve"> Data Science.  </w:t>
      </w:r>
      <w:r>
        <w:rPr>
          <w:b/>
        </w:rPr>
        <w:t>Primary technique:</w:t>
      </w:r>
      <w:r>
        <w:t xml:space="preserve"> Predictive Analytics.  </w:t>
      </w:r>
      <w:r>
        <w:rPr>
          <w:b/>
        </w:rPr>
        <w:t>Research domain:</w:t>
      </w:r>
      <w:r>
        <w:t xml:space="preserve"> Agricultural market forecasting and decision support.  </w:t>
      </w:r>
      <w:r>
        <w:rPr>
          <w:b/>
        </w:rPr>
        <w:t>Partner:</w:t>
      </w:r>
      <w:r>
        <w:t xml:space="preserve"> Benguet Agri-Pinoy Trading Center (BAPTC) and DA Cordillera Administrative Region.</w:t>
      </w:r>
    </w:p>
    <w:p>
      <w:pPr>
        <w:spacing w:after="120"/>
        <w:jc w:val="both"/>
      </w:pPr>
      <w:r>
        <w:t>The proposed system will help Benguet Agri-Pinoy Trading Center and Department of Agriculture Cordillera Administrative Region staff forecast short-term wholesale vegetable prices, expected market arrivals, and supply-glut risk. It will use historical commodity-level records and explainable XGBoost models to produce early warnings that can support harvest, marketing, and market-management decisions.</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Benguet's highland farms supply most of the temperate vegetables sold in Luzon, including cabbage, carrots, potatoes, and lettuce. Much of this produce passes through the Benguet Agri-Pinoy Trading Center in La Trinidad, where farmers and traders meet. Prices for these crops move sharply from week to week. When many farmers harvest the same crop in the same window, supply overlaps and prices can fall below the cost of production, and produce is sometimes left unsold.</w:t>
      </w:r>
    </w:p>
    <w:p>
      <w:pPr>
        <w:spacing w:after="120"/>
        <w:jc w:val="both"/>
      </w:pPr>
      <w:r>
        <w:t>Farmers make planting and harvest decisions without any forward-looking signal of price or oversupply. Price information that is publicly visible, such as trading-post social media posts and government price bulletins, reports what prices were, not what they are likely to be, and says nothing about how much produce is about to arrive at market.</w:t>
      </w:r>
    </w:p>
    <w:p>
      <w:pPr>
        <w:keepNext/>
        <w:spacing w:before="160" w:after="80"/>
      </w:pPr>
      <w:r>
        <w:rPr>
          <w:b/>
          <w:sz w:val="22"/>
        </w:rPr>
        <w:t>1.2 Statement of the Problem</w:t>
      </w:r>
    </w:p>
    <w:p>
      <w:pPr>
        <w:spacing w:after="120"/>
        <w:jc w:val="both"/>
      </w:pPr>
      <w:r>
        <w:t>There is no accessible short-term forecast of wholesale price movement or supply-glut risk for Benguet highland vegetables. This study seeks to answer the following questions:</w:t>
      </w:r>
    </w:p>
    <w:p>
      <w:pPr>
        <w:spacing w:after="60"/>
        <w:jc w:val="both"/>
        <w:numPr>
          <w:ilvl w:val="0"/>
          <w:numId w:val="11"/>
        </w:numPr>
      </w:pPr>
      <w:r>
        <w:t>How accurately can short-term wholesale prices of selected highland vegetables be forecast from historical BAPTC price and trading-volume records?</w:t>
      </w:r>
    </w:p>
    <w:p>
      <w:pPr>
        <w:spacing w:after="60"/>
        <w:jc w:val="both"/>
        <w:numPr>
          <w:ilvl w:val="0"/>
          <w:numId w:val="11"/>
        </w:numPr>
      </w:pPr>
      <w:r>
        <w:t>Does XGBoost, using lagged price, lagged volume, seasonal, and calendar features, forecast more accurately than SARIMA and naive seasonal baselines?</w:t>
      </w:r>
    </w:p>
    <w:p>
      <w:pPr>
        <w:spacing w:after="60"/>
        <w:jc w:val="both"/>
        <w:numPr>
          <w:ilvl w:val="0"/>
          <w:numId w:val="11"/>
        </w:numPr>
      </w:pPr>
      <w:r>
        <w:t>How accurately can supply-glut risk be classified from expected market arrivals and price movement?</w:t>
      </w:r>
    </w:p>
    <w:p>
      <w:pPr>
        <w:spacing w:after="60"/>
        <w:jc w:val="both"/>
        <w:numPr>
          <w:ilvl w:val="0"/>
          <w:numId w:val="11"/>
        </w:numPr>
      </w:pPr>
      <w:r>
        <w:t>How does error vary by commodity and season, and how can forecasts and their uncertainty be presented so that staff do not treat them as guarantees?</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and evaluate an explainable forecasting system for short-term wholesale prices, market arrivals, and supply-glut risk of Benguet highland vegetables.</w:t>
      </w:r>
    </w:p>
    <w:p>
      <w:pPr>
        <w:spacing w:after="120"/>
        <w:jc w:val="both"/>
      </w:pPr>
      <w:r>
        <w:rPr>
          <w:b/>
        </w:rPr>
        <w:t>Specific objectives.</w:t>
      </w:r>
    </w:p>
    <w:p>
      <w:pPr>
        <w:spacing w:after="60"/>
        <w:jc w:val="both"/>
        <w:numPr>
          <w:ilvl w:val="0"/>
          <w:numId w:val="12"/>
        </w:numPr>
      </w:pPr>
      <w:r>
        <w:t>Obtain and clean structured historical BAPTC price and trading-volume records, with DA Bantay Presyo bulletins as a secondary series.</w:t>
      </w:r>
    </w:p>
    <w:p>
      <w:pPr>
        <w:spacing w:after="60"/>
        <w:jc w:val="both"/>
        <w:numPr>
          <w:ilvl w:val="0"/>
          <w:numId w:val="12"/>
        </w:numPr>
      </w:pPr>
      <w:r>
        <w:t>Engineer commodity, seasonal, lagged-price, lagged-volume, rolling-trend, and weather features.</w:t>
      </w:r>
    </w:p>
    <w:p>
      <w:pPr>
        <w:spacing w:after="60"/>
        <w:jc w:val="both"/>
        <w:numPr>
          <w:ilvl w:val="0"/>
          <w:numId w:val="12"/>
        </w:numPr>
      </w:pPr>
      <w:r>
        <w:t>Train XGBoost for price regression and glut-risk classification, and compare it against SARIMA, seasonal-naive, and last-value baselines using rolling-origin validation.</w:t>
      </w:r>
    </w:p>
    <w:p>
      <w:pPr>
        <w:spacing w:after="60"/>
        <w:jc w:val="both"/>
        <w:numPr>
          <w:ilvl w:val="0"/>
          <w:numId w:val="12"/>
        </w:numPr>
      </w:pPr>
      <w:r>
        <w:t>Report error by commodity and season, and explain predictions with feature importance.</w:t>
      </w:r>
    </w:p>
    <w:p>
      <w:pPr>
        <w:spacing w:after="60"/>
        <w:jc w:val="both"/>
        <w:numPr>
          <w:ilvl w:val="0"/>
          <w:numId w:val="12"/>
        </w:numPr>
      </w:pPr>
      <w:r>
        <w:t>Deliver forecasts, risk alerts, and model limitations in an early-warning dashboard for staff.</w:t>
      </w:r>
    </w:p>
    <w:p>
      <w:pPr>
        <w:spacing w:after="0"/>
      </w:pPr>
    </w:p>
    <w:p>
      <w:pPr>
        <w:keepNext/>
        <w:spacing w:before="160" w:after="80"/>
      </w:pPr>
      <w:r>
        <w:rPr>
          <w:b/>
          <w:sz w:val="22"/>
        </w:rPr>
        <w:t>1.4 Significance of the Study</w:t>
      </w:r>
    </w:p>
    <w:p>
      <w:pPr>
        <w:spacing w:after="60"/>
        <w:jc w:val="both"/>
        <w:numPr>
          <w:ilvl w:val="0"/>
          <w:numId w:val="13"/>
        </w:numPr>
      </w:pPr>
      <w:r>
        <w:rPr>
          <w:b/>
        </w:rPr>
        <w:t>BAPTC and DA Cordillera staff</w:t>
      </w:r>
      <w:r>
        <w:t xml:space="preserve"> gain an early warning of price drops and oversupply by commodity.</w:t>
      </w:r>
    </w:p>
    <w:p>
      <w:pPr>
        <w:spacing w:after="60"/>
        <w:jc w:val="both"/>
        <w:numPr>
          <w:ilvl w:val="0"/>
          <w:numId w:val="13"/>
        </w:numPr>
      </w:pPr>
      <w:r>
        <w:rPr>
          <w:b/>
        </w:rPr>
        <w:t>Benguet vegetable farmers and traders</w:t>
      </w:r>
      <w:r>
        <w:t xml:space="preserve"> benefit from better-timed harvest and marketing decisions, reached through existing DA channels.</w:t>
      </w:r>
    </w:p>
    <w:p>
      <w:pPr>
        <w:spacing w:after="60"/>
        <w:jc w:val="both"/>
        <w:numPr>
          <w:ilvl w:val="0"/>
          <w:numId w:val="13"/>
        </w:numPr>
      </w:pPr>
      <w:r>
        <w:rPr>
          <w:b/>
        </w:rPr>
        <w:t>Future researchers</w:t>
      </w:r>
      <w:r>
        <w:t xml:space="preserve"> gain a multi-commodity forecasting baseline for a Philippine highland vegetable market.</w:t>
      </w:r>
    </w:p>
    <w:p>
      <w:pPr>
        <w:spacing w:after="0"/>
      </w:pPr>
    </w:p>
    <w:p>
      <w:pPr>
        <w:keepNext/>
        <w:spacing w:before="160" w:after="80"/>
      </w:pPr>
      <w:r>
        <w:rPr>
          <w:b/>
          <w:sz w:val="22"/>
        </w:rPr>
        <w:t>1.5 Scope and Limitations</w:t>
      </w:r>
    </w:p>
    <w:p>
      <w:pPr>
        <w:spacing w:after="120"/>
        <w:jc w:val="both"/>
      </w:pPr>
      <w:r>
        <w:t>The study covers commodity-level price and trading-volume records at BAPTC. It does not collect trader or farmer identities. The system is decision support and does not give individual trading advice. The supply-glut component requires BAPTC trading-volume data. If only price data is released, the study narrows to price forecasting and the glut claim is withdrawn, as set in the Technical Assessment 1 decision gate. Forecasts cannot anticipate shocks such as typhoons beyond what historical and weather data show.</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RRL establishes the concepts behind vegetable price volatility, market supply, seasonal forecasting, machine learning, and glut-risk decision support. The sources below show why price should be analyzed together with production or arrivals, weather, demand, and calendar effects rather than as an isolated historical series.</w:t>
      </w:r>
    </w:p>
    <w:p>
      <w:pPr>
        <w:keepNext/>
        <w:spacing w:before="120" w:after="40"/>
      </w:pPr>
      <w:r>
        <w:rPr>
          <w:b/>
        </w:rPr>
        <w:t>1. Machine Learning Outperforms Classical Forecasting on Horticultural Sales Predictions</w:t>
      </w:r>
      <w:r>
        <w:rPr>
          <w:color w:val="595959"/>
          <w:sz w:val="18"/>
        </w:rPr>
        <w:t xml:space="preserve">  [Foreign Literature]</w:t>
      </w:r>
    </w:p>
    <w:p>
      <w:pPr>
        <w:spacing w:after="40"/>
        <w:ind w:left="432"/>
        <w:jc w:val="both"/>
      </w:pPr>
      <w:r>
        <w:t>Haselbeck et al. compared nine machine-learning and three classical forecasting methods across horticultural-sales datasets. XGBoost was the best performer in 14 of 15 comparisons, and weather, holiday, and meta-features improved results. The study supports using XGBoost as a main model and including external predictors for perishable products.</w:t>
      </w:r>
    </w:p>
    <w:p>
      <w:pPr>
        <w:spacing w:after="40"/>
        <w:ind w:left="432"/>
        <w:jc w:val="left"/>
      </w:pPr>
      <w:r>
        <w:t>Source link: https://doi.org/10.1016/j.mlwa.2021.100239</w:t>
      </w:r>
    </w:p>
    <w:p>
      <w:pPr>
        <w:keepNext/>
        <w:spacing w:before="120" w:after="40"/>
      </w:pPr>
      <w:r>
        <w:rPr>
          <w:b/>
        </w:rPr>
        <w:t>2. Analysis of Factors Affecting Vegetable Price Fluctuation A Case Study of South Korea</w:t>
      </w:r>
      <w:r>
        <w:rPr>
          <w:color w:val="595959"/>
          <w:sz w:val="18"/>
        </w:rPr>
        <w:t xml:space="preserve">  [Foreign Literature]</w:t>
      </w:r>
    </w:p>
    <w:p>
      <w:pPr>
        <w:spacing w:after="40"/>
        <w:ind w:left="432"/>
        <w:jc w:val="both"/>
      </w:pPr>
      <w:r>
        <w:t>Qiao, Kang, and Ahn decomposed vegetable price fluctuation into demand, domestic production, imports, and exports. Domestic production strongly explained recent garlic and onion volatility. The study supports including BAPTC arrivals or production indicators in addition to price lags.</w:t>
      </w:r>
    </w:p>
    <w:p>
      <w:pPr>
        <w:spacing w:after="40"/>
        <w:ind w:left="432"/>
        <w:jc w:val="left"/>
      </w:pPr>
      <w:r>
        <w:t>Source link: https://doi.org/10.3390/agriculture13030577</w:t>
      </w:r>
    </w:p>
    <w:p>
      <w:pPr>
        <w:keepNext/>
        <w:spacing w:before="120" w:after="40"/>
      </w:pPr>
      <w:r>
        <w:rPr>
          <w:b/>
        </w:rPr>
        <w:t>3. Forecasting of Garlic Price Based on DA RNN Using Attention Weight of Temporal Fusion Transformers</w:t>
      </w:r>
      <w:r>
        <w:rPr>
          <w:color w:val="595959"/>
          <w:sz w:val="18"/>
        </w:rPr>
        <w:t xml:space="preserve">  [Foreign Literature]</w:t>
      </w:r>
    </w:p>
    <w:p>
      <w:pPr>
        <w:spacing w:after="40"/>
        <w:ind w:left="432"/>
        <w:jc w:val="both"/>
      </w:pPr>
      <w:r>
        <w:t>Choi et al. developed an attention-based model for garlic-price forecasting using many input variables. Their hybrid approach improved forecast accuracy and showed that attention mechanisms can identify influential predictors. This supports feature importance and explainability in agricultural-price models.</w:t>
      </w:r>
    </w:p>
    <w:p>
      <w:pPr>
        <w:spacing w:after="40"/>
        <w:ind w:left="432"/>
        <w:jc w:val="left"/>
      </w:pPr>
      <w:r>
        <w:t>Source link: https://doi.org/10.3934/mbe.2023397</w:t>
      </w:r>
    </w:p>
    <w:p>
      <w:pPr>
        <w:keepNext/>
        <w:spacing w:before="120" w:after="40"/>
      </w:pPr>
      <w:r>
        <w:rPr>
          <w:b/>
        </w:rPr>
        <w:t>4. Exogenous Variable Driven Deep Learning Models for Improved Price Forecasting of TOP Crops in India</w:t>
      </w:r>
      <w:r>
        <w:rPr>
          <w:color w:val="595959"/>
          <w:sz w:val="18"/>
        </w:rPr>
        <w:t xml:space="preserve">  [Foreign Literature]</w:t>
      </w:r>
    </w:p>
    <w:p>
      <w:pPr>
        <w:spacing w:after="40"/>
        <w:ind w:left="432"/>
        <w:jc w:val="both"/>
      </w:pPr>
      <w:r>
        <w:t>Nayak et al. compared ARIMAX, machine learning, and deep-learning models for tomato, onion, and potato prices using temperature and precipitation. Models with exogenous variables performed better than models based only on price history. The work supports adding weather data to the BAPTC feature set.</w:t>
      </w:r>
    </w:p>
    <w:p>
      <w:pPr>
        <w:spacing w:after="40"/>
        <w:ind w:left="432"/>
        <w:jc w:val="left"/>
      </w:pPr>
      <w:r>
        <w:t>Source link: https://doi.org/10.1038/s41598-024-68040-3</w:t>
      </w:r>
    </w:p>
    <w:p>
      <w:pPr>
        <w:keepNext/>
        <w:spacing w:before="120" w:after="40"/>
      </w:pPr>
      <w:r>
        <w:rPr>
          <w:b/>
        </w:rPr>
        <w:t>5. The Analysis of Crop Production Data for Predicting Future Trends of Highland Vegetables in Benguet</w:t>
      </w:r>
      <w:r>
        <w:rPr>
          <w:color w:val="595959"/>
          <w:sz w:val="18"/>
        </w:rPr>
        <w:t xml:space="preserve">  [Local Literature]</w:t>
      </w:r>
    </w:p>
    <w:p>
      <w:pPr>
        <w:spacing w:after="40"/>
        <w:ind w:left="432"/>
        <w:jc w:val="both"/>
      </w:pPr>
      <w:r>
        <w:t>Quitaleg and Dumlao used several machine-learning methods to forecast highland-vegetable production in Benguet and found Random Forest highly effective. They also identified incomplete historical farm data as a local limitation. This provides direct Benguet context and supports systematic collection of production and planting information.</w:t>
      </w:r>
    </w:p>
    <w:p>
      <w:pPr>
        <w:spacing w:after="40"/>
        <w:ind w:left="432"/>
        <w:jc w:val="left"/>
      </w:pPr>
      <w:r>
        <w:t>Source link: https://ejournals.ph/article.php?id=28825</w:t>
      </w:r>
    </w:p>
    <w:p>
      <w:pPr>
        <w:keepNext/>
        <w:spacing w:before="120" w:after="40"/>
      </w:pPr>
      <w:r>
        <w:rPr>
          <w:b/>
        </w:rPr>
        <w:t>6. From Price Stability to Food Security What Are the Drivers of Price Volatilities in Philippine Vegetable Markets</w:t>
      </w:r>
      <w:r>
        <w:rPr>
          <w:color w:val="595959"/>
          <w:sz w:val="18"/>
        </w:rPr>
        <w:t xml:space="preserve">  [Local Literature]</w:t>
      </w:r>
    </w:p>
    <w:p>
      <w:pPr>
        <w:spacing w:after="40"/>
        <w:ind w:left="432"/>
        <w:jc w:val="both"/>
      </w:pPr>
      <w:r>
        <w:t>Hinlo and Lee decomposed Philippine onion and garlic price variance into demand, supply, and import components. Demand explained much of the observed variability, while supply shocks remained important and seasonal bottlenecks amplified effects. The study supports modeling both demand and supply in Philippine vegetable forecasting.</w:t>
      </w:r>
    </w:p>
    <w:p>
      <w:pPr>
        <w:spacing w:after="40"/>
        <w:ind w:left="432"/>
        <w:jc w:val="left"/>
      </w:pPr>
      <w:r>
        <w:t>Source link: https://doi.org/10.1186/s40066-025-00602-8</w:t>
      </w:r>
    </w:p>
    <w:p>
      <w:pPr>
        <w:spacing w:after="40"/>
        <w:ind w:left="432"/>
        <w:jc w:val="both"/>
      </w:pPr>
      <w:r>
        <w:rPr>
          <w:highlight w:val="yellow"/>
        </w:rPr>
        <w:t>[Crossref dates this article 2026, not 2025. Use 2026 in the reference list.]</w:t>
      </w:r>
    </w:p>
    <w:p>
      <w:pPr>
        <w:keepNext/>
        <w:spacing w:before="160" w:after="80"/>
      </w:pPr>
      <w:r>
        <w:rPr>
          <w:b/>
          <w:sz w:val="22"/>
        </w:rPr>
        <w:t>2.2 Review of Related Studies</w:t>
      </w:r>
    </w:p>
    <w:p>
      <w:pPr>
        <w:spacing w:after="120"/>
        <w:jc w:val="both"/>
      </w:pPr>
      <w:r>
        <w:t>The RRS presents empirical forecasting applications involving vegetable prices, production, sales, and supply-related conditions. Together, these studies guide the comparison of XGBoost with time-series and deep-learning baselines and clarify the importance of commodity-specific validation.</w:t>
      </w:r>
    </w:p>
    <w:p>
      <w:pPr>
        <w:keepNext/>
        <w:spacing w:before="120" w:after="40"/>
      </w:pPr>
      <w:r>
        <w:rPr>
          <w:b/>
        </w:rPr>
        <w:t>1. Machine Learning Techniques for Forecasting Agricultural Prices A Case of Brinjal in Odisha India</w:t>
      </w:r>
      <w:r>
        <w:rPr>
          <w:color w:val="595959"/>
          <w:sz w:val="18"/>
        </w:rPr>
        <w:t xml:space="preserve">  [Foreign Study]</w:t>
      </w:r>
    </w:p>
    <w:p>
      <w:pPr>
        <w:spacing w:after="40"/>
        <w:ind w:left="432"/>
        <w:jc w:val="both"/>
      </w:pPr>
      <w:r>
        <w:t>Paul et al. forecast wholesale brinjal prices in 17 markets using GRNN, SVR, Random Forest, Gradient Boosting Machine, and ARIMA. GRNN performed best overall, while Random Forest was competitive in several markets.</w:t>
      </w:r>
    </w:p>
    <w:p>
      <w:pPr>
        <w:spacing w:after="40"/>
        <w:ind w:left="432"/>
        <w:jc w:val="both"/>
      </w:pPr>
      <w:r>
        <w:rPr>
          <w:b/>
        </w:rPr>
        <w:t>Relevance to the proposed study.</w:t>
      </w:r>
      <w:r>
        <w:t xml:space="preserve"> It demonstrates that agricultural-price performance differs by market and model. The proposed study should compare XGBoost against SARIMA, naive forecasts, and other appropriate baselines rather than assume one method always wins.</w:t>
      </w:r>
    </w:p>
    <w:p>
      <w:pPr>
        <w:spacing w:after="40"/>
        <w:ind w:left="432"/>
        <w:jc w:val="left"/>
      </w:pPr>
      <w:r>
        <w:t>Source link: https://doi.org/10.1371/journal.pone.0270553</w:t>
      </w:r>
    </w:p>
    <w:p>
      <w:pPr>
        <w:keepNext/>
        <w:spacing w:before="120" w:after="40"/>
      </w:pPr>
      <w:r>
        <w:rPr>
          <w:b/>
        </w:rPr>
        <w:t>2. ARIMA Model Forecasting Analysis of the Prices of Multiple Vegetables Under the Impact of COVID 19</w:t>
      </w:r>
      <w:r>
        <w:rPr>
          <w:color w:val="595959"/>
          <w:sz w:val="18"/>
        </w:rPr>
        <w:t xml:space="preserve">  [Foreign Study]</w:t>
      </w:r>
    </w:p>
    <w:p>
      <w:pPr>
        <w:spacing w:after="40"/>
        <w:ind w:left="432"/>
        <w:jc w:val="both"/>
      </w:pPr>
      <w:r>
        <w:t>Mao et al. analyzed 51,567 vegetable-price observations during the COVID-19 period and applied ARIMA to cabbage, carrot, and eggplant prices. The study showed that unusual disruption periods can change price behavior.</w:t>
      </w:r>
    </w:p>
    <w:p>
      <w:pPr>
        <w:spacing w:after="40"/>
        <w:ind w:left="432"/>
        <w:jc w:val="both"/>
      </w:pPr>
      <w:r>
        <w:rPr>
          <w:b/>
        </w:rPr>
        <w:t>Relevance to the proposed study.</w:t>
      </w:r>
      <w:r>
        <w:t xml:space="preserve"> It supports adding event and disruption indicators where available and presenting forecasts as decision support rather than guarantees.</w:t>
      </w:r>
    </w:p>
    <w:p>
      <w:pPr>
        <w:spacing w:after="40"/>
        <w:ind w:left="432"/>
        <w:jc w:val="left"/>
      </w:pPr>
      <w:r>
        <w:t>Source link: https://doi.org/10.1371/journal.pone.0271594</w:t>
      </w:r>
    </w:p>
    <w:p>
      <w:pPr>
        <w:keepNext/>
        <w:spacing w:before="120" w:after="40"/>
      </w:pPr>
      <w:r>
        <w:rPr>
          <w:b/>
        </w:rPr>
        <w:t>3. Short Term Forecasting of Vegetable Prices Based on LSTM Model Evidence From Beijings Vegetable Data</w:t>
      </w:r>
      <w:r>
        <w:rPr>
          <w:color w:val="595959"/>
          <w:sz w:val="18"/>
        </w:rPr>
        <w:t xml:space="preserve">  [Foreign Study]</w:t>
      </w:r>
    </w:p>
    <w:p>
      <w:pPr>
        <w:spacing w:after="40"/>
        <w:ind w:left="432"/>
        <w:jc w:val="both"/>
      </w:pPr>
      <w:r>
        <w:t>Zhang et al. trained an LSTM on daily prices for six vegetable categories across seven Beijing wholesale markets. The model reached R2 of .958 and MAE of .143 and outperformed conventional comparators.</w:t>
      </w:r>
    </w:p>
    <w:p>
      <w:pPr>
        <w:spacing w:after="40"/>
        <w:ind w:left="432"/>
        <w:jc w:val="both"/>
      </w:pPr>
      <w:r>
        <w:rPr>
          <w:b/>
        </w:rPr>
        <w:t>Relevance to the proposed study.</w:t>
      </w:r>
      <w:r>
        <w:t xml:space="preserve"> It provides a useful deep-learning benchmark for continuous price series. The BAPTC study can compare XGBoost with LSTM or GRU only when sufficient chronological data are available.</w:t>
      </w:r>
    </w:p>
    <w:p>
      <w:pPr>
        <w:spacing w:after="40"/>
        <w:ind w:left="432"/>
        <w:jc w:val="left"/>
      </w:pPr>
      <w:r>
        <w:t>Source link: https://doi.org/10.1371/journal.pone.0304881</w:t>
      </w:r>
    </w:p>
    <w:p>
      <w:pPr>
        <w:keepNext/>
        <w:spacing w:before="120" w:after="40"/>
      </w:pPr>
      <w:r>
        <w:rPr>
          <w:b/>
        </w:rPr>
        <w:t>4. A Hierarchical RF XGBoost Model for Short Cycle Agricultural Product Sales Forecasting</w:t>
      </w:r>
      <w:r>
        <w:rPr>
          <w:color w:val="595959"/>
          <w:sz w:val="18"/>
        </w:rPr>
        <w:t xml:space="preserve">  [Foreign Study]</w:t>
      </w:r>
    </w:p>
    <w:p>
      <w:pPr>
        <w:spacing w:after="40"/>
        <w:ind w:left="432"/>
        <w:jc w:val="both"/>
      </w:pPr>
      <w:r>
        <w:t>Li et al. combined Random Forest, residual clustering, and XGBoost to forecast sales of 42 short-cycle agricultural products across six vegetable categories. The model reduced MAPE by 10 to 12 percent relative to standalone Random Forest and XGBoost.</w:t>
      </w:r>
    </w:p>
    <w:p>
      <w:pPr>
        <w:spacing w:after="40"/>
        <w:ind w:left="432"/>
        <w:jc w:val="both"/>
      </w:pPr>
      <w:r>
        <w:rPr>
          <w:b/>
        </w:rPr>
        <w:t>Relevance to the proposed study.</w:t>
      </w:r>
      <w:r>
        <w:t xml:space="preserve"> It is closely relevant to glut forecasting because sales or withdrawals are a demand-side counterpart to expected arrivals. A later BAPTC model can test a similar two-stage structure.</w:t>
      </w:r>
    </w:p>
    <w:p>
      <w:pPr>
        <w:spacing w:after="40"/>
        <w:ind w:left="432"/>
        <w:jc w:val="left"/>
      </w:pPr>
      <w:r>
        <w:t>Source link: https://doi.org/10.3390/foods13182936</w:t>
      </w:r>
    </w:p>
    <w:p>
      <w:pPr>
        <w:keepNext/>
        <w:spacing w:before="120" w:after="40"/>
      </w:pPr>
      <w:r>
        <w:rPr>
          <w:b/>
        </w:rPr>
        <w:t>5. Research on Retail Pricing Strategy of Supermarket Fresh Products Based on XGBoost Model</w:t>
      </w:r>
      <w:r>
        <w:rPr>
          <w:color w:val="595959"/>
          <w:sz w:val="18"/>
        </w:rPr>
        <w:t xml:space="preserve">  [Foreign Study]</w:t>
      </w:r>
    </w:p>
    <w:p>
      <w:pPr>
        <w:spacing w:after="40"/>
        <w:ind w:left="432"/>
        <w:jc w:val="both"/>
      </w:pPr>
      <w:r>
        <w:t>Zeng, Gao, and Hu used LSTM to forecast wholesale vegetable prices and XGBoost to forecast sales volume for fresh-product replenishment. Their wholesale-price models achieved strong fit and the sales model supported operational decisions.</w:t>
      </w:r>
    </w:p>
    <w:p>
      <w:pPr>
        <w:spacing w:after="40"/>
        <w:ind w:left="432"/>
        <w:jc w:val="both"/>
      </w:pPr>
      <w:r>
        <w:rPr>
          <w:b/>
        </w:rPr>
        <w:t>Relevance to the proposed study.</w:t>
      </w:r>
      <w:r>
        <w:t xml:space="preserve"> It supports a two-output design for BAPTC: a regression forecast for price and a separate volume or glut-risk forecast.</w:t>
      </w:r>
    </w:p>
    <w:p>
      <w:pPr>
        <w:spacing w:after="40"/>
        <w:ind w:left="432"/>
        <w:jc w:val="left"/>
      </w:pPr>
      <w:r>
        <w:t>Source link: https://www.francis-press.com/index.php/papers/17280</w:t>
      </w:r>
    </w:p>
    <w:p>
      <w:pPr>
        <w:keepNext/>
        <w:spacing w:before="120" w:after="40"/>
      </w:pPr>
      <w:r>
        <w:rPr>
          <w:b/>
        </w:rPr>
        <w:t>6. A Study on Short Term Vegetable Price Prediction Based on the CNN LSTM Attention Model</w:t>
      </w:r>
      <w:r>
        <w:rPr>
          <w:color w:val="595959"/>
          <w:sz w:val="18"/>
        </w:rPr>
        <w:t xml:space="preserve">  [Foreign Study]</w:t>
      </w:r>
    </w:p>
    <w:p>
      <w:pPr>
        <w:spacing w:after="40"/>
        <w:ind w:left="432"/>
        <w:jc w:val="both"/>
      </w:pPr>
      <w:r>
        <w:t>Bao et al. integrated TVP-VAR with CNN-LSTM-Attention and added extreme-weather and economic-policy-uncertainty variables. The integrated model improved short-term vegetable-price accuracy.</w:t>
      </w:r>
    </w:p>
    <w:p>
      <w:pPr>
        <w:spacing w:after="40"/>
        <w:ind w:left="432"/>
        <w:jc w:val="both"/>
      </w:pPr>
      <w:r>
        <w:rPr>
          <w:b/>
        </w:rPr>
        <w:t>Relevance to the proposed study.</w:t>
      </w:r>
      <w:r>
        <w:t xml:space="preserve"> It shows that external shock variables can improve vegetable forecasting; the BAPTC study should evaluate weather and typhoon-related features when reliable local data exist.</w:t>
      </w:r>
    </w:p>
    <w:p>
      <w:pPr>
        <w:spacing w:after="40"/>
        <w:ind w:left="432"/>
        <w:jc w:val="left"/>
      </w:pPr>
      <w:r>
        <w:t>Source link: https://doi.org/10.1007/s44187-025-00426-2</w:t>
      </w:r>
    </w:p>
    <w:p>
      <w:pPr>
        <w:keepNext/>
        <w:spacing w:before="120" w:after="40"/>
      </w:pPr>
      <w:r>
        <w:rPr>
          <w:b/>
        </w:rPr>
        <w:t>7. A Hybrid Model Integrating Variational Mode Decomposition and Intelligent Optimization for Vegetable Price Prediction</w:t>
      </w:r>
      <w:r>
        <w:rPr>
          <w:color w:val="595959"/>
          <w:sz w:val="18"/>
        </w:rPr>
        <w:t xml:space="preserve">  [Foreign Study]</w:t>
      </w:r>
    </w:p>
    <w:p>
      <w:pPr>
        <w:spacing w:after="40"/>
        <w:ind w:left="432"/>
        <w:jc w:val="both"/>
      </w:pPr>
      <w:r>
        <w:t>Wang et al. used variational mode decomposition, fruit-fly optimization, and GRU to forecast six vegetables from 2014 to 2024. The hybrid method exceeded conventional and single-model alternatives.</w:t>
      </w:r>
    </w:p>
    <w:p>
      <w:pPr>
        <w:spacing w:after="40"/>
        <w:ind w:left="432"/>
        <w:jc w:val="both"/>
      </w:pPr>
      <w:r>
        <w:rPr>
          <w:b/>
        </w:rPr>
        <w:t>Relevance to the proposed study.</w:t>
      </w:r>
      <w:r>
        <w:t xml:space="preserve"> It demonstrates that hybrid methods may improve accuracy, but its complexity reinforces the value of starting the BAPTC project with interpretable XGBoost and transparent baseline models.</w:t>
      </w:r>
    </w:p>
    <w:p>
      <w:pPr>
        <w:spacing w:after="40"/>
        <w:ind w:left="432"/>
        <w:jc w:val="left"/>
      </w:pPr>
      <w:r>
        <w:t>Source link: https://doi.org/10.3390/agriculture15090919</w:t>
      </w:r>
    </w:p>
    <w:p>
      <w:pPr>
        <w:keepNext/>
        <w:spacing w:before="120" w:after="40"/>
      </w:pPr>
      <w:r>
        <w:rPr>
          <w:b/>
        </w:rPr>
        <w:t>8. Forecasting Prices of Salad Vegetables Using Statistical and Artificial Intelligence Techniques</w:t>
      </w:r>
      <w:r>
        <w:rPr>
          <w:color w:val="595959"/>
          <w:sz w:val="18"/>
        </w:rPr>
        <w:t xml:space="preserve">  [Foreign Study]</w:t>
      </w:r>
    </w:p>
    <w:p>
      <w:pPr>
        <w:spacing w:after="40"/>
        <w:ind w:left="432"/>
        <w:jc w:val="both"/>
      </w:pPr>
      <w:r>
        <w:t>Bulut compared CNN, LSTM, and Random Forest in 10-day forecasts for parsley, lemon, cauliflower, and carrot using daily price and trade-volume data. CNN generally performed best.</w:t>
      </w:r>
    </w:p>
    <w:p>
      <w:pPr>
        <w:spacing w:after="40"/>
        <w:ind w:left="432"/>
        <w:jc w:val="both"/>
      </w:pPr>
      <w:r>
        <w:rPr>
          <w:b/>
        </w:rPr>
        <w:t>Relevance to the proposed study.</w:t>
      </w:r>
      <w:r>
        <w:t xml:space="preserve"> It confirms that volume information makes price forecasts more useful in decision-making and supports retaining BAPTC trading-volume data as a requirement for the full glut scope.</w:t>
      </w:r>
    </w:p>
    <w:p>
      <w:pPr>
        <w:spacing w:after="40"/>
        <w:ind w:left="432"/>
        <w:jc w:val="left"/>
      </w:pPr>
      <w:r>
        <w:t>Source link: https://doi.org/10.1590/0103-8478cr20240444</w:t>
      </w:r>
    </w:p>
    <w:p>
      <w:pPr>
        <w:keepNext/>
        <w:spacing w:before="120" w:after="40"/>
      </w:pPr>
      <w:r>
        <w:rPr>
          <w:b/>
        </w:rPr>
        <w:t>9. Vegetable Price Prediction Based on Optimized Neural Network Time Series Models</w:t>
      </w:r>
      <w:r>
        <w:rPr>
          <w:color w:val="595959"/>
          <w:sz w:val="18"/>
        </w:rPr>
        <w:t xml:space="preserve">  [Foreign Study]</w:t>
      </w:r>
    </w:p>
    <w:p>
      <w:pPr>
        <w:spacing w:after="40"/>
        <w:ind w:left="432"/>
        <w:jc w:val="both"/>
      </w:pPr>
      <w:r>
        <w:t>Hou et al. evaluated optimized neural-network time-series models for vegetable prices and observed better performance for commodities with relatively stable price patterns.</w:t>
      </w:r>
    </w:p>
    <w:p>
      <w:pPr>
        <w:spacing w:after="40"/>
        <w:ind w:left="432"/>
        <w:jc w:val="both"/>
      </w:pPr>
      <w:r>
        <w:rPr>
          <w:b/>
        </w:rPr>
        <w:t>Relevance to the proposed study.</w:t>
      </w:r>
      <w:r>
        <w:t xml:space="preserve"> It supports commodity-specific modeling and reporting of error by commodity and season, especially for highly volatile highland vegetables.</w:t>
      </w:r>
    </w:p>
    <w:p>
      <w:pPr>
        <w:spacing w:after="40"/>
        <w:ind w:left="432"/>
        <w:jc w:val="left"/>
      </w:pPr>
      <w:r>
        <w:t>Source link: https://doi.org/10.12133/j.smartag.SA202410037</w:t>
      </w:r>
    </w:p>
    <w:p>
      <w:pPr>
        <w:spacing w:after="40"/>
        <w:ind w:left="432"/>
        <w:jc w:val="both"/>
      </w:pPr>
      <w:r>
        <w:rPr>
          <w:highlight w:val="yellow"/>
        </w:rPr>
        <w:t>[This DOI does not resolve in Crossref. Re-check the link and the citation details.]</w:t>
      </w:r>
    </w:p>
    <w:p>
      <w:pPr>
        <w:keepNext/>
        <w:spacing w:before="120" w:after="40"/>
      </w:pPr>
      <w:r>
        <w:rPr>
          <w:b/>
        </w:rPr>
        <w:t>10. Hinterland Lettuce Selling Price Forecasting Model Using Recurrent Neural Networks</w:t>
      </w:r>
      <w:r>
        <w:rPr>
          <w:color w:val="595959"/>
          <w:sz w:val="18"/>
        </w:rPr>
        <w:t xml:space="preserve">  [Local Study]</w:t>
      </w:r>
    </w:p>
    <w:p>
      <w:pPr>
        <w:spacing w:after="40"/>
        <w:ind w:left="432"/>
        <w:jc w:val="both"/>
      </w:pPr>
      <w:r>
        <w:t>Lubag et al. evaluated machine-learning and deep-learning models for discontinuous BAPTC lettuce price data. Their optimized BiGRU reached test R2 of .95, RMSE of 15.85, and MAE of 8.97.</w:t>
      </w:r>
    </w:p>
    <w:p>
      <w:pPr>
        <w:spacing w:after="40"/>
        <w:ind w:left="432"/>
        <w:jc w:val="both"/>
      </w:pPr>
      <w:r>
        <w:rPr>
          <w:b/>
        </w:rPr>
        <w:t>Relevance to the proposed study.</w:t>
      </w:r>
      <w:r>
        <w:t xml:space="preserve"> This is the closest identified BAPTC study. It validates the local relevance of forecasting but leaves a direct gap for multi-commodity supply-glut prediction using arrivals or volume data.</w:t>
      </w:r>
    </w:p>
    <w:p>
      <w:pPr>
        <w:spacing w:after="40"/>
        <w:ind w:left="432"/>
        <w:jc w:val="left"/>
      </w:pPr>
      <w:r>
        <w:t>Source link: https://doi.org/10.1109/HNICEM69498.2025.11569264</w:t>
      </w:r>
    </w:p>
    <w:p>
      <w:pPr>
        <w:keepNext/>
        <w:spacing w:before="160" w:after="80"/>
      </w:pPr>
      <w:r>
        <w:rPr>
          <w:b/>
          <w:sz w:val="22"/>
        </w:rPr>
        <w:t>2.3 Synthesis and Research Gap</w:t>
      </w:r>
    </w:p>
    <w:p>
      <w:pPr>
        <w:spacing w:after="120"/>
        <w:jc w:val="both"/>
      </w:pPr>
      <w:r>
        <w:t>Recent studies consistently show that vegetable forecasting improves when models use weather, seasonal indicators, market volume, and lagged behavior. However, most research predicts price only. The proposed study addresses a local gap by linking expected price with market arrivals or trading volume and translating those outputs into a clearly defined glut-risk alert. Its contribution depends on obtaining authorized, sufficiently complete BAPTC historical records and evaluating every model through chronological rolling-origin validation.</w:t>
      </w:r>
    </w:p>
    <w:p>
      <w:pPr>
        <w:keepNext/>
        <w:spacing w:before="160" w:after="80"/>
      </w:pPr>
      <w:r>
        <w:rPr>
          <w:b/>
          <w:sz w:val="22"/>
        </w:rPr>
        <w:t>2.4 Refined Title</w:t>
      </w:r>
    </w:p>
    <w:p>
      <w:pPr>
        <w:spacing w:after="120"/>
        <w:jc w:val="both"/>
      </w:pPr>
      <w:r>
        <w:rPr>
          <w:b/>
        </w:rPr>
        <w:t>Highland Vegetable Price and Supply Glut Forecasting at the Benguet Agri-Pinoy Trading Center Using XGBoost</w:t>
      </w:r>
      <w:r>
        <w:t xml:space="preserve"> (15 words). The title is kept.</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Forecasting and classification models are built and evaluated against baselines under chronological validation, then delivered through a dashboard.</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BAPTC historical commodity-level wholesale price and trading-volume records</w:t>
            </w:r>
          </w:p>
        </w:tc>
      </w:tr>
      <w:tr>
        <w:tc>
          <w:tcPr>
            <w:tcW w:type="dxa" w:w="2160"/>
          </w:tcPr>
          <w:p>
            <w:r/>
            <w:r>
              <w:rPr>
                <w:sz w:val="18"/>
              </w:rPr>
              <w:t>Secondary data</w:t>
            </w:r>
          </w:p>
        </w:tc>
        <w:tc>
          <w:tcPr>
            <w:tcW w:type="dxa" w:w="8064"/>
          </w:tcPr>
          <w:p>
            <w:r/>
            <w:r>
              <w:rPr>
                <w:sz w:val="18"/>
              </w:rPr>
              <w:t>DA Bantay Presyo price monitoring bulletins, for cross-validation and as the price-only fallback</w:t>
            </w:r>
          </w:p>
        </w:tc>
      </w:tr>
      <w:tr>
        <w:tc>
          <w:tcPr>
            <w:tcW w:type="dxa" w:w="2160"/>
          </w:tcPr>
          <w:p>
            <w:r/>
            <w:r>
              <w:rPr>
                <w:sz w:val="18"/>
              </w:rPr>
              <w:t>Partner status</w:t>
            </w:r>
          </w:p>
        </w:tc>
        <w:tc>
          <w:tcPr>
            <w:tcW w:type="dxa" w:w="8064"/>
          </w:tcPr>
          <w:p>
            <w:r/>
            <w:r>
              <w:rPr>
                <w:sz w:val="18"/>
              </w:rPr>
              <w:t>BAPTC acknowledged the group's request. Awaiting further updates.</w:t>
            </w:r>
          </w:p>
        </w:tc>
      </w:tr>
      <w:tr>
        <w:tc>
          <w:tcPr>
            <w:tcW w:type="dxa" w:w="2160"/>
          </w:tcPr>
          <w:p>
            <w:r/>
            <w:r>
              <w:rPr>
                <w:sz w:val="18"/>
              </w:rPr>
              <w:t>Volume target</w:t>
            </w:r>
          </w:p>
        </w:tc>
        <w:tc>
          <w:tcPr>
            <w:tcW w:type="dxa" w:w="8064"/>
          </w:tcPr>
          <w:p>
            <w:r/>
            <w:r>
              <w:rPr>
                <w:sz w:val="18"/>
              </w:rPr>
              <w:t>At least 10,000 commodity-date records</w:t>
            </w:r>
          </w:p>
        </w:tc>
      </w:tr>
      <w:tr>
        <w:tc>
          <w:tcPr>
            <w:tcW w:type="dxa" w:w="2160"/>
          </w:tcPr>
          <w:p>
            <w:r/>
            <w:r>
              <w:rPr>
                <w:sz w:val="18"/>
              </w:rPr>
              <w:t>Excluded data</w:t>
            </w:r>
          </w:p>
        </w:tc>
        <w:tc>
          <w:tcPr>
            <w:tcW w:type="dxa" w:w="8064"/>
          </w:tcPr>
          <w:p>
            <w:r/>
            <w:r>
              <w:rPr>
                <w:sz w:val="18"/>
              </w:rPr>
              <w:t>No trader or farmer identities; commodity-level aggregates only</w:t>
            </w:r>
          </w:p>
        </w:tc>
      </w:tr>
    </w:tbl>
    <w:p>
      <w:pPr>
        <w:spacing w:after="40"/>
      </w:pPr>
    </w:p>
    <w:p>
      <w:pPr>
        <w:keepNext/>
        <w:spacing w:before="160" w:after="80"/>
      </w:pPr>
      <w:r>
        <w:rPr>
          <w:b/>
          <w:sz w:val="22"/>
        </w:rPr>
        <w:t>3.3 Proposed Algorithm and Baselines</w:t>
      </w:r>
    </w:p>
    <w:p>
      <w:pPr>
        <w:spacing w:after="120"/>
        <w:jc w:val="both"/>
      </w:pPr>
      <w:r>
        <w:t>XGBoost is the primary model because one model family handles both the price regression and the glut-risk classification, using lagged volume alongside price. SARIMA is the interpretable seasonal baseline. Every model is compared against last-value and seasonal-naive forecasts. Feature importance is reported so that staff can see what drives each forecast.</w:t>
      </w:r>
    </w:p>
    <w:p>
      <w:pPr>
        <w:keepNext/>
        <w:spacing w:before="160" w:after="80"/>
      </w:pPr>
      <w:r>
        <w:rPr>
          <w:b/>
          <w:sz w:val="22"/>
        </w:rPr>
        <w:t>3.4 System Architecture and Tools</w:t>
      </w:r>
    </w:p>
    <w:p>
      <w:pPr>
        <w:spacing w:after="120"/>
        <w:jc w:val="both"/>
      </w:pPr>
      <w:r>
        <w:t>File import, then cleaning and commodity standardisation, then a staging database, then feature engineering, then model training and rolling-origin evaluation, then a dashboard with forecasts and risk alerts. The stack is Python with pandas, statsmodels, scikit-learn, and XGBoost, SQLite or PostgreSQL for storage, and Streamlit for the dashboard.</w:t>
      </w:r>
    </w:p>
    <w:p>
      <w:pPr>
        <w:keepNext/>
        <w:spacing w:before="160" w:after="80"/>
      </w:pPr>
      <w:r>
        <w:rPr>
          <w:b/>
          <w:sz w:val="22"/>
        </w:rPr>
        <w:t>3.5 Evaluation Metrics</w:t>
      </w:r>
    </w:p>
    <w:p>
      <w:pPr>
        <w:spacing w:after="120"/>
        <w:jc w:val="both"/>
      </w:pPr>
      <w:r>
        <w:t>MAE, RMSE, and sMAPE for price, and precision, recall, F1, and PR-AUC for glut risk, per commodity and season, on rolling-origin folds with a final untouched holdout period.</w:t>
      </w:r>
    </w:p>
    <w:p>
      <w:pPr>
        <w:keepNext/>
        <w:spacing w:before="160" w:after="80"/>
      </w:pPr>
      <w:r>
        <w:rPr>
          <w:b/>
          <w:sz w:val="22"/>
        </w:rPr>
        <w:t>3.6 Ethical Considerations</w:t>
      </w:r>
    </w:p>
    <w:p>
      <w:pPr>
        <w:spacing w:after="120"/>
        <w:jc w:val="both"/>
      </w:pPr>
      <w:r>
        <w:t>The study uses commodity-level aggregates only, so no personal data is processed. Written data-use conditions from BAPTC and an institutional ethics determination are obtained before the full study proceeds. Forecasts are labelled as decision support and shown with uncertainty, because a forecast acted on as a certainty could cause financial loss to a farmer.</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Open-source stack the group already uses</w:t>
            </w:r>
          </w:p>
        </w:tc>
      </w:tr>
      <w:tr>
        <w:tc>
          <w:tcPr>
            <w:tcW w:type="dxa" w:w="3168"/>
          </w:tcPr>
          <w:p>
            <w:r/>
            <w:r>
              <w:rPr>
                <w:sz w:val="18"/>
              </w:rPr>
              <w:t>Dataset and data feasibility</w:t>
            </w:r>
          </w:p>
        </w:tc>
        <w:tc>
          <w:tcPr>
            <w:tcW w:type="dxa" w:w="864"/>
          </w:tcPr>
          <w:p>
            <w:r/>
            <w:r>
              <w:rPr>
                <w:sz w:val="18"/>
              </w:rPr>
              <w:t>4</w:t>
            </w:r>
          </w:p>
        </w:tc>
        <w:tc>
          <w:tcPr>
            <w:tcW w:type="dxa" w:w="6192"/>
          </w:tcPr>
          <w:p>
            <w:r/>
            <w:r>
              <w:rPr>
                <w:sz w:val="18"/>
              </w:rPr>
              <w:t>BAPTC acknowledged the request; coverage and format still to be confirmed</w:t>
            </w:r>
          </w:p>
        </w:tc>
      </w:tr>
      <w:tr>
        <w:tc>
          <w:tcPr>
            <w:tcW w:type="dxa" w:w="3168"/>
          </w:tcPr>
          <w:p>
            <w:r/>
            <w:r>
              <w:rPr>
                <w:sz w:val="18"/>
              </w:rPr>
              <w:t>Algorithm or model feasibility</w:t>
            </w:r>
          </w:p>
        </w:tc>
        <w:tc>
          <w:tcPr>
            <w:tcW w:type="dxa" w:w="864"/>
          </w:tcPr>
          <w:p>
            <w:r/>
            <w:r>
              <w:rPr>
                <w:sz w:val="18"/>
              </w:rPr>
              <w:t>4</w:t>
            </w:r>
          </w:p>
        </w:tc>
        <w:tc>
          <w:tcPr>
            <w:tcW w:type="dxa" w:w="6192"/>
          </w:tcPr>
          <w:p>
            <w:r/>
            <w:r>
              <w:rPr>
                <w:sz w:val="18"/>
              </w:rPr>
              <w:t>Established baselines and a clear primary model</w:t>
            </w:r>
          </w:p>
        </w:tc>
      </w:tr>
      <w:tr>
        <w:tc>
          <w:tcPr>
            <w:tcW w:type="dxa" w:w="3168"/>
          </w:tcPr>
          <w:p>
            <w:r/>
            <w:r>
              <w:rPr>
                <w:sz w:val="18"/>
              </w:rPr>
              <w:t>Operational feasibility</w:t>
            </w:r>
          </w:p>
        </w:tc>
        <w:tc>
          <w:tcPr>
            <w:tcW w:type="dxa" w:w="864"/>
          </w:tcPr>
          <w:p>
            <w:r/>
            <w:r>
              <w:rPr>
                <w:sz w:val="18"/>
              </w:rPr>
              <w:t>4</w:t>
            </w:r>
          </w:p>
        </w:tc>
        <w:tc>
          <w:tcPr>
            <w:tcW w:type="dxa" w:w="6192"/>
          </w:tcPr>
          <w:p>
            <w:r/>
            <w:r>
              <w:rPr>
                <w:sz w:val="18"/>
              </w:rPr>
              <w:t>A responsive institutional contact</w:t>
            </w:r>
          </w:p>
        </w:tc>
      </w:tr>
      <w:tr>
        <w:tc>
          <w:tcPr>
            <w:tcW w:type="dxa" w:w="3168"/>
          </w:tcPr>
          <w:p>
            <w:r/>
            <w:r>
              <w:rPr>
                <w:sz w:val="18"/>
              </w:rPr>
              <w:t>Economic feasibility</w:t>
            </w:r>
          </w:p>
        </w:tc>
        <w:tc>
          <w:tcPr>
            <w:tcW w:type="dxa" w:w="864"/>
          </w:tcPr>
          <w:p>
            <w:r/>
            <w:r>
              <w:rPr>
                <w:sz w:val="18"/>
              </w:rPr>
              <w:t>4</w:t>
            </w:r>
          </w:p>
        </w:tc>
        <w:tc>
          <w:tcPr>
            <w:tcW w:type="dxa" w:w="6192"/>
          </w:tcPr>
          <w:p>
            <w:r/>
            <w:r>
              <w:rPr>
                <w:sz w:val="18"/>
              </w:rPr>
              <w:t>Travel to La Trinidad is the main cost</w:t>
            </w:r>
          </w:p>
        </w:tc>
      </w:tr>
      <w:tr>
        <w:tc>
          <w:tcPr>
            <w:tcW w:type="dxa" w:w="3168"/>
          </w:tcPr>
          <w:p>
            <w:r/>
            <w:r>
              <w:rPr>
                <w:sz w:val="18"/>
              </w:rPr>
              <w:t>Schedule feasibility</w:t>
            </w:r>
          </w:p>
        </w:tc>
        <w:tc>
          <w:tcPr>
            <w:tcW w:type="dxa" w:w="864"/>
          </w:tcPr>
          <w:p>
            <w:r/>
            <w:r>
              <w:rPr>
                <w:sz w:val="18"/>
              </w:rPr>
              <w:t>3</w:t>
            </w:r>
          </w:p>
        </w:tc>
        <w:tc>
          <w:tcPr>
            <w:tcW w:type="dxa" w:w="6192"/>
          </w:tcPr>
          <w:p>
            <w:r/>
            <w:r>
              <w:rPr>
                <w:sz w:val="18"/>
              </w:rPr>
              <w:t>Depends on an early data decision</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Aggregate design; approvals still required</w:t>
            </w:r>
          </w:p>
        </w:tc>
      </w:tr>
      <w:tr>
        <w:tc>
          <w:tcPr>
            <w:tcW w:type="dxa" w:w="3168"/>
          </w:tcPr>
          <w:p>
            <w:r/>
            <w:r>
              <w:rPr>
                <w:sz w:val="18"/>
              </w:rPr>
              <w:t>Risk manageability</w:t>
            </w:r>
          </w:p>
        </w:tc>
        <w:tc>
          <w:tcPr>
            <w:tcW w:type="dxa" w:w="864"/>
          </w:tcPr>
          <w:p>
            <w:r/>
            <w:r>
              <w:rPr>
                <w:sz w:val="18"/>
              </w:rPr>
              <w:t>4</w:t>
            </w:r>
          </w:p>
        </w:tc>
        <w:tc>
          <w:tcPr>
            <w:tcW w:type="dxa" w:w="6192"/>
          </w:tcPr>
          <w:p>
            <w:r/>
            <w:r>
              <w:rPr>
                <w:sz w:val="18"/>
              </w:rPr>
              <w:t>Price-only fallback defined</w:t>
            </w:r>
          </w:p>
        </w:tc>
      </w:tr>
      <w:tr>
        <w:tc>
          <w:tcPr>
            <w:tcW w:type="dxa" w:w="3168"/>
          </w:tcPr>
          <w:p>
            <w:r/>
            <w:r>
              <w:rPr>
                <w:b/>
                <w:sz w:val="18"/>
              </w:rPr>
              <w:t>Total score</w:t>
            </w:r>
          </w:p>
        </w:tc>
        <w:tc>
          <w:tcPr>
            <w:tcW w:type="dxa" w:w="864"/>
          </w:tcPr>
          <w:p>
            <w:r/>
            <w:r>
              <w:rPr>
                <w:b/>
                <w:sz w:val="18"/>
              </w:rPr>
              <w:t>31/40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rPr>
          <w:highlight w:val="yellow"/>
        </w:rPr>
        <w:t>[Rogelio to list the references for this title in APA format. The source links are in Chapter 2.]</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2 OF 6</w:t>
            </w:r>
          </w:p>
          <w:p>
            <w:r>
              <w:rPr>
                <w:color w:val="E0E0E0"/>
                <w:sz w:val="18"/>
              </w:rPr>
              <w:t>A Data Governance System for Verifiable CSR Impact Reporting Using Fellegi-Sunter Record Linkage</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Data Mining and Data Visualization.  </w:t>
      </w:r>
      <w:r>
        <w:rPr>
          <w:b/>
        </w:rPr>
        <w:t>Partner:</w:t>
      </w:r>
      <w:r>
        <w:t xml:space="preserve"> SM Foundation, Kabalikat sa Kabuhayan (KSK) farmers training programme.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SM Foundation's Kabalikat sa Kabuhayan programme has trained farmers in sustainable agriculture since 2007. The programme runs in numbered batches of about fourteen weeks each, at training sites across Luzon, the Visayas, and Mindanao, and has passed its four hundredth batch. The Foundation reports the programme's reach as a count of farmer graduates, and that figure is used in corporate social responsibility and sustainability reporting.</w:t>
      </w:r>
    </w:p>
    <w:p>
      <w:pPr>
        <w:spacing w:after="120"/>
        <w:jc w:val="both"/>
      </w:pPr>
      <w:r>
        <w:t xml:space="preserve">The totals published in different Foundation communications do not match. </w:t>
      </w:r>
      <w:r>
        <w:rPr>
          <w:highlight w:val="yellow"/>
        </w:rPr>
        <w:t>[Cite the KSK programme page and the July 2025 news coverage, which the group retrieved on September 20, 2026.]</w:t>
      </w:r>
      <w:r>
        <w:t xml:space="preserve"> This is not a sign of careless reporting. It is what happens when a programme accumulates its total by adding up independent site and batch records for nearly twenty years without one shared identifier for each farmer. A farmer who attends two batches, or whose name is spelled differently at two sites, can be counted twice, and nobody can say how often this happens.</w:t>
      </w:r>
    </w:p>
    <w:p>
      <w:pPr>
        <w:keepNext/>
        <w:spacing w:before="160" w:after="80"/>
      </w:pPr>
      <w:r>
        <w:rPr>
          <w:b/>
          <w:sz w:val="22"/>
        </w:rPr>
        <w:t>1.2 Statement of the Problem</w:t>
      </w:r>
    </w:p>
    <w:p>
      <w:pPr>
        <w:spacing w:after="120"/>
        <w:jc w:val="both"/>
      </w:pPr>
      <w:r>
        <w:t>The KSK programme has no defensible, deduplicated count of the farmers it has trained. This study seeks to answer the following questions:</w:t>
      </w:r>
    </w:p>
    <w:p>
      <w:pPr>
        <w:spacing w:after="60"/>
        <w:jc w:val="both"/>
        <w:numPr>
          <w:ilvl w:val="0"/>
          <w:numId w:val="14"/>
        </w:numPr>
      </w:pPr>
      <w:r>
        <w:t>What proportion of KSK training records refer to farmers already recorded in an earlier batch or at another site?</w:t>
      </w:r>
    </w:p>
    <w:p>
      <w:pPr>
        <w:spacing w:after="60"/>
        <w:jc w:val="both"/>
        <w:numPr>
          <w:ilvl w:val="0"/>
          <w:numId w:val="14"/>
        </w:numPr>
      </w:pPr>
      <w:r>
        <w:t>Which blocking and comparison strategies perform best on Philippine personal names, given spelling variants, nicknames, maternal surnames, and married-name changes?</w:t>
      </w:r>
    </w:p>
    <w:p>
      <w:pPr>
        <w:spacing w:after="60"/>
        <w:jc w:val="both"/>
        <w:numPr>
          <w:ilvl w:val="0"/>
          <w:numId w:val="14"/>
        </w:numPr>
      </w:pPr>
      <w:r>
        <w:t>What is the linkage error, measured as precision and recall against a manually reviewed sample, and how do the two Fellegi-Sunter thresholds change it?</w:t>
      </w:r>
    </w:p>
    <w:p>
      <w:pPr>
        <w:spacing w:after="60"/>
        <w:jc w:val="both"/>
        <w:numPr>
          <w:ilvl w:val="0"/>
          <w:numId w:val="14"/>
        </w:numPr>
      </w:pPr>
      <w:r>
        <w:t>What is the deduplicated beneficiary count, with its uncertainty, and how does it compare with the published figures?</w:t>
      </w:r>
    </w:p>
    <w:p>
      <w:pPr>
        <w:spacing w:after="0"/>
      </w:pPr>
    </w:p>
    <w:p>
      <w:pPr>
        <w:keepNext/>
        <w:spacing w:before="160" w:after="80"/>
      </w:pPr>
      <w:r>
        <w:rPr>
          <w:b/>
          <w:sz w:val="22"/>
        </w:rPr>
        <w:t>1.3 Objectives of the Study</w:t>
      </w:r>
    </w:p>
    <w:p>
      <w:pPr>
        <w:spacing w:after="120"/>
        <w:jc w:val="both"/>
      </w:pPr>
      <w:r>
        <w:rPr>
          <w:b/>
        </w:rPr>
        <w:t>General objective.</w:t>
      </w:r>
      <w:r>
        <w:t xml:space="preserve"> To design and evaluate a probabilistic record linkage system that resolves duplicate and variant farmer training records across sites and batches, producing a deduplicated beneficiary count with quantified linkage error suitable for impact disclosure.</w:t>
      </w:r>
    </w:p>
    <w:p>
      <w:pPr>
        <w:spacing w:after="120"/>
        <w:jc w:val="both"/>
      </w:pPr>
      <w:r>
        <w:rPr>
          <w:b/>
        </w:rPr>
        <w:t>Specific objectives.</w:t>
      </w:r>
    </w:p>
    <w:p>
      <w:pPr>
        <w:spacing w:after="60"/>
        <w:jc w:val="both"/>
        <w:numPr>
          <w:ilvl w:val="0"/>
          <w:numId w:val="15"/>
        </w:numPr>
      </w:pPr>
      <w:r>
        <w:t>Profile the KSK training records for completeness, field consistency, and duplication indicators, and report that profile as a data quality baseline.</w:t>
      </w:r>
    </w:p>
    <w:p>
      <w:pPr>
        <w:spacing w:after="60"/>
        <w:jc w:val="both"/>
        <w:numPr>
          <w:ilvl w:val="0"/>
          <w:numId w:val="15"/>
        </w:numPr>
      </w:pPr>
      <w:r>
        <w:t>Implement blocking and comparison strategies suited to Philippine names, including phonetic encoding and approximate string comparison.</w:t>
      </w:r>
    </w:p>
    <w:p>
      <w:pPr>
        <w:spacing w:after="60"/>
        <w:jc w:val="both"/>
        <w:numPr>
          <w:ilvl w:val="0"/>
          <w:numId w:val="15"/>
        </w:numPr>
      </w:pPr>
      <w:r>
        <w:t>Implement the Fellegi-Sunter model to classify record pairs as links, possible links, or non-links, with both error thresholds set explicitly.</w:t>
      </w:r>
    </w:p>
    <w:p>
      <w:pPr>
        <w:spacing w:after="60"/>
        <w:jc w:val="both"/>
        <w:numPr>
          <w:ilvl w:val="0"/>
          <w:numId w:val="15"/>
        </w:numPr>
      </w:pPr>
      <w:r>
        <w:t>Evaluate linkage quality using precision and recall on a manually reviewed sample of record pairs.</w:t>
      </w:r>
    </w:p>
    <w:p>
      <w:pPr>
        <w:spacing w:after="60"/>
        <w:jc w:val="both"/>
        <w:numPr>
          <w:ilvl w:val="0"/>
          <w:numId w:val="15"/>
        </w:numPr>
      </w:pPr>
      <w:r>
        <w:t>Produce a deduplicated beneficiary count with a stated uncertainty interval.</w:t>
      </w:r>
    </w:p>
    <w:p>
      <w:pPr>
        <w:spacing w:after="60"/>
        <w:jc w:val="both"/>
        <w:numPr>
          <w:ilvl w:val="0"/>
          <w:numId w:val="15"/>
        </w:numPr>
      </w:pPr>
      <w:r>
        <w:t>Deliver the linkage layer and its quality report as a reusable system rather than a one-time count.</w:t>
      </w:r>
    </w:p>
    <w:p>
      <w:pPr>
        <w:spacing w:after="0"/>
      </w:pPr>
    </w:p>
    <w:p>
      <w:pPr>
        <w:keepNext/>
        <w:spacing w:before="160" w:after="80"/>
      </w:pPr>
      <w:r>
        <w:rPr>
          <w:b/>
          <w:sz w:val="22"/>
        </w:rPr>
        <w:t>1.4 Significance of the Study</w:t>
      </w:r>
    </w:p>
    <w:p>
      <w:pPr>
        <w:spacing w:after="60"/>
        <w:jc w:val="both"/>
        <w:numPr>
          <w:ilvl w:val="0"/>
          <w:numId w:val="16"/>
        </w:numPr>
      </w:pPr>
      <w:r>
        <w:rPr>
          <w:b/>
        </w:rPr>
        <w:t>SM Foundation</w:t>
      </w:r>
      <w:r>
        <w:t xml:space="preserve"> gains a beneficiary figure it can state and defend, with a documented method behind it.</w:t>
      </w:r>
    </w:p>
    <w:p>
      <w:pPr>
        <w:spacing w:after="60"/>
        <w:jc w:val="both"/>
        <w:numPr>
          <w:ilvl w:val="0"/>
          <w:numId w:val="16"/>
        </w:numPr>
      </w:pPr>
      <w:r>
        <w:rPr>
          <w:b/>
        </w:rPr>
        <w:t>SM Investments' sustainability reporting</w:t>
      </w:r>
      <w:r>
        <w:t xml:space="preserve"> gains an impact figure with a known margin of error, which matters as sustainability disclosure becomes mandatory.</w:t>
      </w:r>
    </w:p>
    <w:p>
      <w:pPr>
        <w:spacing w:after="60"/>
        <w:jc w:val="both"/>
        <w:numPr>
          <w:ilvl w:val="0"/>
          <w:numId w:val="16"/>
        </w:numPr>
      </w:pPr>
      <w:r>
        <w:rPr>
          <w:b/>
        </w:rPr>
        <w:t>Other multi-site programmes</w:t>
      </w:r>
      <w:r>
        <w:t>, public or private, gain a reusable method for counting beneficiaries who have no shared identifier.</w:t>
      </w:r>
    </w:p>
    <w:p>
      <w:pPr>
        <w:spacing w:after="60"/>
        <w:jc w:val="both"/>
        <w:numPr>
          <w:ilvl w:val="0"/>
          <w:numId w:val="16"/>
        </w:numPr>
      </w:pPr>
      <w:r>
        <w:rPr>
          <w:b/>
        </w:rPr>
        <w:t>Future researchers</w:t>
      </w:r>
      <w:r>
        <w:t xml:space="preserve"> gain evidence on how linkage methods perform on Philippine names.</w:t>
      </w:r>
    </w:p>
    <w:p>
      <w:pPr>
        <w:spacing w:after="0"/>
      </w:pPr>
    </w:p>
    <w:p>
      <w:pPr>
        <w:keepNext/>
        <w:spacing w:before="160" w:after="80"/>
      </w:pPr>
      <w:r>
        <w:rPr>
          <w:b/>
          <w:sz w:val="22"/>
        </w:rPr>
        <w:t>1.5 Scope and Limitations</w:t>
      </w:r>
    </w:p>
    <w:p>
      <w:pPr>
        <w:spacing w:after="120"/>
        <w:jc w:val="both"/>
      </w:pPr>
      <w:r>
        <w:t>The study covers KSK farmer training records only. It does not cover scholarships, health, or disaster response programmes. Names are received as phonetic codes or salted hashes, never as plain text. The study will not receive 4Ps status, income, household size, health or disability information, PhilSys numbers, contact numbers, or addresses below the municipality level. If only part of the programme history is digital, the count applies to the digitised records only and the paper will say so.</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establishes the theory of probabilistic record linkage, how linkage quality is measured, and the Philippine legal context for identity records.</w:t>
      </w:r>
    </w:p>
    <w:p>
      <w:pPr>
        <w:keepNext/>
        <w:spacing w:before="120" w:after="40"/>
      </w:pPr>
      <w:r>
        <w:rPr>
          <w:b/>
        </w:rPr>
        <w:t>1. Republic Act No. 11055, the Philippine Identification System Act</w:t>
      </w:r>
      <w:r>
        <w:rPr>
          <w:color w:val="595959"/>
          <w:sz w:val="18"/>
        </w:rPr>
        <w:t xml:space="preserve">  [Local Literature]</w:t>
      </w:r>
    </w:p>
    <w:p>
      <w:pPr>
        <w:spacing w:after="40"/>
        <w:ind w:left="432"/>
        <w:jc w:val="both"/>
      </w:pPr>
      <w:r>
        <w:t>The law established the Philippine Identification System, a single national identification system for citizens and resident aliens with a unique PhilSys Number for each registered person. It recognises that fragmented identification across many agencies creates inefficiency, and it includes provisions protecting registered information from unauthorised disclosure.</w:t>
      </w:r>
    </w:p>
    <w:p>
      <w:pPr>
        <w:spacing w:after="40"/>
        <w:ind w:left="432"/>
        <w:jc w:val="both"/>
      </w:pPr>
      <w:r>
        <w:rPr>
          <w:b/>
        </w:rPr>
        <w:t>Relevance to the proposed study.</w:t>
      </w:r>
      <w:r>
        <w:t xml:space="preserve"> It shows that the lack of a common identifier across records is a recognised Philippine problem. It also explains why the proposed study will not request PhilSys numbers, and will instead build the link from the fields the Foundation already keeps.</w:t>
      </w:r>
    </w:p>
    <w:p>
      <w:pPr>
        <w:spacing w:after="40"/>
        <w:ind w:left="432"/>
        <w:jc w:val="left"/>
      </w:pPr>
      <w:r>
        <w:t>Source link: https://lawphil.net/statutes/repacts/ra2018/ra_11055_2018.html</w:t>
      </w:r>
    </w:p>
    <w:p>
      <w:pPr>
        <w:keepNext/>
        <w:spacing w:before="120" w:after="40"/>
      </w:pPr>
      <w:r>
        <w:rPr>
          <w:b/>
        </w:rPr>
        <w:t>2. A Theory for Record Linkage</w:t>
      </w:r>
      <w:r>
        <w:rPr>
          <w:color w:val="595959"/>
          <w:sz w:val="18"/>
        </w:rPr>
        <w:t xml:space="preserve">  [Foreign Literature]</w:t>
      </w:r>
    </w:p>
    <w:p>
      <w:pPr>
        <w:spacing w:after="40"/>
        <w:ind w:left="432"/>
        <w:jc w:val="both"/>
      </w:pPr>
      <w:r>
        <w:t>Fellegi and Sunter (1969) gave record linkage its formal decision-theoretic foundation. Every pair of records is compared field by field, and the pattern of agreements is used to place the pair into one of three groups: a link, a possible link that needs a human to decide, or a non-link. They showed that the best rule is based on a ratio of how likely that agreement pattern is among true matches versus non-matches, and that this rule keeps the number of pairs sent for manual review as small as possible for the two error rates the user chooses.</w:t>
      </w:r>
    </w:p>
    <w:p>
      <w:pPr>
        <w:spacing w:after="40"/>
        <w:ind w:left="432"/>
        <w:jc w:val="both"/>
      </w:pPr>
      <w:r>
        <w:rPr>
          <w:b/>
        </w:rPr>
        <w:t>Relevance to the proposed study.</w:t>
      </w:r>
      <w:r>
        <w:t xml:space="preserve"> It is the algorithm named in the proposed title, and it is what allows the system to attach chosen error rates to the beneficiary count instead of relying on an arbitrary similarity cutoff.</w:t>
      </w:r>
    </w:p>
    <w:p>
      <w:pPr>
        <w:spacing w:after="40"/>
        <w:ind w:left="432"/>
        <w:jc w:val="left"/>
      </w:pPr>
      <w:r>
        <w:t>Source link: https://doi.org/10.1080/01621459.1969.10501049</w:t>
      </w:r>
    </w:p>
    <w:p>
      <w:pPr>
        <w:keepNext/>
        <w:spacing w:before="120" w:after="40"/>
      </w:pPr>
      <w:r>
        <w:rPr>
          <w:b/>
        </w:rPr>
        <w:t>3. Quality and Complexity Measures for Data Linkage and Deduplication</w:t>
      </w:r>
      <w:r>
        <w:rPr>
          <w:color w:val="595959"/>
          <w:sz w:val="18"/>
        </w:rPr>
        <w:t xml:space="preserve">  [Foreign Literature]</w:t>
      </w:r>
    </w:p>
    <w:p>
      <w:pPr>
        <w:spacing w:after="40"/>
        <w:ind w:left="432"/>
        <w:jc w:val="both"/>
      </w:pPr>
      <w:r>
        <w:t>Christen and Goiser (2007) examined how the quality and the cost of linkage and deduplication should be measured. They discussed measures for blocking, such as how much the number of candidate pairs is reduced and how many true matches survive that reduction, and they warned that some common classification measures become misleading because non-matching pairs vastly outnumber matching ones.</w:t>
      </w:r>
    </w:p>
    <w:p>
      <w:pPr>
        <w:spacing w:after="40"/>
        <w:ind w:left="432"/>
        <w:jc w:val="both"/>
      </w:pPr>
      <w:r>
        <w:rPr>
          <w:b/>
        </w:rPr>
        <w:t>Relevance to the proposed study.</w:t>
      </w:r>
      <w:r>
        <w:t xml:space="preserve"> It supplies the evaluation measures for the blocking and classification modules, so the system's results can be reported in the terms used by the record linkage field.</w:t>
      </w:r>
    </w:p>
    <w:p>
      <w:pPr>
        <w:spacing w:after="40"/>
        <w:ind w:left="432"/>
        <w:jc w:val="left"/>
      </w:pPr>
      <w:r>
        <w:t>Source link: https://doi.org/10.1007/978-3-540-44918-8_6</w:t>
      </w:r>
    </w:p>
    <w:p>
      <w:pPr>
        <w:keepNext/>
        <w:spacing w:before="120" w:after="40"/>
      </w:pPr>
      <w:r>
        <w:rPr>
          <w:b/>
        </w:rPr>
        <w:t>4. (Almost) All of Entity Resolution</w:t>
      </w:r>
      <w:r>
        <w:rPr>
          <w:color w:val="595959"/>
          <w:sz w:val="18"/>
        </w:rPr>
        <w:t xml:space="preserve">  [Foreign Literature]</w:t>
      </w:r>
    </w:p>
    <w:p>
      <w:pPr>
        <w:spacing w:after="40"/>
        <w:ind w:left="432"/>
        <w:jc w:val="both"/>
      </w:pPr>
      <w:r>
        <w:t>Binette and Steorts (2022) reviewed entity resolution, the task of finding which records refer to the same real-world entity when no shared unique identifier exists. The review walks through the stages of a typical pipeline, from blocking and comparison to classification and evaluation, and compares probabilistic, machine learning and Bayesian approaches.</w:t>
      </w:r>
    </w:p>
    <w:p>
      <w:pPr>
        <w:spacing w:after="40"/>
        <w:ind w:left="432"/>
        <w:jc w:val="both"/>
      </w:pPr>
      <w:r>
        <w:rPr>
          <w:b/>
        </w:rPr>
        <w:t>Relevance to the proposed study.</w:t>
      </w:r>
      <w:r>
        <w:t xml:space="preserve"> It frames the proposed system within the wider entity resolution field and supports the design of the system as a pipeline of separate blocking, comparison and classification modules.</w:t>
      </w:r>
    </w:p>
    <w:p>
      <w:pPr>
        <w:spacing w:after="40"/>
        <w:ind w:left="432"/>
        <w:jc w:val="left"/>
      </w:pPr>
      <w:r>
        <w:t>Source link: https://doi.org/10.1126/sciadv.abi8021</w:t>
      </w:r>
    </w:p>
    <w:p>
      <w:pPr>
        <w:keepNext/>
        <w:spacing w:before="120" w:after="40"/>
      </w:pPr>
      <w:r>
        <w:rPr>
          <w:b/>
        </w:rPr>
        <w:t>5. Challenges in Administrative Data Linkage for Research</w:t>
      </w:r>
      <w:r>
        <w:rPr>
          <w:color w:val="595959"/>
          <w:sz w:val="18"/>
        </w:rPr>
        <w:t xml:space="preserve">  [Foreign Literature]</w:t>
      </w:r>
    </w:p>
    <w:p>
      <w:pPr>
        <w:spacing w:after="40"/>
        <w:ind w:left="432"/>
        <w:jc w:val="both"/>
      </w:pPr>
      <w:r>
        <w:t>Harron et al. (2017) discussed the problems that arise when administrative records are linked for research. A central concern is bias from linkage errors, where records that belong together are missed or records that do not belong together are joined, and the authors argue for transparent reporting of linkage quality alongside the results.</w:t>
      </w:r>
    </w:p>
    <w:p>
      <w:pPr>
        <w:spacing w:after="40"/>
        <w:ind w:left="432"/>
        <w:jc w:val="both"/>
      </w:pPr>
      <w:r>
        <w:rPr>
          <w:b/>
        </w:rPr>
        <w:t>Relevance to the proposed study.</w:t>
      </w:r>
      <w:r>
        <w:t xml:space="preserve"> It supports the system's requirement to report its beneficiary count with a stated uncertainty and a linkage quality report, instead of presenting a single number as exact.</w:t>
      </w:r>
    </w:p>
    <w:p>
      <w:pPr>
        <w:spacing w:after="40"/>
        <w:ind w:left="432"/>
        <w:jc w:val="left"/>
      </w:pPr>
      <w:r>
        <w:t>Source link: https://doi.org/10.1177/2053951717745678</w:t>
      </w:r>
    </w:p>
    <w:p>
      <w:pPr>
        <w:keepNext/>
        <w:spacing w:before="160" w:after="80"/>
      </w:pPr>
      <w:r>
        <w:rPr>
          <w:b/>
          <w:sz w:val="22"/>
        </w:rPr>
        <w:t>2.2 Review of Related Studies</w:t>
      </w:r>
    </w:p>
    <w:p>
      <w:pPr>
        <w:spacing w:after="120"/>
        <w:jc w:val="both"/>
      </w:pPr>
      <w:r>
        <w:t>The studies present applied work on probabilistic record linkage, how it handles missing data, how it should be evaluated, and Philippine efforts to reduce duplicate records.</w:t>
      </w:r>
    </w:p>
    <w:p>
      <w:pPr>
        <w:keepNext/>
        <w:spacing w:before="120" w:after="40"/>
      </w:pPr>
      <w:r>
        <w:rPr>
          <w:b/>
        </w:rPr>
        <w:t>1. Enhancing CRVS Data Quality and Inclusivity through Integration with PhilSys</w:t>
      </w:r>
      <w:r>
        <w:rPr>
          <w:color w:val="595959"/>
          <w:sz w:val="18"/>
        </w:rPr>
        <w:t xml:space="preserve">  [Local Study]</w:t>
      </w:r>
    </w:p>
    <w:p>
      <w:pPr>
        <w:spacing w:after="40"/>
        <w:ind w:left="432"/>
        <w:jc w:val="both"/>
      </w:pPr>
      <w:r>
        <w:t>Du (2026), writing from the Philippine Statistics Authority, assessed early efforts to integrate civil registration with the Philippine Identification System in selected local government units. The paper identifies duplicate records as a persistent data quality problem and describes how PhilSys numbers and authentication can support record verification and reduce duplication. It found that structured verification, coordination between agencies and capacity-building were the key enablers.</w:t>
      </w:r>
    </w:p>
    <w:p>
      <w:pPr>
        <w:spacing w:after="40"/>
        <w:ind w:left="432"/>
        <w:jc w:val="both"/>
      </w:pPr>
      <w:r>
        <w:rPr>
          <w:b/>
        </w:rPr>
        <w:t>Relevance to the proposed study.</w:t>
      </w:r>
      <w:r>
        <w:t xml:space="preserve"> It is Philippine evidence that duplicate records are a recognised national data quality problem. The proposed study addresses the same problem for a programme where no shared identifier exists.</w:t>
      </w:r>
    </w:p>
    <w:p>
      <w:pPr>
        <w:spacing w:after="40"/>
        <w:ind w:left="432"/>
        <w:jc w:val="left"/>
      </w:pPr>
      <w:r>
        <w:t>Source link: https://getinthepicture.org/system/files/sites/default/files/B1_Session%203.2_102_Du_Paper_0.pdf</w:t>
      </w:r>
    </w:p>
    <w:p>
      <w:pPr>
        <w:keepNext/>
        <w:spacing w:before="120" w:after="40"/>
      </w:pPr>
      <w:r>
        <w:rPr>
          <w:b/>
        </w:rPr>
        <w:t>2. Development and Implementation of an Interoperable Local Health Information Exchange Platform for the Attainment of Universal Health Coverage in the Philippines</w:t>
      </w:r>
      <w:r>
        <w:rPr>
          <w:color w:val="595959"/>
          <w:sz w:val="18"/>
        </w:rPr>
        <w:t xml:space="preserve">  [Local Study]</w:t>
      </w:r>
    </w:p>
    <w:p>
      <w:pPr>
        <w:spacing w:after="40"/>
        <w:ind w:left="432"/>
        <w:jc w:val="both"/>
      </w:pPr>
      <w:r>
        <w:t>Zuniga, Carpio and Tayam (2026) described SMILHIS, an open-source health information exchange deployed in three Philippine local government units using the HL7 FHIR standard. It includes a client registry that serves as a central identity record for patients, and the authors propose PhilSys as the primary registry so that patient records can be deduplicated across facilities.</w:t>
      </w:r>
    </w:p>
    <w:p>
      <w:pPr>
        <w:spacing w:after="40"/>
        <w:ind w:left="432"/>
        <w:jc w:val="both"/>
      </w:pPr>
      <w:r>
        <w:rPr>
          <w:b/>
        </w:rPr>
        <w:t>Relevance to the proposed study.</w:t>
      </w:r>
      <w:r>
        <w:t xml:space="preserve"> It shows a Philippine system that needed a single identity record to stop the same person being counted in several places. The proposed study builds that kind of record for a programme through probabilistic linkage.</w:t>
      </w:r>
    </w:p>
    <w:p>
      <w:pPr>
        <w:spacing w:after="40"/>
        <w:ind w:left="432"/>
        <w:jc w:val="left"/>
      </w:pPr>
      <w:r>
        <w:t>Source link: https://doi.org/10.3389/fdgth.2025.1650273</w:t>
      </w:r>
    </w:p>
    <w:p>
      <w:pPr>
        <w:keepNext/>
        <w:spacing w:before="120" w:after="40"/>
      </w:pPr>
      <w:r>
        <w:rPr>
          <w:b/>
        </w:rPr>
        <w:t>3. Using a Probabilistic Model to Assist Merging of Large-Scale Administrative Records</w:t>
      </w:r>
      <w:r>
        <w:rPr>
          <w:color w:val="595959"/>
          <w:sz w:val="18"/>
        </w:rPr>
        <w:t xml:space="preserve">  [Foreign Study]</w:t>
      </w:r>
    </w:p>
    <w:p>
      <w:pPr>
        <w:spacing w:after="40"/>
        <w:ind w:left="432"/>
        <w:jc w:val="both"/>
      </w:pPr>
      <w:r>
        <w:t>Enamorado, Fifield and Imai (2019) developed fastLink, a fast and scalable implementation of the Fellegi-Sunter model. It handles millions of records while accounting for missing data and measurement error, and it carries uncertainty about the merge into later analysis. They tested it through simulations and applied it to campaign contribution records, survey data and nationwide voter files.</w:t>
      </w:r>
    </w:p>
    <w:p>
      <w:pPr>
        <w:spacing w:after="40"/>
        <w:ind w:left="432"/>
        <w:jc w:val="both"/>
      </w:pPr>
      <w:r>
        <w:rPr>
          <w:b/>
        </w:rPr>
        <w:t>Relevance to the proposed study.</w:t>
      </w:r>
      <w:r>
        <w:t xml:space="preserve"> It shows the Fellegi-Sunter model working at a scale larger than the KSK records and gives the study an open-source reference implementation to compare against.</w:t>
      </w:r>
    </w:p>
    <w:p>
      <w:pPr>
        <w:spacing w:after="40"/>
        <w:ind w:left="432"/>
        <w:jc w:val="left"/>
      </w:pPr>
      <w:r>
        <w:t>Source link: https://doi.org/10.1017/S0003055418000783</w:t>
      </w:r>
    </w:p>
    <w:p>
      <w:pPr>
        <w:keepNext/>
        <w:spacing w:before="120" w:after="40"/>
      </w:pPr>
      <w:r>
        <w:rPr>
          <w:b/>
        </w:rPr>
        <w:t>4. The Data-Adaptive Fellegi-Sunter Model for Probabilistic Record Linkage</w:t>
      </w:r>
      <w:r>
        <w:rPr>
          <w:color w:val="595959"/>
          <w:sz w:val="18"/>
        </w:rPr>
        <w:t xml:space="preserve">  [Foreign Study]</w:t>
      </w:r>
    </w:p>
    <w:p>
      <w:pPr>
        <w:spacing w:after="40"/>
        <w:ind w:left="432"/>
        <w:jc w:val="both"/>
      </w:pPr>
      <w:r>
        <w:t>Li, Xu and Grannis (2022) tested ways of handling missing fields in the Fellegi-Sunter model. Treating missing values as missing at random maintained or improved F1-scores in all four of their use cases, and combining that assumption with data-driven selection of matching fields gave the best overall performance. They noted this is especially useful in privacy-preserving linkage.</w:t>
      </w:r>
    </w:p>
    <w:p>
      <w:pPr>
        <w:spacing w:after="40"/>
        <w:ind w:left="432"/>
        <w:jc w:val="both"/>
      </w:pPr>
      <w:r>
        <w:rPr>
          <w:b/>
        </w:rPr>
        <w:t>Relevance to the proposed study.</w:t>
      </w:r>
      <w:r>
        <w:t xml:space="preserve"> Programme records gathered across many sites and years will have gaps, and the study will link on hashed keys. This gives the study a tested way to handle missing fields instead of discarding those record pairs.</w:t>
      </w:r>
    </w:p>
    <w:p>
      <w:pPr>
        <w:spacing w:after="40"/>
        <w:ind w:left="432"/>
        <w:jc w:val="left"/>
      </w:pPr>
      <w:r>
        <w:t>Source link: https://doi.org/10.2196/33775</w:t>
      </w:r>
    </w:p>
    <w:p>
      <w:pPr>
        <w:keepNext/>
        <w:spacing w:before="120" w:after="40"/>
      </w:pPr>
      <w:r>
        <w:rPr>
          <w:b/>
        </w:rPr>
        <w:t>5. A Note on Using the F-Measure for Evaluating Record Linkage Algorithms</w:t>
      </w:r>
      <w:r>
        <w:rPr>
          <w:color w:val="595959"/>
          <w:sz w:val="18"/>
        </w:rPr>
        <w:t xml:space="preserve">  [Foreign Study]</w:t>
      </w:r>
    </w:p>
    <w:p>
      <w:pPr>
        <w:spacing w:after="40"/>
        <w:ind w:left="432"/>
        <w:jc w:val="both"/>
      </w:pPr>
      <w:r>
        <w:t>Hand and Christen (2018) showed that the F-measure is a poor basis for comparing record linkage methods. The relative weight it places on precision and recall depends on the number of pairs each method predicts as matches, so two methods end up being judged on different scales.</w:t>
      </w:r>
    </w:p>
    <w:p>
      <w:pPr>
        <w:spacing w:after="40"/>
        <w:ind w:left="432"/>
        <w:jc w:val="both"/>
      </w:pPr>
      <w:r>
        <w:rPr>
          <w:b/>
        </w:rPr>
        <w:t>Relevance to the proposed study.</w:t>
      </w:r>
      <w:r>
        <w:t xml:space="preserve"> It is the reason the proposed study will report precision and recall separately, and show how they trade off as the thresholds move, instead of relying on a single F-score.</w:t>
      </w:r>
    </w:p>
    <w:p>
      <w:pPr>
        <w:spacing w:after="40"/>
        <w:ind w:left="432"/>
        <w:jc w:val="left"/>
      </w:pPr>
      <w:r>
        <w:t>Source link: https://doi.org/10.1007/s11222-017-9746-6</w:t>
      </w:r>
    </w:p>
    <w:p>
      <w:pPr>
        <w:keepNext/>
        <w:spacing w:before="160" w:after="80"/>
      </w:pPr>
      <w:r>
        <w:rPr>
          <w:b/>
          <w:sz w:val="22"/>
        </w:rPr>
        <w:t>2.3 Synthesis and Research Gap</w:t>
      </w:r>
    </w:p>
    <w:p>
      <w:pPr>
        <w:spacing w:after="120"/>
        <w:jc w:val="both"/>
      </w:pPr>
      <w:r>
        <w:t>The literature shows that probabilistic record linkage is a mature and well-evaluated method. Fellegi-Sunter gives it a decision-theoretic basis, fastLink shows it working at the scale of millions of records, and later work shows how to handle missing fields and why linkage quality must be reported with the results. The Philippine sources show that duplicate records are a recognised national data quality problem, and that the government's answer has been a shared identifier such as PhilSys.</w:t>
      </w:r>
    </w:p>
    <w:p>
      <w:pPr>
        <w:spacing w:after="120"/>
        <w:jc w:val="both"/>
      </w:pPr>
      <w:r>
        <w:rPr>
          <w:b/>
        </w:rPr>
        <w:t>The gap.</w:t>
      </w:r>
      <w:r>
        <w:t xml:space="preserve"> No published study applies probabilistic linkage to a Philippine corporate or NGO livelihood programme where no shared identifier exists and none can be added retroactively. No study has measured how linkage methods perform on Philippine name conventions. No study turns a programme's beneficiary count from a sum of site records into a figure with a stated error. This study addresses all three.</w:t>
      </w:r>
    </w:p>
    <w:p>
      <w:pPr>
        <w:keepNext/>
        <w:spacing w:before="160" w:after="80"/>
      </w:pPr>
      <w:r>
        <w:rPr>
          <w:b/>
          <w:sz w:val="22"/>
        </w:rPr>
        <w:t>2.4 Refined Title</w:t>
      </w:r>
    </w:p>
    <w:p>
      <w:pPr>
        <w:spacing w:after="120"/>
        <w:jc w:val="both"/>
      </w:pPr>
      <w:r>
        <w:rPr>
          <w:b/>
        </w:rPr>
        <w:t>A Data Governance System for Verifiable CSR Impact Reporting Using Fellegi-Sunter Record Linkage</w:t>
      </w:r>
      <w:r>
        <w:t xml:space="preserve"> (13 words). The title is unchanged, because the review confirmed that the named algorithm is the right one for the problem.</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linkage system is built and evaluated against a manually reviewed ground-truth sample.</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SM Foundation KSK training records: opaque record ID, hashed or phonetic name keys, batch number, training site, province, training dates, and crop or training track</w:t>
            </w:r>
          </w:p>
        </w:tc>
      </w:tr>
      <w:tr>
        <w:tc>
          <w:tcPr>
            <w:tcW w:type="dxa" w:w="2160"/>
          </w:tcPr>
          <w:p>
            <w:r/>
            <w:r>
              <w:rPr>
                <w:sz w:val="18"/>
              </w:rPr>
              <w:t>Ground truth</w:t>
            </w:r>
          </w:p>
        </w:tc>
        <w:tc>
          <w:tcPr>
            <w:tcW w:type="dxa" w:w="8064"/>
          </w:tcPr>
          <w:p>
            <w:r/>
            <w:r>
              <w:rPr>
                <w:sz w:val="18"/>
              </w:rPr>
              <w:t>A reviewed sample of 300 to 500 record pairs labelled as the same farmer or not, supplied by the Foundation or built by the group under supervision</w:t>
            </w:r>
          </w:p>
        </w:tc>
      </w:tr>
      <w:tr>
        <w:tc>
          <w:tcPr>
            <w:tcW w:type="dxa" w:w="2160"/>
          </w:tcPr>
          <w:p>
            <w:r/>
            <w:r>
              <w:rPr>
                <w:sz w:val="18"/>
              </w:rPr>
              <w:t>Partner status</w:t>
            </w:r>
          </w:p>
        </w:tc>
        <w:tc>
          <w:tcPr>
            <w:tcW w:type="dxa" w:w="8064"/>
          </w:tcPr>
          <w:p>
            <w:r/>
            <w:r>
              <w:rPr>
                <w:sz w:val="18"/>
              </w:rPr>
              <w:t>SM Foundation invited a proposal at a volunteering activity on September 21, 2026. The proposal letter was emailed to education@sm-foundation.org on September 23, 2026. A reply is pending.</w:t>
            </w:r>
          </w:p>
        </w:tc>
      </w:tr>
      <w:tr>
        <w:tc>
          <w:tcPr>
            <w:tcW w:type="dxa" w:w="2160"/>
          </w:tcPr>
          <w:p>
            <w:r/>
            <w:r>
              <w:rPr>
                <w:sz w:val="18"/>
              </w:rPr>
              <w:t>Volume</w:t>
            </w:r>
          </w:p>
        </w:tc>
        <w:tc>
          <w:tcPr>
            <w:tcW w:type="dxa" w:w="8064"/>
          </w:tcPr>
          <w:p>
            <w:r/>
            <w:r>
              <w:rPr>
                <w:sz w:val="18"/>
              </w:rPr>
              <w:t>Tens of thousands of graduate records across 400 or more batches, above the 10,000-record floor</w:t>
            </w:r>
          </w:p>
        </w:tc>
      </w:tr>
      <w:tr>
        <w:tc>
          <w:tcPr>
            <w:tcW w:type="dxa" w:w="2160"/>
          </w:tcPr>
          <w:p>
            <w:r/>
            <w:r>
              <w:rPr>
                <w:sz w:val="18"/>
              </w:rPr>
              <w:t>Fallback</w:t>
            </w:r>
          </w:p>
        </w:tc>
        <w:tc>
          <w:tcPr>
            <w:tcW w:type="dxa" w:w="8064"/>
          </w:tcPr>
          <w:p>
            <w:r/>
            <w:r>
              <w:rPr>
                <w:sz w:val="18"/>
              </w:rPr>
              <w:t>If records are paper only, or no ground truth can be built, the title does not proceed on this partner</w:t>
            </w:r>
          </w:p>
        </w:tc>
      </w:tr>
    </w:tbl>
    <w:p>
      <w:pPr>
        <w:spacing w:after="40"/>
      </w:pPr>
    </w:p>
    <w:p>
      <w:pPr>
        <w:keepNext/>
        <w:spacing w:before="160" w:after="80"/>
      </w:pPr>
      <w:r>
        <w:rPr>
          <w:b/>
          <w:sz w:val="22"/>
        </w:rPr>
        <w:t>3.3 Proposed Algorithm</w:t>
      </w:r>
    </w:p>
    <w:p>
      <w:pPr>
        <w:spacing w:after="120"/>
        <w:jc w:val="both"/>
      </w:pPr>
      <w:r>
        <w:t>Candidate pairs are generated by blocking on province, training site, batch, and phonetic name codes, so that the system does not compare every record with every other record. Each pair is compared field by field with approximate string comparators. The Fellegi-Sunter model then scores each agreement pattern by the ratio of how likely it is among true matches versus non-matches, with the model parameters estimated by the expectation-maximisation algorithm. Two explicitly chosen thresholds divide pairs into links, possible links, and non-links. Possible links go to a clerical review queue. Missing fields are handled using the missing-at-random approach tested by Li, Xu, and Grannis (2022). fastLink is used as an open-source reference implementation to cross-check results.</w:t>
      </w:r>
    </w:p>
    <w:p>
      <w:pPr>
        <w:keepNext/>
        <w:spacing w:before="160" w:after="80"/>
      </w:pPr>
      <w:r>
        <w:rPr>
          <w:b/>
          <w:sz w:val="22"/>
        </w:rPr>
        <w:t>3.4 System Architecture and Tools</w:t>
      </w:r>
    </w:p>
    <w:p>
      <w:pPr>
        <w:spacing w:after="120"/>
        <w:jc w:val="both"/>
      </w:pPr>
      <w:r>
        <w:t>Restricted import with a prohibited-field check, then data profiling, then blocking, then comparison, then Fellegi-Sunter classification, then clerical review, then the deduplicated beneficiary spine, then the linkage quality report and dashboard. The stack is Python with pandas and the recordlinkage library, R fastLink for cross-checking, SQLite for storage, and Streamlit for the dashboard.</w:t>
      </w:r>
    </w:p>
    <w:p>
      <w:pPr>
        <w:keepNext/>
        <w:spacing w:before="160" w:after="80"/>
      </w:pPr>
      <w:r>
        <w:rPr>
          <w:b/>
          <w:sz w:val="22"/>
        </w:rPr>
        <w:t>3.5 Evaluation Metrics</w:t>
      </w:r>
    </w:p>
    <w:p>
      <w:pPr>
        <w:spacing w:after="120"/>
        <w:jc w:val="both"/>
      </w:pPr>
      <w:r>
        <w:t>Precision and recall on the reviewed sample, reported separately and across a range of thresholds rather than as a single F-score, following Hand and Christen (2018). Blocking is evaluated by reduction ratio and pairs completeness. The final count is reported with an uncertainty interval.</w:t>
      </w:r>
    </w:p>
    <w:p>
      <w:pPr>
        <w:keepNext/>
        <w:spacing w:before="160" w:after="80"/>
      </w:pPr>
      <w:r>
        <w:rPr>
          <w:b/>
          <w:sz w:val="22"/>
        </w:rPr>
        <w:t>3.6 Ethical Considerations</w:t>
      </w:r>
    </w:p>
    <w:p>
      <w:pPr>
        <w:spacing w:after="120"/>
        <w:jc w:val="both"/>
      </w:pPr>
      <w:r>
        <w:t>The study targets an Exempt ethics classification, which holds only if the field exclusions above hold. 4Ps status is means-tested and therefore sensitive personal information under RA 10173, so it is excluded even if offered. Plain-text names are not received. If the Foundation can only release plain-text names, linkage runs on the Foundation's side or the ethics route is reconsidered with the adviser before any data is accepted. The group keeps the right to publish the method and aggregate findings.</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Mature open-source linkage libraries</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Warm invited channel, but record format and ground truth unconfirmed</w:t>
            </w:r>
          </w:p>
        </w:tc>
      </w:tr>
      <w:tr>
        <w:tc>
          <w:tcPr>
            <w:tcW w:type="dxa" w:w="3168"/>
          </w:tcPr>
          <w:p>
            <w:r/>
            <w:r>
              <w:rPr>
                <w:sz w:val="18"/>
              </w:rPr>
              <w:t>Algorithm or model feasibility</w:t>
            </w:r>
          </w:p>
        </w:tc>
        <w:tc>
          <w:tcPr>
            <w:tcW w:type="dxa" w:w="864"/>
          </w:tcPr>
          <w:p>
            <w:r/>
            <w:r>
              <w:rPr>
                <w:sz w:val="18"/>
              </w:rPr>
              <w:t>5</w:t>
            </w:r>
          </w:p>
        </w:tc>
        <w:tc>
          <w:tcPr>
            <w:tcW w:type="dxa" w:w="6192"/>
          </w:tcPr>
          <w:p>
            <w:r/>
            <w:r>
              <w:rPr>
                <w:sz w:val="18"/>
              </w:rPr>
              <w:t>Named algorithm with a reference implementation</w:t>
            </w:r>
          </w:p>
        </w:tc>
      </w:tr>
      <w:tr>
        <w:tc>
          <w:tcPr>
            <w:tcW w:type="dxa" w:w="3168"/>
          </w:tcPr>
          <w:p>
            <w:r/>
            <w:r>
              <w:rPr>
                <w:sz w:val="18"/>
              </w:rPr>
              <w:t>Operational feasibility</w:t>
            </w:r>
          </w:p>
        </w:tc>
        <w:tc>
          <w:tcPr>
            <w:tcW w:type="dxa" w:w="864"/>
          </w:tcPr>
          <w:p>
            <w:r/>
            <w:r>
              <w:rPr>
                <w:sz w:val="18"/>
              </w:rPr>
              <w:t>4</w:t>
            </w:r>
          </w:p>
        </w:tc>
        <w:tc>
          <w:tcPr>
            <w:tcW w:type="dxa" w:w="6192"/>
          </w:tcPr>
          <w:p>
            <w:r/>
            <w:r>
              <w:rPr>
                <w:sz w:val="18"/>
              </w:rPr>
              <w:t>The Foundation is the direct data owner and the user</w:t>
            </w:r>
          </w:p>
        </w:tc>
      </w:tr>
      <w:tr>
        <w:tc>
          <w:tcPr>
            <w:tcW w:type="dxa" w:w="3168"/>
          </w:tcPr>
          <w:p>
            <w:r/>
            <w:r>
              <w:rPr>
                <w:sz w:val="18"/>
              </w:rPr>
              <w:t>Economic feasibility</w:t>
            </w:r>
          </w:p>
        </w:tc>
        <w:tc>
          <w:tcPr>
            <w:tcW w:type="dxa" w:w="864"/>
          </w:tcPr>
          <w:p>
            <w:r/>
            <w:r>
              <w:rPr>
                <w:sz w:val="18"/>
              </w:rPr>
              <w:t>5</w:t>
            </w:r>
          </w:p>
        </w:tc>
        <w:tc>
          <w:tcPr>
            <w:tcW w:type="dxa" w:w="6192"/>
          </w:tcPr>
          <w:p>
            <w:r/>
            <w:r>
              <w:rPr>
                <w:sz w:val="18"/>
              </w:rPr>
              <w:t>No paid tools; remote channel</w:t>
            </w:r>
          </w:p>
        </w:tc>
      </w:tr>
      <w:tr>
        <w:tc>
          <w:tcPr>
            <w:tcW w:type="dxa" w:w="3168"/>
          </w:tcPr>
          <w:p>
            <w:r/>
            <w:r>
              <w:rPr>
                <w:sz w:val="18"/>
              </w:rPr>
              <w:t>Schedule feasibility</w:t>
            </w:r>
          </w:p>
        </w:tc>
        <w:tc>
          <w:tcPr>
            <w:tcW w:type="dxa" w:w="864"/>
          </w:tcPr>
          <w:p>
            <w:r/>
            <w:r>
              <w:rPr>
                <w:sz w:val="18"/>
              </w:rPr>
              <w:t>3</w:t>
            </w:r>
          </w:p>
        </w:tc>
        <w:tc>
          <w:tcPr>
            <w:tcW w:type="dxa" w:w="6192"/>
          </w:tcPr>
          <w:p>
            <w:r/>
            <w:r>
              <w:rPr>
                <w:sz w:val="18"/>
              </w:rPr>
              <w:t>Depends on the Foundation's reply time</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Exempt only if the field exclusions hold</w:t>
            </w:r>
          </w:p>
        </w:tc>
      </w:tr>
      <w:tr>
        <w:tc>
          <w:tcPr>
            <w:tcW w:type="dxa" w:w="3168"/>
          </w:tcPr>
          <w:p>
            <w:r/>
            <w:r>
              <w:rPr>
                <w:sz w:val="18"/>
              </w:rPr>
              <w:t>Risk manageability</w:t>
            </w:r>
          </w:p>
        </w:tc>
        <w:tc>
          <w:tcPr>
            <w:tcW w:type="dxa" w:w="864"/>
          </w:tcPr>
          <w:p>
            <w:r/>
            <w:r>
              <w:rPr>
                <w:sz w:val="18"/>
              </w:rPr>
              <w:t>4</w:t>
            </w:r>
          </w:p>
        </w:tc>
        <w:tc>
          <w:tcPr>
            <w:tcW w:type="dxa" w:w="6192"/>
          </w:tcPr>
          <w:p>
            <w:r/>
            <w:r>
              <w:rPr>
                <w:sz w:val="18"/>
              </w:rPr>
              <w:t>Clear go and no-go conditions</w:t>
            </w:r>
          </w:p>
        </w:tc>
      </w:tr>
      <w:tr>
        <w:tc>
          <w:tcPr>
            <w:tcW w:type="dxa" w:w="3168"/>
          </w:tcPr>
          <w:p>
            <w:r/>
            <w:r>
              <w:rPr>
                <w:b/>
                <w:sz w:val="18"/>
              </w:rPr>
              <w:t>Total score</w:t>
            </w:r>
          </w:p>
        </w:tc>
        <w:tc>
          <w:tcPr>
            <w:tcW w:type="dxa" w:w="864"/>
          </w:tcPr>
          <w:p>
            <w:r/>
            <w:r>
              <w:rPr>
                <w:b/>
                <w:sz w:val="18"/>
              </w:rPr>
              <w:t>32/40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Binette, O., &amp; Steorts, R. C. (2022). (Almost) all of entity resolution. Science Advances, 8(12), eabi8021. https://doi.org/10.1126/sciadv.abi8021</w:t>
      </w:r>
    </w:p>
    <w:p>
      <w:pPr>
        <w:spacing w:after="60"/>
        <w:ind w:left="576" w:hanging="576"/>
        <w:jc w:val="left"/>
      </w:pPr>
      <w:r>
        <w:t>Christen, P., &amp; Goiser, K. (2007). Quality and complexity measures for data linkage and deduplication. In Quality measures in data mining (pp. 127–151). Springer. https://doi.org/10.1007/978-3-540-44918-8_6</w:t>
      </w:r>
    </w:p>
    <w:p>
      <w:pPr>
        <w:spacing w:after="60"/>
        <w:ind w:left="576" w:hanging="576"/>
        <w:jc w:val="left"/>
      </w:pPr>
      <w:r>
        <w:t xml:space="preserve">Du, </w:t>
      </w:r>
      <w:r>
        <w:rPr>
          <w:highlight w:val="yellow"/>
        </w:rPr>
        <w:t>[author initials]</w:t>
      </w:r>
      <w:r>
        <w:t>. (2026). Enhancing CRVS data quality and inclusivity through integration with PhilSys. https://getinthepicture.org/system/files/sites/default/files/B1_Session%203.2_102_Du_Paper_0.pdf</w:t>
      </w:r>
    </w:p>
    <w:p>
      <w:pPr>
        <w:spacing w:after="60"/>
        <w:ind w:left="576" w:hanging="576"/>
        <w:jc w:val="left"/>
      </w:pPr>
      <w:r>
        <w:t>Enamorado, T., Fifield, B., &amp; Imai, K. (2019). Using a probabilistic model to assist merging of large-scale administrative records. American Political Science Review, 113(2), 353–371. https://doi.org/10.1017/S0003055418000783</w:t>
      </w:r>
    </w:p>
    <w:p>
      <w:pPr>
        <w:spacing w:after="60"/>
        <w:ind w:left="576" w:hanging="576"/>
        <w:jc w:val="left"/>
      </w:pPr>
      <w:r>
        <w:t>Fellegi, I. P., &amp; Sunter, A. B. (1969). A theory for record linkage. Journal of the American Statistical Association, 64(328), 1183–1210. https://doi.org/10.1080/01621459.1969.10501049</w:t>
      </w:r>
    </w:p>
    <w:p>
      <w:pPr>
        <w:spacing w:after="60"/>
        <w:ind w:left="576" w:hanging="576"/>
        <w:jc w:val="left"/>
      </w:pPr>
      <w:r>
        <w:t>Hand, D., &amp; Christen, P. (2018). A note on using the F-measure for evaluating record linkage algorithms. Statistics and Computing, 28(3), 539–547. https://doi.org/10.1007/s11222-017-9746-6</w:t>
      </w:r>
    </w:p>
    <w:p>
      <w:pPr>
        <w:spacing w:after="60"/>
        <w:ind w:left="576" w:hanging="576"/>
        <w:jc w:val="left"/>
      </w:pPr>
      <w:r>
        <w:t>Harron, K., Dibben, C., Boyd, J., Hjern, A., Azimaee, M., Barreto, M. L., &amp; Goldstein, H. (2017). Challenges in administrative data linkage for research. Big Data &amp; Society, 4(2). https://doi.org/10.1177/2053951717745678</w:t>
      </w:r>
    </w:p>
    <w:p>
      <w:pPr>
        <w:spacing w:after="60"/>
        <w:ind w:left="576" w:hanging="576"/>
        <w:jc w:val="left"/>
      </w:pPr>
      <w:r>
        <w:t>Li, X., Xu, H., &amp; Grannis, S. (2022). The data-adaptive Fellegi-Sunter model for probabilistic record linkage. Journal of Medical Internet Research, 24(9), e33775. https://doi.org/10.2196/33775</w:t>
      </w:r>
    </w:p>
    <w:p>
      <w:pPr>
        <w:spacing w:after="60"/>
        <w:ind w:left="576" w:hanging="576"/>
        <w:jc w:val="left"/>
      </w:pPr>
      <w:r>
        <w:t>Republic Act No. 11055. (2018). Philippine Identification System Act. https://lawphil.net/statutes/repacts/ra2018/ra_11055_2018.html</w:t>
      </w:r>
    </w:p>
    <w:p>
      <w:pPr>
        <w:spacing w:after="60"/>
        <w:ind w:left="576" w:hanging="576"/>
        <w:jc w:val="left"/>
      </w:pPr>
      <w:r>
        <w:t>Zuniga, P., Carpio, J., Tayam, Q., Garcia, P., Lacsina, A., Calderon, J., et al. (2026). Development and implementation of an interoperable local health information exchange platform for the attainment of universal health coverage in the Philippines. Frontiers in Digital Health, 7. https://doi.org/10.3389/fdgth.2025.1650273</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3 OF 6</w:t>
            </w:r>
          </w:p>
          <w:p>
            <w:r>
              <w:rPr>
                <w:color w:val="E0E0E0"/>
                <w:sz w:val="18"/>
              </w:rPr>
              <w:t>A Data Governance System for Privacy Release Readiness of Quezon City Open Data Using Mondrian k-Anonymity</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Statistical Modeling and Data Visualization.  </w:t>
      </w:r>
      <w:r>
        <w:rPr>
          <w:b/>
        </w:rPr>
        <w:t>Partner:</w:t>
      </w:r>
      <w:r>
        <w:t xml:space="preserve"> Quezon City Information Technology Development Department (ITDD).</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Quezon City, through its Information Technology Development Department, launched an Open Data Dashboard on the QC e-Services platform. It publishes data from 2019 onward for six city programmes: Helpline 122 community concerns, QCitizen ID, the PWD community, the KyusiServed free maintenance medicine programme, Pangkabuhayang QC, and the city scholarship programme. The city has said it will publish more datasets.</w:t>
      </w:r>
    </w:p>
    <w:p>
      <w:pPr>
        <w:spacing w:after="120"/>
        <w:jc w:val="both"/>
      </w:pPr>
      <w:r>
        <w:t>Every new release has to answer two questions. The first is whether the data is fit for public use: complete, consistent, and correctly labelled. The second is how much detail can be published without making a person identifiable. Removing names does not settle the second question. A rare concern category, combined with a small barangay and an exact date, can point to one resident even when no name appears. Aggregating everything to be safe causes the opposite problem, because the published data becomes too coarse to answer useful questions.</w:t>
      </w:r>
    </w:p>
    <w:p>
      <w:pPr>
        <w:keepNext/>
        <w:spacing w:before="160" w:after="80"/>
      </w:pPr>
      <w:r>
        <w:rPr>
          <w:b/>
          <w:sz w:val="22"/>
        </w:rPr>
        <w:t>1.2 Statement of the Problem</w:t>
      </w:r>
    </w:p>
    <w:p>
      <w:pPr>
        <w:spacing w:after="120"/>
        <w:jc w:val="both"/>
      </w:pPr>
      <w:r>
        <w:t>Quezon City has no documented, measurable procedure for deciding how much detail an open-data release can safely carry. This study seeks to answer the following questions:</w:t>
      </w:r>
    </w:p>
    <w:p>
      <w:pPr>
        <w:spacing w:after="60"/>
        <w:jc w:val="both"/>
        <w:numPr>
          <w:ilvl w:val="0"/>
          <w:numId w:val="17"/>
        </w:numPr>
      </w:pPr>
      <w:r>
        <w:t>What is the data quality of a selected QC open-data source in terms of completeness, validity, consistency, uniqueness, and timeliness?</w:t>
      </w:r>
    </w:p>
    <w:p>
      <w:pPr>
        <w:spacing w:after="60"/>
        <w:jc w:val="both"/>
        <w:numPr>
          <w:ilvl w:val="0"/>
          <w:numId w:val="17"/>
        </w:numPr>
      </w:pPr>
      <w:r>
        <w:t>Which combinations of fields act as quasi-identifiers, and how many records fall into small, risky groups under candidate publication settings?</w:t>
      </w:r>
    </w:p>
    <w:p>
      <w:pPr>
        <w:spacing w:after="60"/>
        <w:jc w:val="both"/>
        <w:numPr>
          <w:ilvl w:val="0"/>
          <w:numId w:val="17"/>
        </w:numPr>
      </w:pPr>
      <w:r>
        <w:t>Can Mondrian k-anonymity reach the same risk threshold as a fixed small-cell suppression rule while losing less information?</w:t>
      </w:r>
    </w:p>
    <w:p>
      <w:pPr>
        <w:spacing w:after="60"/>
        <w:jc w:val="both"/>
        <w:numPr>
          <w:ilvl w:val="0"/>
          <w:numId w:val="17"/>
        </w:numPr>
      </w:pPr>
      <w:r>
        <w:t>How can the quality, risk, and information-loss results be reported so that city staff can make and document a release decision?</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and evaluate a release-readiness system that measures the data quality, re-identification risk, and information loss of a Quezon City open-data release, and recommends auditable publication settings.</w:t>
      </w:r>
    </w:p>
    <w:p>
      <w:pPr>
        <w:spacing w:after="120"/>
        <w:jc w:val="both"/>
      </w:pPr>
      <w:r>
        <w:rPr>
          <w:b/>
        </w:rPr>
        <w:t>Specific objectives.</w:t>
      </w:r>
    </w:p>
    <w:p>
      <w:pPr>
        <w:spacing w:after="60"/>
        <w:jc w:val="both"/>
        <w:numPr>
          <w:ilvl w:val="0"/>
          <w:numId w:val="18"/>
        </w:numPr>
      </w:pPr>
      <w:r>
        <w:t>Measure completeness, validity, consistency, uniqueness, and timeliness of the selected dataset using versioned rules.</w:t>
      </w:r>
    </w:p>
    <w:p>
      <w:pPr>
        <w:spacing w:after="60"/>
        <w:jc w:val="both"/>
        <w:numPr>
          <w:ilvl w:val="0"/>
          <w:numId w:val="18"/>
        </w:numPr>
      </w:pPr>
      <w:r>
        <w:t>Classify every field as a direct identifier, quasi-identifier, sensitive attribute, or ordinary attribute.</w:t>
      </w:r>
    </w:p>
    <w:p>
      <w:pPr>
        <w:spacing w:after="60"/>
        <w:jc w:val="both"/>
        <w:numPr>
          <w:ilvl w:val="0"/>
          <w:numId w:val="18"/>
        </w:numPr>
      </w:pPr>
      <w:r>
        <w:t>Measure equivalence-class sizes and small-cell risk under candidate date, geography, and category granularities.</w:t>
      </w:r>
    </w:p>
    <w:p>
      <w:pPr>
        <w:spacing w:after="60"/>
        <w:jc w:val="both"/>
        <w:numPr>
          <w:ilvl w:val="0"/>
          <w:numId w:val="18"/>
        </w:numPr>
      </w:pPr>
      <w:r>
        <w:t>Apply Mondrian k-anonymity and a fixed suppression baseline at the same risk thresholds, across several values of k.</w:t>
      </w:r>
    </w:p>
    <w:p>
      <w:pPr>
        <w:spacing w:after="60"/>
        <w:jc w:val="both"/>
        <w:numPr>
          <w:ilvl w:val="0"/>
          <w:numId w:val="18"/>
        </w:numPr>
      </w:pPr>
      <w:r>
        <w:t>Quantify the information loss and aggregate-query error of each release profile.</w:t>
      </w:r>
    </w:p>
    <w:p>
      <w:pPr>
        <w:spacing w:after="60"/>
        <w:jc w:val="both"/>
        <w:numPr>
          <w:ilvl w:val="0"/>
          <w:numId w:val="18"/>
        </w:numPr>
      </w:pPr>
      <w:r>
        <w:t>Produce an auditable release-readiness report and dashboard that record every assumption.</w:t>
      </w:r>
    </w:p>
    <w:p>
      <w:pPr>
        <w:spacing w:after="0"/>
      </w:pPr>
    </w:p>
    <w:p>
      <w:pPr>
        <w:keepNext/>
        <w:spacing w:before="160" w:after="80"/>
      </w:pPr>
      <w:r>
        <w:rPr>
          <w:b/>
          <w:sz w:val="22"/>
        </w:rPr>
        <w:t>1.4 Significance of the Study</w:t>
      </w:r>
    </w:p>
    <w:p>
      <w:pPr>
        <w:spacing w:after="60"/>
        <w:jc w:val="both"/>
        <w:numPr>
          <w:ilvl w:val="0"/>
          <w:numId w:val="19"/>
        </w:numPr>
      </w:pPr>
      <w:r>
        <w:rPr>
          <w:b/>
        </w:rPr>
        <w:t>QC ITDD and source departments</w:t>
      </w:r>
      <w:r>
        <w:t xml:space="preserve"> gain a repeatable way to compare release options before publishing, with a record of why each setting was chosen.</w:t>
      </w:r>
    </w:p>
    <w:p>
      <w:pPr>
        <w:spacing w:after="60"/>
        <w:jc w:val="both"/>
        <w:numPr>
          <w:ilvl w:val="0"/>
          <w:numId w:val="19"/>
        </w:numPr>
      </w:pPr>
      <w:r>
        <w:rPr>
          <w:b/>
        </w:rPr>
        <w:t>Residents whose records appear in city datasets</w:t>
      </w:r>
      <w:r>
        <w:t xml:space="preserve"> gain protection from being singled out in published data.</w:t>
      </w:r>
    </w:p>
    <w:p>
      <w:pPr>
        <w:spacing w:after="60"/>
        <w:jc w:val="both"/>
        <w:numPr>
          <w:ilvl w:val="0"/>
          <w:numId w:val="19"/>
        </w:numPr>
      </w:pPr>
      <w:r>
        <w:rPr>
          <w:b/>
        </w:rPr>
        <w:t>Researchers, journalists, and civic groups</w:t>
      </w:r>
      <w:r>
        <w:t xml:space="preserve"> gain releases that are as detailed as privacy allows, with documented limits.</w:t>
      </w:r>
    </w:p>
    <w:p>
      <w:pPr>
        <w:spacing w:after="60"/>
        <w:jc w:val="both"/>
        <w:numPr>
          <w:ilvl w:val="0"/>
          <w:numId w:val="19"/>
        </w:numPr>
      </w:pPr>
      <w:r>
        <w:rPr>
          <w:b/>
        </w:rPr>
        <w:t>Other local government units</w:t>
      </w:r>
      <w:r>
        <w:t xml:space="preserve"> gain a reusable template, since the Philippine open-data portal lists no LGU publishers at present.</w:t>
      </w:r>
    </w:p>
    <w:p>
      <w:pPr>
        <w:spacing w:after="0"/>
      </w:pPr>
    </w:p>
    <w:p>
      <w:pPr>
        <w:keepNext/>
        <w:spacing w:before="160" w:after="80"/>
      </w:pPr>
      <w:r>
        <w:rPr>
          <w:b/>
          <w:sz w:val="22"/>
        </w:rPr>
        <w:t>1.5 Scope and Limitations</w:t>
      </w:r>
    </w:p>
    <w:p>
      <w:pPr>
        <w:spacing w:after="120"/>
        <w:jc w:val="both"/>
      </w:pPr>
      <w:r>
        <w:t>The study covers one ITDD-approved, de-identified, record-level dataset, preferably Helpline 122 service requests. It excludes narrative text, exact locations, account identifiers, and direct identifiers, and it excludes high-risk sources such as health details, PWD identities, QCitizen ID numbers, and beneficiary financial information. The system is decision support. It does not declare a release legally anonymous and does not replace the city's Data Protection Officer. The study never attempts to re-identify anyone and never links the research copy to outside data.</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covers the Philippine legal basis for both openness and privacy, the city's own open-data programme, and the international concepts of data quality, k-anonymity, and its extensions.</w:t>
      </w:r>
    </w:p>
    <w:p>
      <w:pPr>
        <w:keepNext/>
        <w:spacing w:before="120" w:after="40"/>
      </w:pPr>
      <w:r>
        <w:rPr>
          <w:b/>
        </w:rPr>
        <w:t>1. Republic Act No. 10173, the Data Privacy Act of 2012</w:t>
      </w:r>
      <w:r>
        <w:rPr>
          <w:color w:val="595959"/>
          <w:sz w:val="18"/>
        </w:rPr>
        <w:t xml:space="preserve">  [Local Literature]</w:t>
      </w:r>
    </w:p>
    <w:p>
      <w:pPr>
        <w:spacing w:after="40"/>
        <w:ind w:left="432"/>
        <w:jc w:val="both"/>
      </w:pPr>
      <w:r>
        <w:t>The law protects personal information processed by government and private organisations, and requires personal information controllers to apply reasonable organisational, physical, and technical security measures. It also created the National Privacy Commission to enforce these duties.</w:t>
      </w:r>
    </w:p>
    <w:p>
      <w:pPr>
        <w:spacing w:after="40"/>
        <w:ind w:left="432"/>
        <w:jc w:val="both"/>
      </w:pPr>
      <w:r>
        <w:rPr>
          <w:b/>
        </w:rPr>
        <w:t>Relevance to the proposed study.</w:t>
      </w:r>
      <w:r>
        <w:t xml:space="preserve"> Any record-level city dataset is personal information until it is shown otherwise. The law is the reason a release has to be assessed for identifiability before publication.</w:t>
      </w:r>
    </w:p>
    <w:p>
      <w:pPr>
        <w:spacing w:after="40"/>
        <w:ind w:left="432"/>
        <w:jc w:val="left"/>
      </w:pPr>
      <w:r>
        <w:t>Source link: https://lawphil.net/statutes/repacts/ra2012/ra_10173_2012.html</w:t>
      </w:r>
    </w:p>
    <w:p>
      <w:pPr>
        <w:keepNext/>
        <w:spacing w:before="120" w:after="40"/>
      </w:pPr>
      <w:r>
        <w:rPr>
          <w:b/>
        </w:rPr>
        <w:t>2. Executive Order No. 2, s. 2016, Operationalizing in the Executive Branch the People's Constitutional Right to Information</w:t>
      </w:r>
      <w:r>
        <w:rPr>
          <w:color w:val="595959"/>
          <w:sz w:val="18"/>
        </w:rPr>
        <w:t xml:space="preserve">  [Local Literature]</w:t>
      </w:r>
    </w:p>
    <w:p>
      <w:pPr>
        <w:spacing w:after="40"/>
        <w:ind w:left="432"/>
        <w:jc w:val="both"/>
      </w:pPr>
      <w:r>
        <w:t>The order established the Freedom of Information programme in the executive branch and directs government offices to give the public access to information and records. It also has a section on protecting privacy, which requires officials to fully protect the individual's right to privacy and to keep personal information in their custody secure when they provide access.</w:t>
      </w:r>
    </w:p>
    <w:p>
      <w:pPr>
        <w:spacing w:after="40"/>
        <w:ind w:left="432"/>
        <w:jc w:val="both"/>
      </w:pPr>
      <w:r>
        <w:rPr>
          <w:b/>
        </w:rPr>
        <w:t>Relevance to the proposed study.</w:t>
      </w:r>
      <w:r>
        <w:t xml:space="preserve"> It sets out the tension the proposed system resolves: government must disclose, but it must not disclose personal information. The system measures where that line falls for a specific dataset.</w:t>
      </w:r>
    </w:p>
    <w:p>
      <w:pPr>
        <w:spacing w:after="40"/>
        <w:ind w:left="432"/>
        <w:jc w:val="left"/>
      </w:pPr>
      <w:r>
        <w:t>Source link: https://lawphil.net/executive/execord/eo2016/eo_2_2016.html</w:t>
      </w:r>
    </w:p>
    <w:p>
      <w:pPr>
        <w:keepNext/>
        <w:spacing w:before="120" w:after="40"/>
      </w:pPr>
      <w:r>
        <w:rPr>
          <w:b/>
        </w:rPr>
        <w:t>3. NPC Advisory No. 2025-02, Guidelines on Privacy Engineering in Systems Life Cycle Processes</w:t>
      </w:r>
      <w:r>
        <w:rPr>
          <w:color w:val="595959"/>
          <w:sz w:val="18"/>
        </w:rPr>
        <w:t xml:space="preserve">  [Local Literature]</w:t>
      </w:r>
    </w:p>
    <w:p>
      <w:pPr>
        <w:spacing w:after="40"/>
        <w:ind w:left="432"/>
        <w:jc w:val="both"/>
      </w:pPr>
      <w:r>
        <w:t>The National Privacy Commission issued guidelines for building privacy into every stage of a system's life cycle, from planning and requirements through design, testing, deployment, and maintenance. It applies to new, existing, and updated systems.</w:t>
      </w:r>
    </w:p>
    <w:p>
      <w:pPr>
        <w:spacing w:after="40"/>
        <w:ind w:left="432"/>
        <w:jc w:val="both"/>
      </w:pPr>
      <w:r>
        <w:rPr>
          <w:b/>
        </w:rPr>
        <w:t>Relevance to the proposed study.</w:t>
      </w:r>
      <w:r>
        <w:t xml:space="preserve"> It supports designing privacy checks into the release process itself, which is what a release-readiness step does, instead of reviewing privacy after data is already published.</w:t>
      </w:r>
    </w:p>
    <w:p>
      <w:pPr>
        <w:spacing w:after="40"/>
        <w:ind w:left="432"/>
        <w:jc w:val="left"/>
      </w:pPr>
      <w:r>
        <w:t>Source link: https://privacy.gov.ph/wp-content/uploads/2025/12/NPC_Advisory2025-02.pdf</w:t>
      </w:r>
    </w:p>
    <w:p>
      <w:pPr>
        <w:keepNext/>
        <w:spacing w:before="120" w:after="40"/>
      </w:pPr>
      <w:r>
        <w:rPr>
          <w:b/>
        </w:rPr>
        <w:t>4. QC Open Data Dashboard</w:t>
      </w:r>
      <w:r>
        <w:rPr>
          <w:color w:val="595959"/>
          <w:sz w:val="18"/>
        </w:rPr>
        <w:t xml:space="preserve">  [Local Literature]</w:t>
      </w:r>
    </w:p>
    <w:p>
      <w:pPr>
        <w:spacing w:after="40"/>
        <w:ind w:left="432"/>
        <w:jc w:val="both"/>
      </w:pPr>
      <w:r>
        <w:t>Quezon City's official page describes the dashboard launched by ITDD on QC e-Services, covering six city programmes with data from 2019 onward, and states that the city will publish additional datasets.</w:t>
      </w:r>
    </w:p>
    <w:p>
      <w:pPr>
        <w:spacing w:after="40"/>
        <w:ind w:left="432"/>
        <w:jc w:val="both"/>
      </w:pPr>
      <w:r>
        <w:rPr>
          <w:b/>
        </w:rPr>
        <w:t>Relevance to the proposed study.</w:t>
      </w:r>
      <w:r>
        <w:t xml:space="preserve"> It confirms the partner, the candidate datasets, and the fact that more releases are planned, each of which will need a release decision.</w:t>
      </w:r>
    </w:p>
    <w:p>
      <w:pPr>
        <w:spacing w:after="40"/>
        <w:ind w:left="432"/>
        <w:jc w:val="left"/>
      </w:pPr>
      <w:r>
        <w:t>Source link: https://quezoncity.gov.ph/program/qc-open-data-dashboard/</w:t>
      </w:r>
    </w:p>
    <w:p>
      <w:pPr>
        <w:keepNext/>
        <w:spacing w:before="120" w:after="40"/>
      </w:pPr>
      <w:r>
        <w:rPr>
          <w:b/>
        </w:rPr>
        <w:t>5. Open Data Philippines portal (data.gov.ph)</w:t>
      </w:r>
      <w:r>
        <w:rPr>
          <w:color w:val="595959"/>
          <w:sz w:val="18"/>
        </w:rPr>
        <w:t xml:space="preserve">  [Local Literature]</w:t>
      </w:r>
    </w:p>
    <w:p>
      <w:pPr>
        <w:spacing w:after="40"/>
        <w:ind w:left="432"/>
        <w:jc w:val="both"/>
      </w:pPr>
      <w:r>
        <w:t>The national open-data portal publishes government datasets from participating agencies. When the group reviewed it on September 19, 2026, it listed 175 datasets from 17 publishing agencies, no local government unit publishers, and most recent retrieval dates from 2022 to 2023.</w:t>
      </w:r>
    </w:p>
    <w:p>
      <w:pPr>
        <w:spacing w:after="40"/>
        <w:ind w:left="432"/>
        <w:jc w:val="both"/>
      </w:pPr>
      <w:r>
        <w:rPr>
          <w:b/>
        </w:rPr>
        <w:t>Relevance to the proposed study.</w:t>
      </w:r>
      <w:r>
        <w:t xml:space="preserve"> It shows that local governments are largely absent from national open data. A method that makes city releases safer and easier to justify addresses one reason for that absence.</w:t>
      </w:r>
    </w:p>
    <w:p>
      <w:pPr>
        <w:spacing w:after="40"/>
        <w:ind w:left="432"/>
        <w:jc w:val="left"/>
      </w:pPr>
      <w:r>
        <w:t>Source link: https://data.gov.ph</w:t>
      </w:r>
    </w:p>
    <w:p>
      <w:pPr>
        <w:spacing w:after="40"/>
        <w:ind w:left="432"/>
        <w:jc w:val="both"/>
      </w:pPr>
      <w:r>
        <w:rPr>
          <w:highlight w:val="yellow"/>
        </w:rPr>
        <w:t>[The counts are the group's own observation on September 19, 2026. Re-check them before submitting.]</w:t>
      </w:r>
    </w:p>
    <w:p>
      <w:pPr>
        <w:keepNext/>
        <w:spacing w:before="120" w:after="40"/>
      </w:pPr>
      <w:r>
        <w:rPr>
          <w:b/>
        </w:rPr>
        <w:t>6. Beyond Accuracy: What Data Quality Means to Data Consumers</w:t>
      </w:r>
      <w:r>
        <w:rPr>
          <w:color w:val="595959"/>
          <w:sz w:val="18"/>
        </w:rPr>
        <w:t xml:space="preserve">  [Foreign Literature]</w:t>
      </w:r>
    </w:p>
    <w:p>
      <w:pPr>
        <w:spacing w:after="40"/>
        <w:ind w:left="432"/>
        <w:jc w:val="both"/>
      </w:pPr>
      <w:r>
        <w:t>Wang and Strong (1996) surveyed data users to find which qualities of data matter to them, and grouped the results into intrinsic, contextual, representational, and accessibility dimensions. They showed that data quality means more than accuracy, and depends on the task the data is used for.</w:t>
      </w:r>
    </w:p>
    <w:p>
      <w:pPr>
        <w:spacing w:after="40"/>
        <w:ind w:left="432"/>
        <w:jc w:val="both"/>
      </w:pPr>
      <w:r>
        <w:rPr>
          <w:b/>
        </w:rPr>
        <w:t>Relevance to the proposed study.</w:t>
      </w:r>
      <w:r>
        <w:t xml:space="preserve"> It is the basis for measuring the quality of a release in several dimensions, and for judging quality by whether the data can answer the questions the public will ask of it.</w:t>
      </w:r>
    </w:p>
    <w:p>
      <w:pPr>
        <w:spacing w:after="40"/>
        <w:ind w:left="432"/>
        <w:jc w:val="left"/>
      </w:pPr>
      <w:r>
        <w:t>Source link: https://doi.org/10.1080/07421222.1996.11518099</w:t>
      </w:r>
    </w:p>
    <w:p>
      <w:pPr>
        <w:keepNext/>
        <w:spacing w:before="120" w:after="40"/>
      </w:pPr>
      <w:r>
        <w:rPr>
          <w:b/>
        </w:rPr>
        <w:t>7. Benefits, Adoption Barriers and Myths of Open Data and Open Government</w:t>
      </w:r>
      <w:r>
        <w:rPr>
          <w:color w:val="595959"/>
          <w:sz w:val="18"/>
        </w:rPr>
        <w:t xml:space="preserve">  [Foreign Literature]</w:t>
      </w:r>
    </w:p>
    <w:p>
      <w:pPr>
        <w:spacing w:after="40"/>
        <w:ind w:left="432"/>
        <w:jc w:val="both"/>
      </w:pPr>
      <w:r>
        <w:t>Janssen, Charalabidis, and Zuiderwijk (2012) described the benefits governments expect from open data and the barriers that stop it, including concerns about privacy and data quality. They challenged the belief that simply publishing data is enough to create value.</w:t>
      </w:r>
    </w:p>
    <w:p>
      <w:pPr>
        <w:spacing w:after="40"/>
        <w:ind w:left="432"/>
        <w:jc w:val="both"/>
      </w:pPr>
      <w:r>
        <w:rPr>
          <w:b/>
        </w:rPr>
        <w:t>Relevance to the proposed study.</w:t>
      </w:r>
      <w:r>
        <w:t xml:space="preserve"> Privacy and quality concerns are among the barriers they name. The proposed system reduces both, so it addresses a documented reason why governments hold back data.</w:t>
      </w:r>
    </w:p>
    <w:p>
      <w:pPr>
        <w:spacing w:after="40"/>
        <w:ind w:left="432"/>
        <w:jc w:val="left"/>
      </w:pPr>
      <w:r>
        <w:t>Source link: https://doi.org/10.1080/10580530.2012.716740</w:t>
      </w:r>
    </w:p>
    <w:p>
      <w:pPr>
        <w:keepNext/>
        <w:spacing w:before="120" w:after="40"/>
      </w:pPr>
      <w:r>
        <w:rPr>
          <w:b/>
        </w:rPr>
        <w:t>8. k-Anonymity: A Model for Protecting Privacy</w:t>
      </w:r>
      <w:r>
        <w:rPr>
          <w:color w:val="595959"/>
          <w:sz w:val="18"/>
        </w:rPr>
        <w:t xml:space="preserve">  [Foreign Literature]</w:t>
      </w:r>
    </w:p>
    <w:p>
      <w:pPr>
        <w:spacing w:after="40"/>
        <w:ind w:left="432"/>
        <w:jc w:val="both"/>
      </w:pPr>
      <w:r>
        <w:t>Sweeney (2002) showed that records stripped of names can still be re-identified by linking fields such as birth date, sex, and postal code with other data. She proposed k-anonymity, which requires every record to share its quasi-identifier values with at least k-1 other records.</w:t>
      </w:r>
    </w:p>
    <w:p>
      <w:pPr>
        <w:spacing w:after="40"/>
        <w:ind w:left="432"/>
        <w:jc w:val="both"/>
      </w:pPr>
      <w:r>
        <w:rPr>
          <w:b/>
        </w:rPr>
        <w:t>Relevance to the proposed study.</w:t>
      </w:r>
      <w:r>
        <w:t xml:space="preserve"> It defines the quasi-identifier and the risk measure the system uses. It is also why removing names alone does not make a city dataset anonymous.</w:t>
      </w:r>
    </w:p>
    <w:p>
      <w:pPr>
        <w:spacing w:after="40"/>
        <w:ind w:left="432"/>
        <w:jc w:val="left"/>
      </w:pPr>
      <w:r>
        <w:t>Source link: https://doi.org/10.1142/S0218488502001648</w:t>
      </w:r>
    </w:p>
    <w:p>
      <w:pPr>
        <w:keepNext/>
        <w:spacing w:before="120" w:after="40"/>
      </w:pPr>
      <w:r>
        <w:rPr>
          <w:b/>
        </w:rPr>
        <w:t>9. Mondrian Multidimensional K-Anonymity</w:t>
      </w:r>
      <w:r>
        <w:rPr>
          <w:color w:val="595959"/>
          <w:sz w:val="18"/>
        </w:rPr>
        <w:t xml:space="preserve">  [Foreign Literature]</w:t>
      </w:r>
    </w:p>
    <w:p>
      <w:pPr>
        <w:spacing w:after="40"/>
        <w:ind w:left="432"/>
        <w:jc w:val="both"/>
      </w:pPr>
      <w:r>
        <w:t>LeFevre, DeWitt, and Ramakrishnan (2006) proposed Mondrian, a greedy algorithm that recursively splits the data across several attributes at once until every group has at least k records. Because it splits on several attributes instead of one at a time, it keeps more detail than earlier single-dimension methods.</w:t>
      </w:r>
    </w:p>
    <w:p>
      <w:pPr>
        <w:spacing w:after="40"/>
        <w:ind w:left="432"/>
        <w:jc w:val="both"/>
      </w:pPr>
      <w:r>
        <w:rPr>
          <w:b/>
        </w:rPr>
        <w:t>Relevance to the proposed study.</w:t>
      </w:r>
      <w:r>
        <w:t xml:space="preserve"> It is the algorithm named in the proposed title. It is expected to reach the same k as blanket suppression while keeping more of the data useful.</w:t>
      </w:r>
    </w:p>
    <w:p>
      <w:pPr>
        <w:spacing w:after="40"/>
        <w:ind w:left="432"/>
        <w:jc w:val="left"/>
      </w:pPr>
      <w:r>
        <w:t>Source link: https://doi.org/10.1109/ICDE.2006.101</w:t>
      </w:r>
    </w:p>
    <w:p>
      <w:pPr>
        <w:keepNext/>
        <w:spacing w:before="120" w:after="40"/>
      </w:pPr>
      <w:r>
        <w:rPr>
          <w:b/>
        </w:rPr>
        <w:t>10. l-Diversity: Privacy Beyond k-Anonymity</w:t>
      </w:r>
      <w:r>
        <w:rPr>
          <w:color w:val="595959"/>
          <w:sz w:val="18"/>
        </w:rPr>
        <w:t xml:space="preserve">  [Foreign Literature]</w:t>
      </w:r>
    </w:p>
    <w:p>
      <w:pPr>
        <w:spacing w:after="40"/>
        <w:ind w:left="432"/>
        <w:jc w:val="both"/>
      </w:pPr>
      <w:r>
        <w:t>Machanavajjhala, Kifer, Gehrke, and Venkitasubramaniam (2007) showed that k-anonymity can still leak information when every record in a group shares the same sensitive value, or when an attacker has background knowledge. They proposed l-diversity, which requires each group to contain several different sensitive values.</w:t>
      </w:r>
    </w:p>
    <w:p>
      <w:pPr>
        <w:spacing w:after="40"/>
        <w:ind w:left="432"/>
        <w:jc w:val="both"/>
      </w:pPr>
      <w:r>
        <w:rPr>
          <w:b/>
        </w:rPr>
        <w:t>Relevance to the proposed study.</w:t>
      </w:r>
      <w:r>
        <w:t xml:space="preserve"> It defines the known weakness of k-anonymity, which the system reports as a stated limitation, and it gives a second check for groups where every record has the same concern category.</w:t>
      </w:r>
    </w:p>
    <w:p>
      <w:pPr>
        <w:spacing w:after="40"/>
        <w:ind w:left="432"/>
        <w:jc w:val="left"/>
      </w:pPr>
      <w:r>
        <w:t>Source link: https://doi.org/10.1145/1217299.1217302</w:t>
      </w:r>
    </w:p>
    <w:p>
      <w:pPr>
        <w:keepNext/>
        <w:spacing w:before="160" w:after="80"/>
      </w:pPr>
      <w:r>
        <w:rPr>
          <w:b/>
          <w:sz w:val="22"/>
        </w:rPr>
        <w:t>2.2 Review of Related Studies</w:t>
      </w:r>
    </w:p>
    <w:p>
      <w:pPr>
        <w:spacing w:after="120"/>
        <w:jc w:val="both"/>
      </w:pPr>
      <w:r>
        <w:t>The studies cover Philippine evidence on open data, freedom of information, and privacy compliance, and international measurements of open-data quality and re-identification risk.</w:t>
      </w:r>
    </w:p>
    <w:p>
      <w:pPr>
        <w:keepNext/>
        <w:spacing w:before="120" w:after="40"/>
      </w:pPr>
      <w:r>
        <w:rPr>
          <w:b/>
        </w:rPr>
        <w:t>1. Public FOI Requests in the Philippines: Transparency at the Expense of Privacy?</w:t>
      </w:r>
      <w:r>
        <w:rPr>
          <w:color w:val="595959"/>
          <w:sz w:val="18"/>
        </w:rPr>
        <w:t xml:space="preserve">  [Local Study]</w:t>
      </w:r>
    </w:p>
    <w:p>
      <w:pPr>
        <w:spacing w:after="40"/>
        <w:ind w:left="432"/>
        <w:jc w:val="both"/>
      </w:pPr>
      <w:r>
        <w:t>Perez (2025) analysed over 235,000 requests on the Philippine eFOI portal filed between 2016 and 2024, using Presidio, an open-source personal information detector. About 44 percent of requests contained personal information and 0.66 percent contained sensitive identifiers, even though privacy advisories were in place. Exposure was higher for some agencies and during the COVID-19 pandemic. The author recommends automated de-identification together with human oversight.</w:t>
      </w:r>
    </w:p>
    <w:p>
      <w:pPr>
        <w:spacing w:after="40"/>
        <w:ind w:left="432"/>
        <w:jc w:val="both"/>
      </w:pPr>
      <w:r>
        <w:rPr>
          <w:b/>
        </w:rPr>
        <w:t>Relevance to the proposed study.</w:t>
      </w:r>
      <w:r>
        <w:t xml:space="preserve"> It is direct Philippine evidence that government transparency platforms publish personal information at scale when there is no systematic check. The proposed system is that kind of check, applied before a city dataset is released.</w:t>
      </w:r>
    </w:p>
    <w:p>
      <w:pPr>
        <w:spacing w:after="40"/>
        <w:ind w:left="432"/>
        <w:jc w:val="left"/>
      </w:pPr>
      <w:r>
        <w:t>Source link: https://doi.org/10.1007/978-981-95-4861-3_35</w:t>
      </w:r>
    </w:p>
    <w:p>
      <w:pPr>
        <w:keepNext/>
        <w:spacing w:before="120" w:after="40"/>
      </w:pPr>
      <w:r>
        <w:rPr>
          <w:b/>
        </w:rPr>
        <w:t>2. Why are Freedom of Information Requests in the Philippines Being Denied? An Analysis using a Practice-based Approach</w:t>
      </w:r>
      <w:r>
        <w:rPr>
          <w:color w:val="595959"/>
          <w:sz w:val="18"/>
        </w:rPr>
        <w:t xml:space="preserve">  [Local Study]</w:t>
      </w:r>
    </w:p>
    <w:p>
      <w:pPr>
        <w:spacing w:after="40"/>
        <w:ind w:left="432"/>
        <w:jc w:val="both"/>
      </w:pPr>
      <w:r>
        <w:t>Perez (2020) examined 346 randomly sampled requests from the eFOI portal, which had received 11,990 requests across 366 government offices by June 2019. Agencies mostly denied requests because they did not hold the information, did not consider the request valid, or processed requests differently from one another.</w:t>
      </w:r>
    </w:p>
    <w:p>
      <w:pPr>
        <w:spacing w:after="40"/>
        <w:ind w:left="432"/>
        <w:jc w:val="both"/>
      </w:pPr>
      <w:r>
        <w:rPr>
          <w:b/>
        </w:rPr>
        <w:t>Relevance to the proposed study.</w:t>
      </w:r>
      <w:r>
        <w:t xml:space="preserve"> It shows that Philippine agencies lack consistent procedures for deciding what to release. The proposed system gives a city a consistent, documented procedure for one kind of release decision.</w:t>
      </w:r>
    </w:p>
    <w:p>
      <w:pPr>
        <w:spacing w:after="40"/>
        <w:ind w:left="432"/>
        <w:jc w:val="left"/>
      </w:pPr>
      <w:r>
        <w:t>Source link: https://phjlis.org/index.php/phjlis/article/view/41</w:t>
      </w:r>
    </w:p>
    <w:p>
      <w:pPr>
        <w:keepNext/>
        <w:spacing w:before="120" w:after="40"/>
      </w:pPr>
      <w:r>
        <w:rPr>
          <w:b/>
        </w:rPr>
        <w:t>3. Open Data Governance in the Time of the Pandemic</w:t>
      </w:r>
      <w:r>
        <w:rPr>
          <w:color w:val="595959"/>
          <w:sz w:val="18"/>
        </w:rPr>
        <w:t xml:space="preserve">  [Local Study]</w:t>
      </w:r>
    </w:p>
    <w:p>
      <w:pPr>
        <w:spacing w:after="40"/>
        <w:ind w:left="432"/>
        <w:jc w:val="both"/>
      </w:pPr>
      <w:r>
        <w:t>Alampay (2021) assessed open government data in the Philippines by comparing access to health information during the COVID-19 pandemic with open data available before it. The study used FOI requests and open-data platforms, and analysed openness in terms of content, people, and process.</w:t>
      </w:r>
    </w:p>
    <w:p>
      <w:pPr>
        <w:spacing w:after="40"/>
        <w:ind w:left="432"/>
        <w:jc w:val="both"/>
      </w:pPr>
      <w:r>
        <w:rPr>
          <w:b/>
        </w:rPr>
        <w:t>Relevance to the proposed study.</w:t>
      </w:r>
      <w:r>
        <w:t xml:space="preserve"> It documents the state of Philippine open data and the push for more systematic data sharing across government, which is the setting the proposed system works in.</w:t>
      </w:r>
    </w:p>
    <w:p>
      <w:pPr>
        <w:spacing w:after="40"/>
        <w:ind w:left="432"/>
        <w:jc w:val="left"/>
      </w:pPr>
      <w:r>
        <w:t>Source link: https://doi.org/10.1145/3494193.3494255</w:t>
      </w:r>
    </w:p>
    <w:p>
      <w:pPr>
        <w:keepNext/>
        <w:spacing w:before="120" w:after="40"/>
      </w:pPr>
      <w:r>
        <w:rPr>
          <w:b/>
        </w:rPr>
        <w:t>4. Open Data in Philippines: An Issue of Access and Awareness</w:t>
      </w:r>
      <w:r>
        <w:rPr>
          <w:color w:val="595959"/>
          <w:sz w:val="18"/>
        </w:rPr>
        <w:t xml:space="preserve">  [Local Study]</w:t>
      </w:r>
    </w:p>
    <w:p>
      <w:pPr>
        <w:spacing w:after="40"/>
        <w:ind w:left="432"/>
        <w:jc w:val="both"/>
      </w:pPr>
      <w:r>
        <w:t>Pacis (2017), in a research brief for IT for Change, reviewed Philippine open data and freedom of information initiatives. The brief identified limited internet access, limited capacity of local groups, and low awareness among government staff as barriers to open data being used.</w:t>
      </w:r>
    </w:p>
    <w:p>
      <w:pPr>
        <w:spacing w:after="40"/>
        <w:ind w:left="432"/>
        <w:jc w:val="both"/>
      </w:pPr>
      <w:r>
        <w:rPr>
          <w:b/>
        </w:rPr>
        <w:t>Relevance to the proposed study.</w:t>
      </w:r>
      <w:r>
        <w:t xml:space="preserve"> It shows that the barriers to Philippine open data are practical and institutional, not only technical. A tool that helps staff make and explain release decisions addresses the capacity side of that problem.</w:t>
      </w:r>
    </w:p>
    <w:p>
      <w:pPr>
        <w:spacing w:after="40"/>
        <w:ind w:left="432"/>
        <w:jc w:val="left"/>
      </w:pPr>
      <w:r>
        <w:t>Source link: https://projects.itforchange.net/mavc/wp-content/uploads/2017/06/Research-Brief-Philippines.pdf</w:t>
      </w:r>
    </w:p>
    <w:p>
      <w:pPr>
        <w:keepNext/>
        <w:spacing w:before="120" w:after="40"/>
      </w:pPr>
      <w:r>
        <w:rPr>
          <w:b/>
        </w:rPr>
        <w:t>5. National Government Agency's Compliance on Data Privacy Act of 2012: A Case Study</w:t>
      </w:r>
      <w:r>
        <w:rPr>
          <w:color w:val="595959"/>
          <w:sz w:val="18"/>
        </w:rPr>
        <w:t xml:space="preserve">  [Local Study]</w:t>
      </w:r>
    </w:p>
    <w:p>
      <w:pPr>
        <w:spacing w:after="40"/>
        <w:ind w:left="432"/>
        <w:jc w:val="both"/>
      </w:pPr>
      <w:r>
        <w:t>Pitogo (2019) used a qualitative case study to examine how a Philippine frontline national agency complies with the Data Privacy Act. The agency was found partially compliant, and faced a lack of awareness, a wait-and-see attitude, and time and resource constraints.</w:t>
      </w:r>
    </w:p>
    <w:p>
      <w:pPr>
        <w:spacing w:after="40"/>
        <w:ind w:left="432"/>
        <w:jc w:val="both"/>
      </w:pPr>
      <w:r>
        <w:rPr>
          <w:b/>
        </w:rPr>
        <w:t>Relevance to the proposed study.</w:t>
      </w:r>
      <w:r>
        <w:t xml:space="preserve"> It shows that Philippine government offices struggle to apply privacy law in practice. A system that turns a privacy requirement into measurable checks lowers the effort needed to comply.</w:t>
      </w:r>
    </w:p>
    <w:p>
      <w:pPr>
        <w:spacing w:after="40"/>
        <w:ind w:left="432"/>
        <w:jc w:val="left"/>
      </w:pPr>
      <w:r>
        <w:t>Source link: https://doi.org/10.1088/1742-6596/1201/1/012021</w:t>
      </w:r>
    </w:p>
    <w:p>
      <w:pPr>
        <w:keepNext/>
        <w:spacing w:before="120" w:after="40"/>
      </w:pPr>
      <w:r>
        <w:rPr>
          <w:b/>
        </w:rPr>
        <w:t>6. Open Data Quality Measurement Framework: Definition and Application to Open Government Data</w:t>
      </w:r>
      <w:r>
        <w:rPr>
          <w:color w:val="595959"/>
          <w:sz w:val="18"/>
        </w:rPr>
        <w:t xml:space="preserve">  [Foreign Study]</w:t>
      </w:r>
    </w:p>
    <w:p>
      <w:pPr>
        <w:spacing w:after="40"/>
        <w:ind w:left="432"/>
        <w:jc w:val="both"/>
      </w:pPr>
      <w:r>
        <w:t>Vetrò et al. (2016) built a framework of indicators to measure the quality of open government datasets and applied it to Italian data. Datasets from a centralised release with quality controls were compared with municipal releases without them, and the municipal data showed weaker quality on several dimensions.</w:t>
      </w:r>
    </w:p>
    <w:p>
      <w:pPr>
        <w:spacing w:after="40"/>
        <w:ind w:left="432"/>
        <w:jc w:val="both"/>
      </w:pPr>
      <w:r>
        <w:rPr>
          <w:b/>
        </w:rPr>
        <w:t>Relevance to the proposed study.</w:t>
      </w:r>
      <w:r>
        <w:t xml:space="preserve"> It shows that city-level releases without quality controls are measurably worse, and provides indicators the system can adapt for its quality profile.</w:t>
      </w:r>
    </w:p>
    <w:p>
      <w:pPr>
        <w:spacing w:after="40"/>
        <w:ind w:left="432"/>
        <w:jc w:val="left"/>
      </w:pPr>
      <w:r>
        <w:t>Source link: https://doi.org/10.1016/j.giq.2016.02.001</w:t>
      </w:r>
    </w:p>
    <w:p>
      <w:pPr>
        <w:keepNext/>
        <w:spacing w:before="120" w:after="40"/>
      </w:pPr>
      <w:r>
        <w:rPr>
          <w:b/>
        </w:rPr>
        <w:t>7. Estimating the Success of Re-identifications in Incomplete Datasets Using Generative Models</w:t>
      </w:r>
      <w:r>
        <w:rPr>
          <w:color w:val="595959"/>
          <w:sz w:val="18"/>
        </w:rPr>
        <w:t xml:space="preserve">  [Foreign Study]</w:t>
      </w:r>
    </w:p>
    <w:p>
      <w:pPr>
        <w:spacing w:after="40"/>
        <w:ind w:left="432"/>
        <w:jc w:val="both"/>
      </w:pPr>
      <w:r>
        <w:t>Rocher, Hendrickx, and de Montjoye (2019) built a model that estimates the chance that a specific person can be correctly re-identified, even in a heavily sampled dataset. They estimated that 99.98 percent of Americans would be correctly re-identified in any dataset using 15 demographic attributes.</w:t>
      </w:r>
    </w:p>
    <w:p>
      <w:pPr>
        <w:spacing w:after="40"/>
        <w:ind w:left="432"/>
        <w:jc w:val="both"/>
      </w:pPr>
      <w:r>
        <w:rPr>
          <w:b/>
        </w:rPr>
        <w:t>Relevance to the proposed study.</w:t>
      </w:r>
      <w:r>
        <w:t xml:space="preserve"> It shows that sampling and removing names do not make a dataset anonymous, which is why the system measures risk directly instead of assuming it is low.</w:t>
      </w:r>
    </w:p>
    <w:p>
      <w:pPr>
        <w:spacing w:after="40"/>
        <w:ind w:left="432"/>
        <w:jc w:val="left"/>
      </w:pPr>
      <w:r>
        <w:t>Source link: https://doi.org/10.1038/s41467-019-10933-3</w:t>
      </w:r>
    </w:p>
    <w:p>
      <w:pPr>
        <w:keepNext/>
        <w:spacing w:before="120" w:after="40"/>
      </w:pPr>
      <w:r>
        <w:rPr>
          <w:b/>
        </w:rPr>
        <w:t>8. Unique in the Crowd: The Privacy Bounds of Human Mobility</w:t>
      </w:r>
      <w:r>
        <w:rPr>
          <w:color w:val="595959"/>
          <w:sz w:val="18"/>
        </w:rPr>
        <w:t xml:space="preserve">  [Foreign Study]</w:t>
      </w:r>
    </w:p>
    <w:p>
      <w:pPr>
        <w:spacing w:after="40"/>
        <w:ind w:left="432"/>
        <w:jc w:val="both"/>
      </w:pPr>
      <w:r>
        <w:t>De Montjoye, Hidalgo, Verleysen, and Blondel (2013) studied location records from 1.5 million mobile phone users and found that four points in space and time were enough to uniquely identify 95 percent of them. Making the data coarser reduced this uniqueness only slowly.</w:t>
      </w:r>
    </w:p>
    <w:p>
      <w:pPr>
        <w:spacing w:after="40"/>
        <w:ind w:left="432"/>
        <w:jc w:val="both"/>
      </w:pPr>
      <w:r>
        <w:rPr>
          <w:b/>
        </w:rPr>
        <w:t>Relevance to the proposed study.</w:t>
      </w:r>
      <w:r>
        <w:t xml:space="preserve"> Helpline 122 records carry a place and a time. This study shows why barangay and date fields must be treated as quasi-identifiers and generalised with care.</w:t>
      </w:r>
    </w:p>
    <w:p>
      <w:pPr>
        <w:spacing w:after="40"/>
        <w:ind w:left="432"/>
        <w:jc w:val="left"/>
      </w:pPr>
      <w:r>
        <w:t>Source link: https://doi.org/10.1038/srep01376</w:t>
      </w:r>
    </w:p>
    <w:p>
      <w:pPr>
        <w:keepNext/>
        <w:spacing w:before="120" w:after="40"/>
      </w:pPr>
      <w:r>
        <w:rPr>
          <w:b/>
        </w:rPr>
        <w:t>9. A Globally Optimal k-Anonymity Method for the De-identification of Health Data</w:t>
      </w:r>
      <w:r>
        <w:rPr>
          <w:color w:val="595959"/>
          <w:sz w:val="18"/>
        </w:rPr>
        <w:t xml:space="preserve">  [Foreign Study]</w:t>
      </w:r>
    </w:p>
    <w:p>
      <w:pPr>
        <w:spacing w:after="40"/>
        <w:ind w:left="432"/>
        <w:jc w:val="both"/>
      </w:pPr>
      <w:r>
        <w:t>El Emam et al. (2009) developed a k-anonymity algorithm that searches for the generalisation with the least information loss and compared it with earlier algorithms on real datasets. Their method lost less information than the alternatives at the same level of protection.</w:t>
      </w:r>
    </w:p>
    <w:p>
      <w:pPr>
        <w:spacing w:after="40"/>
        <w:ind w:left="432"/>
        <w:jc w:val="both"/>
      </w:pPr>
      <w:r>
        <w:rPr>
          <w:b/>
        </w:rPr>
        <w:t>Relevance to the proposed study.</w:t>
      </w:r>
      <w:r>
        <w:t xml:space="preserve"> It shows that the choice of k-anonymity algorithm changes how much useful detail survives. The proposed study makes the same kind of comparison between Mondrian and fixed suppression.</w:t>
      </w:r>
    </w:p>
    <w:p>
      <w:pPr>
        <w:spacing w:after="40"/>
        <w:ind w:left="432"/>
        <w:jc w:val="left"/>
      </w:pPr>
      <w:r>
        <w:t>Source link: https://doi.org/10.1197/jamia.M3144</w:t>
      </w:r>
    </w:p>
    <w:p>
      <w:pPr>
        <w:keepNext/>
        <w:spacing w:before="120" w:after="40"/>
      </w:pPr>
      <w:r>
        <w:rPr>
          <w:b/>
        </w:rPr>
        <w:t>10. Flexible Data Anonymization Using ARX: Current Status and Challenges Ahead</w:t>
      </w:r>
      <w:r>
        <w:rPr>
          <w:color w:val="595959"/>
          <w:sz w:val="18"/>
        </w:rPr>
        <w:t xml:space="preserve">  [Foreign Study]</w:t>
      </w:r>
    </w:p>
    <w:p>
      <w:pPr>
        <w:spacing w:after="40"/>
        <w:ind w:left="432"/>
        <w:jc w:val="both"/>
      </w:pPr>
      <w:r>
        <w:t>Prasser, Eicher, Spengler, Bild, and Kuhn (2020) described ARX, an open-source anonymisation tool that supports k-anonymity and related privacy models, risk analysis, and utility measurement, and reviewed the challenges of using such tools in practice.</w:t>
      </w:r>
    </w:p>
    <w:p>
      <w:pPr>
        <w:spacing w:after="40"/>
        <w:ind w:left="432"/>
        <w:jc w:val="both"/>
      </w:pPr>
      <w:r>
        <w:rPr>
          <w:b/>
        </w:rPr>
        <w:t>Relevance to the proposed study.</w:t>
      </w:r>
      <w:r>
        <w:t xml:space="preserve"> ARX is the reference implementation the group will use to cross-check its own Mondrian output, so an implementation error is caught rather than defended.</w:t>
      </w:r>
    </w:p>
    <w:p>
      <w:pPr>
        <w:spacing w:after="40"/>
        <w:ind w:left="432"/>
        <w:jc w:val="left"/>
      </w:pPr>
      <w:r>
        <w:t>Source link: https://doi.org/10.1002/spe.2812</w:t>
      </w:r>
    </w:p>
    <w:p>
      <w:pPr>
        <w:keepNext/>
        <w:spacing w:before="160" w:after="80"/>
      </w:pPr>
      <w:r>
        <w:rPr>
          <w:b/>
          <w:sz w:val="22"/>
        </w:rPr>
        <w:t>2.3 Synthesis and Research Gap</w:t>
      </w:r>
    </w:p>
    <w:p>
      <w:pPr>
        <w:spacing w:after="120"/>
        <w:jc w:val="both"/>
      </w:pPr>
      <w:r>
        <w:t>The Philippine sources show that openness and privacy are both legal duties, that government platforms have exposed personal information at scale without systematic checks, and that agencies lack consistent release procedures and the capacity to apply privacy law. The international sources show that removing names does not make data anonymous, that place and time fields are especially identifying, that k-anonymity and Mondrian can reduce risk while keeping detail, and that unmanaged municipal releases are measurably lower in quality.</w:t>
      </w:r>
    </w:p>
    <w:p>
      <w:pPr>
        <w:spacing w:after="120"/>
        <w:jc w:val="both"/>
      </w:pPr>
      <w:r>
        <w:rPr>
          <w:b/>
        </w:rPr>
        <w:t>The gap.</w:t>
      </w:r>
      <w:r>
        <w:t xml:space="preserve"> No published work applies these measurements to a Philippine local government open-data release. No Philippine study compares a smarter anonymisation method against the blanket suppression that data owners actually use, on real city data, while also measuring quality. This study fills that gap with an auditable, reusable release-readiness procedure.</w:t>
      </w:r>
    </w:p>
    <w:p>
      <w:pPr>
        <w:keepNext/>
        <w:spacing w:before="160" w:after="80"/>
      </w:pPr>
      <w:r>
        <w:rPr>
          <w:b/>
          <w:sz w:val="22"/>
        </w:rPr>
        <w:t>2.4 Refined Title</w:t>
      </w:r>
    </w:p>
    <w:p>
      <w:pPr>
        <w:spacing w:after="120"/>
        <w:jc w:val="both"/>
      </w:pPr>
      <w:r>
        <w:rPr>
          <w:b/>
        </w:rPr>
        <w:t>A Data Governance System for Privacy Release Readiness of Quezon City Open Data Using Mondrian k-Anonymity</w:t>
      </w:r>
      <w:r>
        <w:t xml:space="preserve"> (16 words). The title is kept, because the review confirmed Mondrian as the right method for the comparison the study makes.</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release-readiness system is built, validated first on a public benchmark dataset with published k-anonymity results, and then applied to the approved city extract.</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ITDD-approved de-identified Helpline 122 service records: request date, concern category and sub-category, barangay or district, status, and resolution time, with a data dictionary</w:t>
            </w:r>
          </w:p>
        </w:tc>
      </w:tr>
      <w:tr>
        <w:tc>
          <w:tcPr>
            <w:tcW w:type="dxa" w:w="2160"/>
          </w:tcPr>
          <w:p>
            <w:r/>
            <w:r>
              <w:rPr>
                <w:sz w:val="18"/>
              </w:rPr>
              <w:t>Partner status</w:t>
            </w:r>
          </w:p>
        </w:tc>
        <w:tc>
          <w:tcPr>
            <w:tcW w:type="dxa" w:w="8064"/>
          </w:tcPr>
          <w:p>
            <w:r/>
            <w:r>
              <w:rPr>
                <w:sz w:val="18"/>
              </w:rPr>
              <w:t>Proposal letter and email sent to QC ITDD. A reply and an update from the group's city contact are pending.</w:t>
            </w:r>
          </w:p>
        </w:tc>
      </w:tr>
      <w:tr>
        <w:tc>
          <w:tcPr>
            <w:tcW w:type="dxa" w:w="2160"/>
          </w:tcPr>
          <w:p>
            <w:r/>
            <w:r>
              <w:rPr>
                <w:sz w:val="18"/>
              </w:rPr>
              <w:t>Volume</w:t>
            </w:r>
          </w:p>
        </w:tc>
        <w:tc>
          <w:tcPr>
            <w:tcW w:type="dxa" w:w="8064"/>
          </w:tcPr>
          <w:p>
            <w:r/>
            <w:r>
              <w:rPr>
                <w:sz w:val="18"/>
              </w:rPr>
              <w:t>At least 10,000 usable rows; plausible for a citywide channel with data from 2019</w:t>
            </w:r>
          </w:p>
        </w:tc>
      </w:tr>
      <w:tr>
        <w:tc>
          <w:tcPr>
            <w:tcW w:type="dxa" w:w="2160"/>
          </w:tcPr>
          <w:p>
            <w:r/>
            <w:r>
              <w:rPr>
                <w:sz w:val="18"/>
              </w:rPr>
              <w:t>Excluded data</w:t>
            </w:r>
          </w:p>
        </w:tc>
        <w:tc>
          <w:tcPr>
            <w:tcW w:type="dxa" w:w="8064"/>
          </w:tcPr>
          <w:p>
            <w:r/>
            <w:r>
              <w:rPr>
                <w:sz w:val="18"/>
              </w:rPr>
              <w:t>Names, contact details, narrative text, exact locations, account identifiers, health, PWD, QCitizen ID, and financial beneficiary fields</w:t>
            </w:r>
          </w:p>
        </w:tc>
      </w:tr>
      <w:tr>
        <w:tc>
          <w:tcPr>
            <w:tcW w:type="dxa" w:w="2160"/>
          </w:tcPr>
          <w:p>
            <w:r/>
            <w:r>
              <w:rPr>
                <w:sz w:val="18"/>
              </w:rPr>
              <w:t>Fallback</w:t>
            </w:r>
          </w:p>
        </w:tc>
        <w:tc>
          <w:tcPr>
            <w:tcW w:type="dxa" w:w="8064"/>
          </w:tcPr>
          <w:p>
            <w:r/>
            <w:r>
              <w:rPr>
                <w:sz w:val="18"/>
              </w:rPr>
              <w:t>First, a different QC dataset. Second, a Philippine Statistics Authority anonymised microdata file. Third, a public benchmark such as UCI Adult, which keeps the method but loses the local finding.</w:t>
            </w:r>
          </w:p>
        </w:tc>
      </w:tr>
    </w:tbl>
    <w:p>
      <w:pPr>
        <w:spacing w:after="40"/>
      </w:pPr>
    </w:p>
    <w:p>
      <w:pPr>
        <w:keepNext/>
        <w:spacing w:before="160" w:after="80"/>
      </w:pPr>
      <w:r>
        <w:rPr>
          <w:b/>
          <w:sz w:val="22"/>
        </w:rPr>
        <w:t>3.3 Proposed Algorithm and Baselines</w:t>
      </w:r>
    </w:p>
    <w:p>
      <w:pPr>
        <w:spacing w:after="120"/>
        <w:jc w:val="both"/>
      </w:pPr>
      <w:r>
        <w:t>Mondrian multidimensional k-anonymity is the primary algorithm. Fixed small-cell suppression is the mandatory baseline, because it represents current practice. Both are run at the same risk thresholds across several values of k, and k is treated as a study parameter, never as a legal guarantee. An l-diversity check is reported for groups whose members all share one concern category. Differential privacy is discussed as a reference point but is not implemented, because it answers a different release question.</w:t>
      </w:r>
    </w:p>
    <w:p>
      <w:pPr>
        <w:keepNext/>
        <w:spacing w:before="160" w:after="80"/>
      </w:pPr>
      <w:r>
        <w:rPr>
          <w:b/>
          <w:sz w:val="22"/>
        </w:rPr>
        <w:t>3.4 System Architecture and Tools</w:t>
      </w:r>
    </w:p>
    <w:p>
      <w:pPr>
        <w:spacing w:after="120"/>
        <w:jc w:val="both"/>
      </w:pPr>
      <w:r>
        <w:t>Restricted import with a prohibited-field and provenance check, then the quality profiler, then field classification, then the release-profile generator, then the equivalence-class risk engine, then generalisation and suppression, then utility evaluation, then the release-readiness report and dashboard. The stack is Python with pandas and a custom Mondrian implementation, ARX or pycanon for cross-checking, SQLite for storage, and Streamlit for the dashboard.</w:t>
      </w:r>
    </w:p>
    <w:p>
      <w:pPr>
        <w:keepNext/>
        <w:spacing w:before="160" w:after="80"/>
      </w:pPr>
      <w:r>
        <w:rPr>
          <w:b/>
          <w:sz w:val="22"/>
        </w:rPr>
        <w:t>3.5 Evaluation Metrics</w:t>
      </w:r>
    </w:p>
    <w:p>
      <w:pPr>
        <w:spacing w:after="120"/>
        <w:jc w:val="both"/>
      </w:pPr>
      <w:r>
        <w:t>Minimum k achieved, equivalence-class size distribution, and share of records in small cells for risk. Discernibility metric, normalised certainty penalty, and aggregate-query error against the ungeneralised copy for information loss. Quality is reported per dimension from the rule catalogue.</w:t>
      </w:r>
    </w:p>
    <w:p>
      <w:pPr>
        <w:keepNext/>
        <w:spacing w:before="160" w:after="80"/>
      </w:pPr>
      <w:r>
        <w:rPr>
          <w:b/>
          <w:sz w:val="22"/>
        </w:rPr>
        <w:t>3.6 Ethical Considerations</w:t>
      </w:r>
    </w:p>
    <w:p>
      <w:pPr>
        <w:spacing w:after="120"/>
        <w:jc w:val="both"/>
      </w:pPr>
      <w:r>
        <w:t>The study targets an Exempt classification, with no human participants and no identifiable information received. NPC guidance that de-identified data is not automatically anonymous means the research copy is still treated as restricted. No re-identification or linkage is attempted, the record-level extract is never published, and row-level files are destroyed within thirty days after the final defence unless the city's terms require earlier.</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Open-source stack; Mondrian has published pseudocode and reference tools</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Letter sent and a documented request channel exists; reply pending</w:t>
            </w:r>
          </w:p>
        </w:tc>
      </w:tr>
      <w:tr>
        <w:tc>
          <w:tcPr>
            <w:tcW w:type="dxa" w:w="3168"/>
          </w:tcPr>
          <w:p>
            <w:r/>
            <w:r>
              <w:rPr>
                <w:sz w:val="18"/>
              </w:rPr>
              <w:t>Algorithm or model feasibility</w:t>
            </w:r>
          </w:p>
        </w:tc>
        <w:tc>
          <w:tcPr>
            <w:tcW w:type="dxa" w:w="864"/>
          </w:tcPr>
          <w:p>
            <w:r/>
            <w:r>
              <w:rPr>
                <w:sz w:val="18"/>
              </w:rPr>
              <w:t>4</w:t>
            </w:r>
          </w:p>
        </w:tc>
        <w:tc>
          <w:tcPr>
            <w:tcW w:type="dxa" w:w="6192"/>
          </w:tcPr>
          <w:p>
            <w:r/>
            <w:r>
              <w:rPr>
                <w:sz w:val="18"/>
              </w:rPr>
              <w:t>Clear primary method and a real-practice baseline</w:t>
            </w:r>
          </w:p>
        </w:tc>
      </w:tr>
      <w:tr>
        <w:tc>
          <w:tcPr>
            <w:tcW w:type="dxa" w:w="3168"/>
          </w:tcPr>
          <w:p>
            <w:r/>
            <w:r>
              <w:rPr>
                <w:sz w:val="18"/>
              </w:rPr>
              <w:t>Operational feasibility</w:t>
            </w:r>
          </w:p>
        </w:tc>
        <w:tc>
          <w:tcPr>
            <w:tcW w:type="dxa" w:w="864"/>
          </w:tcPr>
          <w:p>
            <w:r/>
            <w:r>
              <w:rPr>
                <w:sz w:val="18"/>
              </w:rPr>
              <w:t>4</w:t>
            </w:r>
          </w:p>
        </w:tc>
        <w:tc>
          <w:tcPr>
            <w:tcW w:type="dxa" w:w="6192"/>
          </w:tcPr>
          <w:p>
            <w:r/>
            <w:r>
              <w:rPr>
                <w:sz w:val="18"/>
              </w:rPr>
              <w:t>A named responsible department</w:t>
            </w:r>
          </w:p>
        </w:tc>
      </w:tr>
      <w:tr>
        <w:tc>
          <w:tcPr>
            <w:tcW w:type="dxa" w:w="3168"/>
          </w:tcPr>
          <w:p>
            <w:r/>
            <w:r>
              <w:rPr>
                <w:sz w:val="18"/>
              </w:rPr>
              <w:t>Economic feasibility</w:t>
            </w:r>
          </w:p>
        </w:tc>
        <w:tc>
          <w:tcPr>
            <w:tcW w:type="dxa" w:w="864"/>
          </w:tcPr>
          <w:p>
            <w:r/>
            <w:r>
              <w:rPr>
                <w:sz w:val="18"/>
              </w:rPr>
              <w:t>5</w:t>
            </w:r>
          </w:p>
        </w:tc>
        <w:tc>
          <w:tcPr>
            <w:tcW w:type="dxa" w:w="6192"/>
          </w:tcPr>
          <w:p>
            <w:r/>
            <w:r>
              <w:rPr>
                <w:sz w:val="18"/>
              </w:rPr>
              <w:t>Under PHP 4,500, mostly travel</w:t>
            </w:r>
          </w:p>
        </w:tc>
      </w:tr>
      <w:tr>
        <w:tc>
          <w:tcPr>
            <w:tcW w:type="dxa" w:w="3168"/>
          </w:tcPr>
          <w:p>
            <w:r/>
            <w:r>
              <w:rPr>
                <w:sz w:val="18"/>
              </w:rPr>
              <w:t>Schedule feasibility</w:t>
            </w:r>
          </w:p>
        </w:tc>
        <w:tc>
          <w:tcPr>
            <w:tcW w:type="dxa" w:w="864"/>
          </w:tcPr>
          <w:p>
            <w:r/>
            <w:r>
              <w:rPr>
                <w:sz w:val="18"/>
              </w:rPr>
              <w:t>3</w:t>
            </w:r>
          </w:p>
        </w:tc>
        <w:tc>
          <w:tcPr>
            <w:tcW w:type="dxa" w:w="6192"/>
          </w:tcPr>
          <w:p>
            <w:r/>
            <w:r>
              <w:rPr>
                <w:sz w:val="18"/>
              </w:rPr>
              <w:t>City response time is outside the group's control</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Privacy is the study's subject; NPC guidance identified</w:t>
            </w:r>
          </w:p>
        </w:tc>
      </w:tr>
      <w:tr>
        <w:tc>
          <w:tcPr>
            <w:tcW w:type="dxa" w:w="3168"/>
          </w:tcPr>
          <w:p>
            <w:r/>
            <w:r>
              <w:rPr>
                <w:sz w:val="18"/>
              </w:rPr>
              <w:t>Risk manageability</w:t>
            </w:r>
          </w:p>
        </w:tc>
        <w:tc>
          <w:tcPr>
            <w:tcW w:type="dxa" w:w="864"/>
          </w:tcPr>
          <w:p>
            <w:r/>
            <w:r>
              <w:rPr>
                <w:sz w:val="18"/>
              </w:rPr>
              <w:t>4</w:t>
            </w:r>
          </w:p>
        </w:tc>
        <w:tc>
          <w:tcPr>
            <w:tcW w:type="dxa" w:w="6192"/>
          </w:tcPr>
          <w:p>
            <w:r/>
            <w:r>
              <w:rPr>
                <w:sz w:val="18"/>
              </w:rPr>
              <w:t>Three named fallbacks; the method survives all of them</w:t>
            </w:r>
          </w:p>
        </w:tc>
      </w:tr>
      <w:tr>
        <w:tc>
          <w:tcPr>
            <w:tcW w:type="dxa" w:w="3168"/>
          </w:tcPr>
          <w:p>
            <w:r/>
            <w:r>
              <w:rPr>
                <w:b/>
                <w:sz w:val="18"/>
              </w:rPr>
              <w:t>Total score</w:t>
            </w:r>
          </w:p>
        </w:tc>
        <w:tc>
          <w:tcPr>
            <w:tcW w:type="dxa" w:w="864"/>
          </w:tcPr>
          <w:p>
            <w:r/>
            <w:r>
              <w:rPr>
                <w:b/>
                <w:sz w:val="18"/>
              </w:rPr>
              <w:t>31/40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Alampay, E. A. (2021). Open data governance in the time of the pandemic. Proceedings of the 14th International Conference on Theory and Practice of Electronic Governance, 455–462. https://doi.org/10.1145/3494193.3494255</w:t>
      </w:r>
    </w:p>
    <w:p>
      <w:pPr>
        <w:spacing w:after="60"/>
        <w:ind w:left="576" w:hanging="576"/>
        <w:jc w:val="left"/>
      </w:pPr>
      <w:r>
        <w:t>de Montjoye, Y.-A., Hidalgo, C. A., Verleysen, M., &amp; Blondel, V. D. (2013). Unique in the crowd: The privacy bounds of human mobility. Scientific Reports, 3, 1376. https://doi.org/10.1038/srep01376</w:t>
      </w:r>
    </w:p>
    <w:p>
      <w:pPr>
        <w:spacing w:after="60"/>
        <w:ind w:left="576" w:hanging="576"/>
        <w:jc w:val="left"/>
      </w:pPr>
      <w:r>
        <w:t>El Emam, K., Dankar, F. K., Issa, R., Jonker, E., Amyot, D., Cogo, E., et al. (2009). A globally optimal k-anonymity method for the de-identification of health data. Journal of the American Medical Informatics Association, 16(5), 670–682. https://doi.org/10.1197/jamia.M3144</w:t>
      </w:r>
    </w:p>
    <w:p>
      <w:pPr>
        <w:spacing w:after="60"/>
        <w:ind w:left="576" w:hanging="576"/>
        <w:jc w:val="left"/>
      </w:pPr>
      <w:r>
        <w:t>Executive Order No. 2, s. 2016. (2016). Operationalizing in the executive branch the people's constitutional right to information. https://lawphil.net/executive/execord/eo2016/eo_2_2016.html</w:t>
      </w:r>
    </w:p>
    <w:p>
      <w:pPr>
        <w:spacing w:after="60"/>
        <w:ind w:left="576" w:hanging="576"/>
        <w:jc w:val="left"/>
      </w:pPr>
      <w:r>
        <w:t>Janssen, M., Charalabidis, Y., &amp; Zuiderwijk, A. (2012). Benefits, adoption barriers and myths of open data and open government. Information Systems Management, 29(4), 258–268. https://doi.org/10.1080/10580530.2012.716740</w:t>
      </w:r>
    </w:p>
    <w:p>
      <w:pPr>
        <w:spacing w:after="60"/>
        <w:ind w:left="576" w:hanging="576"/>
        <w:jc w:val="left"/>
      </w:pPr>
      <w:r>
        <w:t>LeFevre, K., DeWitt, D. J., &amp; Ramakrishnan, R. (2006). Mondrian multidimensional k-anonymity. Proceedings of the 22nd International Conference on Data Engineering, 25. https://doi.org/10.1109/ICDE.2006.101</w:t>
      </w:r>
    </w:p>
    <w:p>
      <w:pPr>
        <w:spacing w:after="60"/>
        <w:ind w:left="576" w:hanging="576"/>
        <w:jc w:val="left"/>
      </w:pPr>
      <w:r>
        <w:t>Machanavajjhala, A., Kifer, D., Gehrke, J., &amp; Venkitasubramaniam, M. (2007). l-Diversity: Privacy beyond k-anonymity. ACM Transactions on Knowledge Discovery from Data, 1(1), 3. https://doi.org/10.1145/1217299.1217302</w:t>
      </w:r>
    </w:p>
    <w:p>
      <w:pPr>
        <w:spacing w:after="60"/>
        <w:ind w:left="576" w:hanging="576"/>
        <w:jc w:val="left"/>
      </w:pPr>
      <w:r>
        <w:t>National Privacy Commission. (2025). NPC Advisory No. 2025-02: Guidelines on privacy engineering in systems life cycle processes. https://privacy.gov.ph/wp-content/uploads/2025/12/NPC_Advisory2025-02.pdf</w:t>
      </w:r>
    </w:p>
    <w:p>
      <w:pPr>
        <w:spacing w:after="60"/>
        <w:ind w:left="576" w:hanging="576"/>
        <w:jc w:val="left"/>
      </w:pPr>
      <w:r>
        <w:t>Open Data Philippines. (n.d.). data.gov.ph. Retrieved September 19, 2026, from https://data.gov.ph</w:t>
      </w:r>
    </w:p>
    <w:p>
      <w:pPr>
        <w:spacing w:after="60"/>
        <w:ind w:left="576" w:hanging="576"/>
        <w:jc w:val="left"/>
      </w:pPr>
      <w:r>
        <w:t>Pacis, J. (2017). Open data in Philippines: An issue of access and awareness [Research brief]. IT for Change. https://projects.itforchange.net/mavc/wp-content/uploads/2017/06/Research-Brief-Philippines.pdf</w:t>
      </w:r>
    </w:p>
    <w:p>
      <w:pPr>
        <w:spacing w:after="60"/>
        <w:ind w:left="576" w:hanging="576"/>
        <w:jc w:val="left"/>
      </w:pPr>
      <w:r>
        <w:t>Perez, P. J. (2020). Why are freedom of information requests in the Philippines being denied? An analysis using a practice-based approach. Philippine Journal of Librarianship and Information Studies. https://phjlis.org/index.php/phjlis/article/view/41</w:t>
      </w:r>
    </w:p>
    <w:p>
      <w:pPr>
        <w:spacing w:after="60"/>
        <w:ind w:left="576" w:hanging="576"/>
        <w:jc w:val="left"/>
      </w:pPr>
      <w:r>
        <w:t>Perez, P. J. (2025). Public FOI requests in the Philippines: Transparency at the expense of privacy? In Intelligence and equity: Shaping the future of knowledge (Lecture Notes in Computer Science, pp. 417–426). Springer. https://doi.org/10.1007/978-981-95-4861-3_35</w:t>
      </w:r>
    </w:p>
    <w:p>
      <w:pPr>
        <w:spacing w:after="60"/>
        <w:ind w:left="576" w:hanging="576"/>
        <w:jc w:val="left"/>
      </w:pPr>
      <w:r>
        <w:t>Pitogo, V. (2019). National government agency's compliance on Data Privacy Act of 2012: A case study. Journal of Physics: Conference Series, 1201, 012021. https://doi.org/10.1088/1742-6596/1201/1/012021</w:t>
      </w:r>
    </w:p>
    <w:p>
      <w:pPr>
        <w:spacing w:after="60"/>
        <w:ind w:left="576" w:hanging="576"/>
        <w:jc w:val="left"/>
      </w:pPr>
      <w:r>
        <w:t>Prasser, F., Eicher, J., Spengler, H., Bild, R., &amp; Kuhn, K. A. (2020). Flexible data anonymization using ARX: Current status and challenges ahead. Software: Practice and Experience, 50(7), 1277–1304. https://doi.org/10.1002/spe.2812</w:t>
      </w:r>
    </w:p>
    <w:p>
      <w:pPr>
        <w:spacing w:after="60"/>
        <w:ind w:left="576" w:hanging="576"/>
        <w:jc w:val="left"/>
      </w:pPr>
      <w:r>
        <w:t>Quezon City Government. (n.d.). QC Open Data Dashboard. https://quezoncity.gov.ph/program/qc-open-data-dashboard/</w:t>
      </w:r>
    </w:p>
    <w:p>
      <w:pPr>
        <w:spacing w:after="60"/>
        <w:ind w:left="576" w:hanging="576"/>
        <w:jc w:val="left"/>
      </w:pPr>
      <w:r>
        <w:t>Republic Act No. 10173. (2012). Data Privacy Act of 2012. https://lawphil.net/statutes/repacts/ra2012/ra_10173_2012.html</w:t>
      </w:r>
    </w:p>
    <w:p>
      <w:pPr>
        <w:spacing w:after="60"/>
        <w:ind w:left="576" w:hanging="576"/>
        <w:jc w:val="left"/>
      </w:pPr>
      <w:r>
        <w:t>Rocher, L., Hendrickx, J. M., &amp; de Montjoye, Y.-A. (2019). Estimating the success of re-identifications in incomplete datasets using generative models. Nature Communications, 10, 3069. https://doi.org/10.1038/s41467-019-10933-3</w:t>
      </w:r>
    </w:p>
    <w:p>
      <w:pPr>
        <w:spacing w:after="60"/>
        <w:ind w:left="576" w:hanging="576"/>
        <w:jc w:val="left"/>
      </w:pPr>
      <w:r>
        <w:t>Sweeney, L. (2002). k-Anonymity: A model for protecting privacy. International Journal of Uncertainty, Fuzziness and Knowledge-Based Systems, 10(5), 557–570. https://doi.org/10.1142/S0218488502001648</w:t>
      </w:r>
    </w:p>
    <w:p>
      <w:pPr>
        <w:spacing w:after="60"/>
        <w:ind w:left="576" w:hanging="576"/>
        <w:jc w:val="left"/>
      </w:pPr>
      <w:r>
        <w:t>Vetrò, A., Canova, L., Torchiano, M., Minotas, C. O., Iemma, R., &amp; Morando, F. (2016). Open data quality measurement framework: Definition and application to open government data. Government Information Quarterly, 33(2), 325–337. https://doi.org/10.1016/j.giq.2016.02.001</w:t>
      </w:r>
    </w:p>
    <w:p>
      <w:pPr>
        <w:spacing w:after="60"/>
        <w:ind w:left="576" w:hanging="576"/>
        <w:jc w:val="left"/>
      </w:pPr>
      <w:r>
        <w:t>Wang, R. Y., &amp; Strong, D. M. (1996). Beyond accuracy: What data quality means to data consumers. Journal of Management Information Systems, 12(4), 5–33. https://doi.org/10.1080/07421222.1996.11518099</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4 OF 6</w:t>
            </w:r>
          </w:p>
          <w:p>
            <w:r>
              <w:rPr>
                <w:color w:val="E0E0E0"/>
                <w:sz w:val="18"/>
              </w:rPr>
              <w:t>Development of an Explainable Hybrid Data Quality and Privacy Risk Assessment Tool for Patient Record Management at a Barangay Health Center in Mandaluyong City</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Partner:</w:t>
      </w:r>
      <w:r>
        <w:t xml:space="preserve"> A barangay health center in Mandaluyong City. </w:t>
      </w:r>
      <w:r>
        <w:rPr>
          <w:highlight w:val="yellow"/>
        </w:rPr>
        <w:t>[Name the health center once confirmed.]</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Barangay health centers are the first point of care for many Filipinos, and they keep records of consultations, immunisations, prenatal visits, and programme enrolments. These records feed municipal and national health reports, so errors made at the barangay level travel upward. Records are often encoded by different staff over many years, sometimes from paper forms, which produces missing fields, invalid values, inconsistent formats, and the same patient entered more than once.</w:t>
      </w:r>
    </w:p>
    <w:p>
      <w:pPr>
        <w:spacing w:after="120"/>
        <w:jc w:val="both"/>
      </w:pPr>
      <w:r>
        <w:t>Health information is sensitive personal information under the Data Privacy Act of 2012, so these records also carry a privacy duty. Staff who try to clean records must do so without exposing patient identities, and they have no simple way to see how much privacy risk a dataset carries before it is shared or reported.</w:t>
      </w:r>
    </w:p>
    <w:p>
      <w:pPr>
        <w:keepNext/>
        <w:spacing w:before="160" w:after="80"/>
      </w:pPr>
      <w:r>
        <w:rPr>
          <w:b/>
          <w:sz w:val="22"/>
        </w:rPr>
        <w:t>1.2 Statement of the Problem</w:t>
      </w:r>
    </w:p>
    <w:p>
      <w:pPr>
        <w:spacing w:after="120"/>
        <w:jc w:val="both"/>
      </w:pPr>
      <w:r>
        <w:t>The health center has no systematic way to measure the quality and privacy risk of its patient records. This study seeks to answer the following questions:</w:t>
      </w:r>
    </w:p>
    <w:p>
      <w:pPr>
        <w:spacing w:after="60"/>
        <w:jc w:val="both"/>
        <w:numPr>
          <w:ilvl w:val="0"/>
          <w:numId w:val="20"/>
        </w:numPr>
      </w:pPr>
      <w:r>
        <w:t>How complete, valid, and consistent are the health center's patient records, and where are errors most common?</w:t>
      </w:r>
    </w:p>
    <w:p>
      <w:pPr>
        <w:spacing w:after="60"/>
        <w:jc w:val="both"/>
        <w:numPr>
          <w:ilvl w:val="0"/>
          <w:numId w:val="20"/>
        </w:numPr>
      </w:pPr>
      <w:r>
        <w:t>How accurately can rule-based validation and fuzzy duplicate matching detect errors and possible duplicate patients?</w:t>
      </w:r>
    </w:p>
    <w:p>
      <w:pPr>
        <w:spacing w:after="60"/>
        <w:jc w:val="both"/>
        <w:numPr>
          <w:ilvl w:val="0"/>
          <w:numId w:val="20"/>
        </w:numPr>
      </w:pPr>
      <w:r>
        <w:t>How can data quality and privacy risk be summarised as scores that staff can understand and act on?</w:t>
      </w:r>
    </w:p>
    <w:p>
      <w:pPr>
        <w:spacing w:after="60"/>
        <w:jc w:val="both"/>
        <w:numPr>
          <w:ilvl w:val="0"/>
          <w:numId w:val="20"/>
        </w:numPr>
      </w:pPr>
      <w:r>
        <w:t>How do health center staff rate the usefulness and clarity of the tool's explanations?</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 explainable tool that assesses the data quality and privacy risk of patient records at a barangay health center, without diagnosing patients or exposing identifiable data.</w:t>
      </w:r>
    </w:p>
    <w:p>
      <w:pPr>
        <w:spacing w:after="120"/>
        <w:jc w:val="both"/>
      </w:pPr>
      <w:r>
        <w:rPr>
          <w:b/>
        </w:rPr>
        <w:t>Specific objectives.</w:t>
      </w:r>
    </w:p>
    <w:p>
      <w:pPr>
        <w:spacing w:after="60"/>
        <w:jc w:val="both"/>
        <w:numPr>
          <w:ilvl w:val="0"/>
          <w:numId w:val="21"/>
        </w:numPr>
      </w:pPr>
      <w:r>
        <w:t>Define field-level validation rules for completeness, validity, and consistency with health center staff.</w:t>
      </w:r>
    </w:p>
    <w:p>
      <w:pPr>
        <w:spacing w:after="60"/>
        <w:jc w:val="both"/>
        <w:numPr>
          <w:ilvl w:val="0"/>
          <w:numId w:val="21"/>
        </w:numPr>
      </w:pPr>
      <w:r>
        <w:t>Detect possible duplicate patient records using fuzzy string matching on name, birth date, and address fields.</w:t>
      </w:r>
    </w:p>
    <w:p>
      <w:pPr>
        <w:spacing w:after="60"/>
        <w:jc w:val="both"/>
        <w:numPr>
          <w:ilvl w:val="0"/>
          <w:numId w:val="21"/>
        </w:numPr>
      </w:pPr>
      <w:r>
        <w:t>Compute a weighted Data Quality Score and a Privacy Risk Score for each dataset and field.</w:t>
      </w:r>
    </w:p>
    <w:p>
      <w:pPr>
        <w:spacing w:after="60"/>
        <w:jc w:val="both"/>
        <w:numPr>
          <w:ilvl w:val="0"/>
          <w:numId w:val="21"/>
        </w:numPr>
      </w:pPr>
      <w:r>
        <w:t>Explain every flag and score in plain language so that staff can see why a record was flagged.</w:t>
      </w:r>
    </w:p>
    <w:p>
      <w:pPr>
        <w:spacing w:after="60"/>
        <w:jc w:val="both"/>
        <w:numPr>
          <w:ilvl w:val="0"/>
          <w:numId w:val="21"/>
        </w:numPr>
      </w:pPr>
      <w:r>
        <w:t>Evaluate detection accuracy on records with known, deliberately injected errors, and evaluate usability with staff.</w:t>
      </w:r>
    </w:p>
    <w:p>
      <w:pPr>
        <w:spacing w:after="0"/>
      </w:pPr>
    </w:p>
    <w:p>
      <w:pPr>
        <w:keepNext/>
        <w:spacing w:before="160" w:after="80"/>
      </w:pPr>
      <w:r>
        <w:rPr>
          <w:b/>
          <w:sz w:val="22"/>
        </w:rPr>
        <w:t>1.4 Significance of the Study</w:t>
      </w:r>
    </w:p>
    <w:p>
      <w:pPr>
        <w:spacing w:after="60"/>
        <w:jc w:val="both"/>
        <w:numPr>
          <w:ilvl w:val="0"/>
          <w:numId w:val="22"/>
        </w:numPr>
      </w:pPr>
      <w:r>
        <w:rPr>
          <w:b/>
        </w:rPr>
        <w:t>Health center staff</w:t>
      </w:r>
      <w:r>
        <w:t xml:space="preserve"> gain a way to find and fix record errors before they reach official reports.</w:t>
      </w:r>
    </w:p>
    <w:p>
      <w:pPr>
        <w:spacing w:after="60"/>
        <w:jc w:val="both"/>
        <w:numPr>
          <w:ilvl w:val="0"/>
          <w:numId w:val="22"/>
        </w:numPr>
      </w:pPr>
      <w:r>
        <w:rPr>
          <w:b/>
        </w:rPr>
        <w:t>Patients</w:t>
      </w:r>
      <w:r>
        <w:t xml:space="preserve"> benefit from more accurate records and from privacy risks being caught early.</w:t>
      </w:r>
    </w:p>
    <w:p>
      <w:pPr>
        <w:spacing w:after="60"/>
        <w:jc w:val="both"/>
        <w:numPr>
          <w:ilvl w:val="0"/>
          <w:numId w:val="22"/>
        </w:numPr>
      </w:pPr>
      <w:r>
        <w:rPr>
          <w:b/>
        </w:rPr>
        <w:t>The Mandaluyong City health office</w:t>
      </w:r>
      <w:r>
        <w:t xml:space="preserve"> receives more reliable reports from the barangay level.</w:t>
      </w:r>
    </w:p>
    <w:p>
      <w:pPr>
        <w:spacing w:after="60"/>
        <w:jc w:val="both"/>
        <w:numPr>
          <w:ilvl w:val="0"/>
          <w:numId w:val="22"/>
        </w:numPr>
      </w:pPr>
      <w:r>
        <w:rPr>
          <w:b/>
        </w:rPr>
        <w:t>Future researchers</w:t>
      </w:r>
      <w:r>
        <w:t xml:space="preserve"> gain a data quality and privacy scoring method suited to Philippine primary care records.</w:t>
      </w:r>
    </w:p>
    <w:p>
      <w:pPr>
        <w:spacing w:after="0"/>
      </w:pPr>
    </w:p>
    <w:p>
      <w:pPr>
        <w:keepNext/>
        <w:spacing w:before="160" w:after="80"/>
      </w:pPr>
      <w:r>
        <w:rPr>
          <w:b/>
          <w:sz w:val="22"/>
        </w:rPr>
        <w:t>1.5 Scope and Limitations</w:t>
      </w:r>
    </w:p>
    <w:p>
      <w:pPr>
        <w:spacing w:after="120"/>
        <w:jc w:val="both"/>
      </w:pPr>
      <w:r>
        <w:t xml:space="preserve">The study covers patient record management at one barangay health center. It does not diagnose patients, predict illness, or recommend treatment. It does not replace the center's existing records system. It does not expose identifiable patient data outside the center. </w:t>
      </w:r>
      <w:r>
        <w:rPr>
          <w:highlight w:val="yellow"/>
        </w:rPr>
        <w:t>[The data source is not yet confirmed. Because these are health records, the study needs full ethics review, and a fallback is needed in case the center declines. See 3.2.]</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RRL establishes the laws, standards, and concepts behind secure, reliable health information. The following summaries are written in original wording and focus on their relevance to the proposed system.</w:t>
      </w:r>
    </w:p>
    <w:p>
      <w:pPr>
        <w:spacing w:after="120"/>
        <w:jc w:val="both"/>
      </w:pPr>
      <w:r>
        <w:rPr>
          <w:highlight w:val="yellow"/>
        </w:rPr>
        <w:t>[Suggested additions: one record linkage source for the fuzzy duplicate matching (Fellegi and Sunter, 1969, already verified under Title 2), one re-identification risk source for the Privacy Risk Score (Sweeney, 2002, already verified under Title 3), and one source on explainability. The RRS also needs studies that built a data quality or duplicate detection tool, since three of its five entries are reviews.]</w:t>
      </w:r>
    </w:p>
    <w:p>
      <w:pPr>
        <w:keepNext/>
        <w:spacing w:before="120" w:after="40"/>
      </w:pPr>
      <w:r>
        <w:rPr>
          <w:b/>
        </w:rPr>
        <w:t>1. Republic Act No. 10173 Data Privacy Act of 2012</w:t>
      </w:r>
      <w:r>
        <w:rPr>
          <w:color w:val="595959"/>
          <w:sz w:val="18"/>
        </w:rPr>
        <w:t xml:space="preserve">  [Local Literature]</w:t>
      </w:r>
    </w:p>
    <w:p>
      <w:pPr>
        <w:spacing w:after="40"/>
        <w:ind w:left="432"/>
        <w:jc w:val="both"/>
      </w:pPr>
      <w:r>
        <w:t>The law identifies health information as sensitive personal information and requires lawful, secure processing. Section 11 establishes data privacy principles, while Section 20 requires reasonable and appropriate safeguards. These provisions support limiting the tool to authorized use and protecting every dataset used in the study.</w:t>
      </w:r>
    </w:p>
    <w:p>
      <w:pPr>
        <w:spacing w:after="40"/>
        <w:ind w:left="432"/>
        <w:jc w:val="left"/>
      </w:pPr>
      <w:r>
        <w:t>Source link: https://lawphil.net/statutes/repacts/ra2012/ra_10173_2012.html</w:t>
      </w:r>
    </w:p>
    <w:p>
      <w:pPr>
        <w:keepNext/>
        <w:spacing w:before="120" w:after="40"/>
      </w:pPr>
      <w:r>
        <w:rPr>
          <w:b/>
        </w:rPr>
        <w:t>2. Implementing Rules and Regulations of the Data Privacy Act of 2012 as Amended</w:t>
      </w:r>
      <w:r>
        <w:rPr>
          <w:color w:val="595959"/>
          <w:sz w:val="18"/>
        </w:rPr>
        <w:t xml:space="preserve">  [Local Literature]</w:t>
      </w:r>
    </w:p>
    <w:p>
      <w:pPr>
        <w:spacing w:after="40"/>
        <w:ind w:left="432"/>
        <w:jc w:val="both"/>
      </w:pPr>
      <w:r>
        <w:t>These rules explain how organizations should meet privacy duties through accountability, safeguards, and appropriate handling procedures. Section 25 requires reasonable organizational, physical, and technical security measures, which guide the privacy checklist for access, storage, backup, and incident response.</w:t>
      </w:r>
    </w:p>
    <w:p>
      <w:pPr>
        <w:spacing w:after="40"/>
        <w:ind w:left="432"/>
        <w:jc w:val="left"/>
      </w:pPr>
      <w:r>
        <w:t>Source link: https://privacy.gov.ph/wp-content/uploads/2023/06/IRR_RA-10173-as-amended.pdf</w:t>
      </w:r>
    </w:p>
    <w:p>
      <w:pPr>
        <w:keepNext/>
        <w:spacing w:before="120" w:after="40"/>
      </w:pPr>
      <w:r>
        <w:rPr>
          <w:b/>
        </w:rPr>
        <w:t>3. Methods and Dimensions of Electronic Health Record Data Quality Assessment</w:t>
      </w:r>
      <w:r>
        <w:rPr>
          <w:color w:val="595959"/>
          <w:sz w:val="18"/>
        </w:rPr>
        <w:t xml:space="preserve">  [Foreign Literature]</w:t>
      </w:r>
    </w:p>
    <w:p>
      <w:pPr>
        <w:spacing w:after="40"/>
        <w:ind w:left="432"/>
        <w:jc w:val="both"/>
      </w:pPr>
      <w:r>
        <w:t>Weiskopf and Weng organize EHR quality into practical dimensions such as completeness, correctness, and plausibility. Their work supports converting the broad idea of data quality into field-level checks.</w:t>
      </w:r>
    </w:p>
    <w:p>
      <w:pPr>
        <w:spacing w:after="40"/>
        <w:ind w:left="432"/>
        <w:jc w:val="left"/>
      </w:pPr>
      <w:r>
        <w:t>Source link: https://doi.org/10.1136/amiajnl-2011-000681</w:t>
      </w:r>
    </w:p>
    <w:p>
      <w:pPr>
        <w:keepNext/>
        <w:spacing w:before="120" w:after="40"/>
      </w:pPr>
      <w:r>
        <w:rPr>
          <w:b/>
        </w:rPr>
        <w:t>4. Philippine eHealth Strategic Framework and Plan 2014 to 2020</w:t>
      </w:r>
      <w:r>
        <w:rPr>
          <w:color w:val="595959"/>
          <w:sz w:val="18"/>
        </w:rPr>
        <w:t xml:space="preserve">  [Local Literature]</w:t>
      </w:r>
    </w:p>
    <w:p>
      <w:pPr>
        <w:spacing w:after="40"/>
        <w:ind w:left="432"/>
        <w:jc w:val="both"/>
      </w:pPr>
      <w:r>
        <w:t>The framework describes the Philippine direction for using digital tools to improve health information management. It gives local context for studying records that are usable, secure, and capable of supporting services.</w:t>
      </w:r>
    </w:p>
    <w:p>
      <w:pPr>
        <w:spacing w:after="40"/>
        <w:ind w:left="432"/>
        <w:jc w:val="left"/>
      </w:pPr>
      <w:r>
        <w:t>Source link: https://ehealth.doh.gov.ph/</w:t>
      </w:r>
    </w:p>
    <w:p>
      <w:pPr>
        <w:spacing w:after="40"/>
        <w:ind w:left="432"/>
        <w:jc w:val="both"/>
      </w:pPr>
      <w:r>
        <w:rPr>
          <w:highlight w:val="yellow"/>
        </w:rPr>
        <w:t>[The link goes to the DOH eHealth homepage, not the framework document, and the plan covers 2014 to 2020. Link the PDF or use a newer DOH source.]</w:t>
      </w:r>
    </w:p>
    <w:p>
      <w:pPr>
        <w:keepNext/>
        <w:spacing w:before="120" w:after="40"/>
      </w:pPr>
      <w:r>
        <w:rPr>
          <w:b/>
        </w:rPr>
        <w:t>5. Monitoring and Evaluating Digital Health Interventions A Practical Guide</w:t>
      </w:r>
      <w:r>
        <w:rPr>
          <w:color w:val="595959"/>
          <w:sz w:val="18"/>
        </w:rPr>
        <w:t xml:space="preserve">  [Foreign Literature]</w:t>
      </w:r>
    </w:p>
    <w:p>
      <w:pPr>
        <w:spacing w:after="40"/>
        <w:ind w:left="432"/>
        <w:jc w:val="both"/>
      </w:pPr>
      <w:r>
        <w:t>This guide shows how digital-health interventions can be evaluated using defined indicators and evidence. It supports measuring the proposed tool through error counts, quality scores, and staff feedback.</w:t>
      </w:r>
    </w:p>
    <w:p>
      <w:pPr>
        <w:spacing w:after="40"/>
        <w:ind w:left="432"/>
        <w:jc w:val="left"/>
      </w:pPr>
      <w:r>
        <w:t>Source link: https://www.who.int/publications/i/item/9789241511766</w:t>
      </w:r>
    </w:p>
    <w:p>
      <w:pPr>
        <w:keepNext/>
        <w:spacing w:before="160" w:after="80"/>
      </w:pPr>
      <w:r>
        <w:rPr>
          <w:b/>
          <w:sz w:val="22"/>
        </w:rPr>
        <w:t>2.2 Review of Related Studies</w:t>
      </w:r>
    </w:p>
    <w:p>
      <w:pPr>
        <w:spacing w:after="120"/>
        <w:jc w:val="both"/>
      </w:pPr>
      <w:r>
        <w:t>The RRS shows that health-record technologies can help services, but their benefits depend on data quality, privacy controls, infrastructure, workflow, and staff adoption.</w:t>
      </w:r>
    </w:p>
    <w:p>
      <w:pPr>
        <w:keepNext/>
        <w:spacing w:before="120" w:after="40"/>
      </w:pPr>
      <w:r>
        <w:rPr>
          <w:b/>
        </w:rPr>
        <w:t>1. Understanding Adoption of Electronic Medical Records During a Health Emergency An Analysis of EMR Usage Logs From Rural Health Facilities in the Philippines</w:t>
      </w:r>
      <w:r>
        <w:rPr>
          <w:color w:val="595959"/>
          <w:sz w:val="18"/>
        </w:rPr>
        <w:t xml:space="preserve">  [Local Study]</w:t>
      </w:r>
    </w:p>
    <w:p>
      <w:pPr>
        <w:spacing w:after="40"/>
        <w:ind w:left="432"/>
        <w:jc w:val="both"/>
      </w:pPr>
      <w:r>
        <w:t>This Philippine study analyzed more than 270,000 usage-log records from six rural primary-care facilities. It found that EMR feature use varied by user and changed during the pandemic, showing that installing a system does not guarantee consistent</w:t>
      </w:r>
    </w:p>
    <w:p>
      <w:pPr>
        <w:spacing w:after="40"/>
        <w:ind w:left="432"/>
        <w:jc w:val="left"/>
      </w:pPr>
      <w:r>
        <w:t>Source link: https://doi.org/10.47895/amp.vi0.8911</w:t>
      </w:r>
    </w:p>
    <w:p>
      <w:pPr>
        <w:spacing w:after="40"/>
        <w:ind w:left="432"/>
        <w:jc w:val="both"/>
      </w:pPr>
      <w:r>
        <w:rPr>
          <w:highlight w:val="yellow"/>
        </w:rPr>
        <w:t>[This summary is cut off mid-sentence after "does not guarantee consistent". Finish it.]</w:t>
      </w:r>
    </w:p>
    <w:p>
      <w:pPr>
        <w:keepNext/>
        <w:spacing w:before="120" w:after="40"/>
      </w:pPr>
      <w:r>
        <w:rPr>
          <w:b/>
        </w:rPr>
        <w:t>2. Implementing Electronic Health Records in Philippine Primary Care Settings Mixed Methods Pilot Study</w:t>
      </w:r>
      <w:r>
        <w:rPr>
          <w:color w:val="595959"/>
          <w:sz w:val="18"/>
        </w:rPr>
        <w:t xml:space="preserve">  [Local Study]</w:t>
      </w:r>
    </w:p>
    <w:p>
      <w:pPr>
        <w:spacing w:after="40"/>
        <w:ind w:left="432"/>
        <w:jc w:val="both"/>
      </w:pPr>
      <w:r>
        <w:t>This Philippine pilot evaluated two EHR systems across urban, rural, and remote sites. It found that user acceptance depended on workflow fit, technical performance, training, internet access, and privacy design.</w:t>
      </w:r>
    </w:p>
    <w:p>
      <w:pPr>
        <w:spacing w:after="40"/>
        <w:ind w:left="432"/>
        <w:jc w:val="left"/>
      </w:pPr>
      <w:r>
        <w:t>Source link: https://doi.org/10.2196/63036</w:t>
      </w:r>
    </w:p>
    <w:p>
      <w:pPr>
        <w:keepNext/>
        <w:spacing w:before="120" w:after="40"/>
      </w:pPr>
      <w:r>
        <w:rPr>
          <w:b/>
        </w:rPr>
        <w:t>3. Electronic Health Record Data Quality Assessment and Tools A Systematic Review</w:t>
      </w:r>
      <w:r>
        <w:rPr>
          <w:color w:val="595959"/>
          <w:sz w:val="18"/>
        </w:rPr>
        <w:t xml:space="preserve">  [Foreign Study]</w:t>
      </w:r>
    </w:p>
    <w:p>
      <w:pPr>
        <w:spacing w:after="40"/>
        <w:ind w:left="432"/>
        <w:jc w:val="both"/>
      </w:pPr>
      <w:r>
        <w:t>This review examined 103 publications and found that completeness, correctness, concordance, plausibility, and currency are common EHR-quality dimensions. It supports a repeatable scoring method for a barangay health center.</w:t>
      </w:r>
    </w:p>
    <w:p>
      <w:pPr>
        <w:spacing w:after="40"/>
        <w:ind w:left="432"/>
        <w:jc w:val="left"/>
      </w:pPr>
      <w:r>
        <w:t>Source link: https://doi.org/10.1093/jamia/ocad120</w:t>
      </w:r>
    </w:p>
    <w:p>
      <w:pPr>
        <w:keepNext/>
        <w:spacing w:before="120" w:after="40"/>
      </w:pPr>
      <w:r>
        <w:rPr>
          <w:b/>
        </w:rPr>
        <w:t>4. Benefits and Drawbacks of Electronic Health Record Systems</w:t>
      </w:r>
      <w:r>
        <w:rPr>
          <w:color w:val="595959"/>
          <w:sz w:val="18"/>
        </w:rPr>
        <w:t xml:space="preserve">  [Foreign Study]</w:t>
      </w:r>
    </w:p>
    <w:p>
      <w:pPr>
        <w:spacing w:after="40"/>
        <w:ind w:left="432"/>
        <w:jc w:val="both"/>
      </w:pPr>
      <w:r>
        <w:t>This review notes faster access and improved coordination as EHR benefits, while also identifying implementation burden and privacy concerns. It supports improving existing processes instead of replacing an entire EHR system.</w:t>
      </w:r>
    </w:p>
    <w:p>
      <w:pPr>
        <w:spacing w:after="40"/>
        <w:ind w:left="432"/>
        <w:jc w:val="left"/>
      </w:pPr>
      <w:r>
        <w:t>Source link: https://doi.org/10.2147/RMHP.S12985</w:t>
      </w:r>
    </w:p>
    <w:p>
      <w:pPr>
        <w:keepNext/>
        <w:spacing w:before="120" w:after="40"/>
      </w:pPr>
      <w:r>
        <w:rPr>
          <w:b/>
        </w:rPr>
        <w:t>5. Organizational Issues in the Implementation and Adoption of Health Information Technology Innovations An Interpretative Review</w:t>
      </w:r>
      <w:r>
        <w:rPr>
          <w:color w:val="595959"/>
          <w:sz w:val="18"/>
        </w:rPr>
        <w:t xml:space="preserve">  [Foreign Study]</w:t>
      </w:r>
    </w:p>
    <w:p>
      <w:pPr>
        <w:spacing w:after="40"/>
        <w:ind w:left="432"/>
        <w:jc w:val="both"/>
      </w:pPr>
      <w:r>
        <w:t>This review finds that leadership, workflow, user participation, and organizational context affect adoption. It supports involving health-center staff when defining rules and interpreting results.</w:t>
      </w:r>
    </w:p>
    <w:p>
      <w:pPr>
        <w:spacing w:after="40"/>
        <w:ind w:left="432"/>
        <w:jc w:val="left"/>
      </w:pPr>
      <w:r>
        <w:t>Source link: https://doi.org/10.1016/j.ijmedinf.2012.10.007</w:t>
      </w:r>
    </w:p>
    <w:p>
      <w:pPr>
        <w:keepNext/>
        <w:spacing w:before="160" w:after="80"/>
      </w:pPr>
      <w:r>
        <w:rPr>
          <w:b/>
          <w:sz w:val="22"/>
        </w:rPr>
        <w:t>2.3 Synthesis and Research Gap</w:t>
      </w:r>
    </w:p>
    <w:p>
      <w:pPr>
        <w:spacing w:after="120"/>
        <w:jc w:val="both"/>
      </w:pPr>
      <w:r>
        <w:t>The literature establishes that health data in the Philippines is legally sensitive and must be protected, and that EHR data quality can be measured along defined dimensions such as completeness, correctness, and plausibility. The studies show that Philippine primary care facilities adopt electronic records unevenly, and that benefits depend on data quality, workflow fit, training, and privacy design.</w:t>
      </w:r>
    </w:p>
    <w:p>
      <w:pPr>
        <w:spacing w:after="120"/>
        <w:jc w:val="both"/>
      </w:pPr>
      <w:r>
        <w:rPr>
          <w:b/>
        </w:rPr>
        <w:t>The gap.</w:t>
      </w:r>
      <w:r>
        <w:t xml:space="preserve"> Existing quality frameworks were developed for hospital EHR systems abroad. No Philippine study offers barangay health center staff a tool that measures data quality and privacy risk together, and explains its findings in terms staff can act on.</w:t>
      </w:r>
    </w:p>
    <w:p>
      <w:pPr>
        <w:keepNext/>
        <w:spacing w:before="160" w:after="80"/>
      </w:pPr>
      <w:r>
        <w:rPr>
          <w:b/>
          <w:sz w:val="22"/>
        </w:rPr>
        <w:t>2.4 Refined Title</w:t>
      </w:r>
    </w:p>
    <w:p>
      <w:pPr>
        <w:spacing w:after="120"/>
        <w:jc w:val="both"/>
      </w:pPr>
      <w:r>
        <w:rPr>
          <w:highlight w:val="yellow"/>
        </w:rPr>
        <w:t>[The current title is 24 words, over the 16-word limit, and names no specific algorithm. One option at 15 words: "Explainable Data Quality and Privacy Risk Scoring for Barangay Health Center Records Using Fuzzy Matching". Group to decide.]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developmental design with a quantitative evaluation of detection accuracy and a usability evaluation with health center staff.</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Patient records from the partner health center, with direct identifiers removed or hashed before they leave the center</w:t>
            </w:r>
          </w:p>
        </w:tc>
      </w:tr>
      <w:tr>
        <w:tc>
          <w:tcPr>
            <w:tcW w:type="dxa" w:w="2160"/>
          </w:tcPr>
          <w:p>
            <w:r/>
            <w:r>
              <w:rPr>
                <w:sz w:val="18"/>
              </w:rPr>
              <w:t>Partner status</w:t>
            </w:r>
          </w:p>
        </w:tc>
        <w:tc>
          <w:tcPr>
            <w:tcW w:type="dxa" w:w="8064"/>
          </w:tcPr>
          <w:p>
            <w:r/>
            <w:r>
              <w:rPr>
                <w:sz w:val="18"/>
                <w:highlight w:val="yellow"/>
              </w:rPr>
              <w:t>[Not yet approached. Confirm with the groupmates.]</w:t>
            </w:r>
          </w:p>
        </w:tc>
      </w:tr>
      <w:tr>
        <w:tc>
          <w:tcPr>
            <w:tcW w:type="dxa" w:w="2160"/>
          </w:tcPr>
          <w:p>
            <w:r/>
            <w:r>
              <w:rPr>
                <w:sz w:val="18"/>
              </w:rPr>
              <w:t>Volume</w:t>
            </w:r>
          </w:p>
        </w:tc>
        <w:tc>
          <w:tcPr>
            <w:tcW w:type="dxa" w:w="8064"/>
          </w:tcPr>
          <w:p>
            <w:r/>
            <w:r>
              <w:rPr>
                <w:sz w:val="18"/>
              </w:rPr>
              <w:t xml:space="preserve">At least 10,000 records </w:t>
            </w:r>
            <w:r>
              <w:rPr>
                <w:sz w:val="18"/>
                <w:highlight w:val="yellow"/>
              </w:rPr>
              <w:t>[confirm the center's record count]</w:t>
            </w:r>
          </w:p>
        </w:tc>
      </w:tr>
      <w:tr>
        <w:tc>
          <w:tcPr>
            <w:tcW w:type="dxa" w:w="2160"/>
          </w:tcPr>
          <w:p>
            <w:r/>
            <w:r>
              <w:rPr>
                <w:sz w:val="18"/>
              </w:rPr>
              <w:t>Fallback</w:t>
            </w:r>
          </w:p>
        </w:tc>
        <w:tc>
          <w:tcPr>
            <w:tcW w:type="dxa" w:w="8064"/>
          </w:tcPr>
          <w:p>
            <w:r/>
            <w:r>
              <w:rPr>
                <w:sz w:val="18"/>
              </w:rPr>
              <w:t xml:space="preserve">Synthetic patient records, for example generated with the open-source Synthea tool and adapted to Philippine fields, so the method can be built and evaluated even if the center declines </w:t>
            </w:r>
            <w:r>
              <w:rPr>
                <w:sz w:val="18"/>
                <w:highlight w:val="yellow"/>
              </w:rPr>
              <w:t>[confirm with Ma'am whether synthetic records count toward the 10,000 floor]</w:t>
            </w:r>
          </w:p>
        </w:tc>
      </w:tr>
    </w:tbl>
    <w:p>
      <w:pPr>
        <w:spacing w:after="40"/>
      </w:pPr>
    </w:p>
    <w:p>
      <w:pPr>
        <w:keepNext/>
        <w:spacing w:before="160" w:after="80"/>
      </w:pPr>
      <w:r>
        <w:rPr>
          <w:b/>
          <w:sz w:val="22"/>
        </w:rPr>
        <w:t>3.3 Proposed Methods</w:t>
      </w:r>
    </w:p>
    <w:p>
      <w:pPr>
        <w:spacing w:after="120"/>
        <w:jc w:val="both"/>
      </w:pPr>
      <w:r>
        <w:t>Rule-based validation checks each field against rules for required values, allowed formats, valid ranges, and consistency between fields. Fuzzy duplicate matching compares name, birth date, and address with approximate string similarity to flag likely duplicate patients. The Data Quality Score is a weighted combination of rule results per field and per dataset. The Privacy Risk Score measures how many records share rare combinations of fields such as age, sex, and purok. Every flag records which rule or comparison produced it, which is what makes the tool explainable.</w:t>
      </w:r>
    </w:p>
    <w:p>
      <w:pPr>
        <w:keepNext/>
        <w:spacing w:before="160" w:after="80"/>
      </w:pPr>
      <w:r>
        <w:rPr>
          <w:b/>
          <w:sz w:val="22"/>
        </w:rPr>
        <w:t>3.4 System Architecture and Tools</w:t>
      </w:r>
    </w:p>
    <w:p>
      <w:pPr>
        <w:spacing w:after="120"/>
        <w:jc w:val="both"/>
      </w:pPr>
      <w:r>
        <w:t>Restricted import, then rule validation, then duplicate matching, then scoring, then an explanation layer, then a dashboard for staff. The stack is Python with pandas and RapidFuzz, SQLite for storage, and Streamlit for the dashboard.</w:t>
      </w:r>
    </w:p>
    <w:p>
      <w:pPr>
        <w:keepNext/>
        <w:spacing w:before="160" w:after="80"/>
      </w:pPr>
      <w:r>
        <w:rPr>
          <w:b/>
          <w:sz w:val="22"/>
        </w:rPr>
        <w:t>3.5 Evaluation Metrics</w:t>
      </w:r>
    </w:p>
    <w:p>
      <w:pPr>
        <w:spacing w:after="120"/>
        <w:jc w:val="both"/>
      </w:pPr>
      <w:r>
        <w:t>Precision, recall, and F1 for error and duplicate detection, measured on records with deliberately injected errors whose locations are known. Staff usability is measured with the System Usability Scale.</w:t>
      </w:r>
    </w:p>
    <w:p>
      <w:pPr>
        <w:keepNext/>
        <w:spacing w:before="160" w:after="80"/>
      </w:pPr>
      <w:r>
        <w:rPr>
          <w:b/>
          <w:sz w:val="22"/>
        </w:rPr>
        <w:t>3.6 Ethical Considerations</w:t>
      </w:r>
    </w:p>
    <w:p>
      <w:pPr>
        <w:spacing w:after="120"/>
        <w:jc w:val="both"/>
      </w:pPr>
      <w:r>
        <w:t>Health information is sensitive personal information under RA 10173, so the study cannot target an Exempt classification if real records are used and must go through full ethics review. Identifiable data never leaves the health center. Usability testing with staff requires informed consent.</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5</w:t>
            </w:r>
          </w:p>
        </w:tc>
        <w:tc>
          <w:tcPr>
            <w:tcW w:type="dxa" w:w="6192"/>
          </w:tcPr>
          <w:p>
            <w:r/>
            <w:r>
              <w:rPr>
                <w:sz w:val="18"/>
              </w:rPr>
              <w:t>Simple, familiar stack</w:t>
            </w:r>
          </w:p>
        </w:tc>
      </w:tr>
      <w:tr>
        <w:tc>
          <w:tcPr>
            <w:tcW w:type="dxa" w:w="3168"/>
          </w:tcPr>
          <w:p>
            <w:r/>
            <w:r>
              <w:rPr>
                <w:sz w:val="18"/>
              </w:rPr>
              <w:t>Dataset and data feasibility</w:t>
            </w:r>
          </w:p>
        </w:tc>
        <w:tc>
          <w:tcPr>
            <w:tcW w:type="dxa" w:w="864"/>
          </w:tcPr>
          <w:p>
            <w:r/>
            <w:r>
              <w:rPr>
                <w:sz w:val="18"/>
              </w:rPr>
              <w:t>2</w:t>
            </w:r>
          </w:p>
        </w:tc>
        <w:tc>
          <w:tcPr>
            <w:tcW w:type="dxa" w:w="6192"/>
          </w:tcPr>
          <w:p>
            <w:r/>
            <w:r>
              <w:rPr>
                <w:sz w:val="18"/>
              </w:rPr>
              <w:t>No partner confirmed; health records are hard to obtain</w:t>
            </w:r>
          </w:p>
        </w:tc>
      </w:tr>
      <w:tr>
        <w:tc>
          <w:tcPr>
            <w:tcW w:type="dxa" w:w="3168"/>
          </w:tcPr>
          <w:p>
            <w:r/>
            <w:r>
              <w:rPr>
                <w:sz w:val="18"/>
              </w:rPr>
              <w:t>Algorithm or model feasibility</w:t>
            </w:r>
          </w:p>
        </w:tc>
        <w:tc>
          <w:tcPr>
            <w:tcW w:type="dxa" w:w="864"/>
          </w:tcPr>
          <w:p>
            <w:r/>
            <w:r>
              <w:rPr>
                <w:sz w:val="18"/>
              </w:rPr>
              <w:t>4</w:t>
            </w:r>
          </w:p>
        </w:tc>
        <w:tc>
          <w:tcPr>
            <w:tcW w:type="dxa" w:w="6192"/>
          </w:tcPr>
          <w:p>
            <w:r/>
            <w:r>
              <w:rPr>
                <w:sz w:val="18"/>
              </w:rPr>
              <w:t>Established rule and matching methods</w:t>
            </w:r>
          </w:p>
        </w:tc>
      </w:tr>
      <w:tr>
        <w:tc>
          <w:tcPr>
            <w:tcW w:type="dxa" w:w="3168"/>
          </w:tcPr>
          <w:p>
            <w:r/>
            <w:r>
              <w:rPr>
                <w:sz w:val="18"/>
              </w:rPr>
              <w:t>Operational feasibility</w:t>
            </w:r>
          </w:p>
        </w:tc>
        <w:tc>
          <w:tcPr>
            <w:tcW w:type="dxa" w:w="864"/>
          </w:tcPr>
          <w:p>
            <w:r/>
            <w:r>
              <w:rPr>
                <w:sz w:val="18"/>
              </w:rPr>
              <w:t>3</w:t>
            </w:r>
          </w:p>
        </w:tc>
        <w:tc>
          <w:tcPr>
            <w:tcW w:type="dxa" w:w="6192"/>
          </w:tcPr>
          <w:p>
            <w:r/>
            <w:r>
              <w:rPr>
                <w:sz w:val="18"/>
              </w:rPr>
              <w:t>Needs staff time for rules and testing</w:t>
            </w:r>
          </w:p>
        </w:tc>
      </w:tr>
      <w:tr>
        <w:tc>
          <w:tcPr>
            <w:tcW w:type="dxa" w:w="3168"/>
          </w:tcPr>
          <w:p>
            <w:r/>
            <w:r>
              <w:rPr>
                <w:sz w:val="18"/>
              </w:rPr>
              <w:t>Economic feasibility</w:t>
            </w:r>
          </w:p>
        </w:tc>
        <w:tc>
          <w:tcPr>
            <w:tcW w:type="dxa" w:w="864"/>
          </w:tcPr>
          <w:p>
            <w:r/>
            <w:r>
              <w:rPr>
                <w:sz w:val="18"/>
              </w:rPr>
              <w:t>5</w:t>
            </w:r>
          </w:p>
        </w:tc>
        <w:tc>
          <w:tcPr>
            <w:tcW w:type="dxa" w:w="6192"/>
          </w:tcPr>
          <w:p>
            <w:r/>
            <w:r>
              <w:rPr>
                <w:sz w:val="18"/>
              </w:rPr>
              <w:t>Low cost</w:t>
            </w:r>
          </w:p>
        </w:tc>
      </w:tr>
      <w:tr>
        <w:tc>
          <w:tcPr>
            <w:tcW w:type="dxa" w:w="3168"/>
          </w:tcPr>
          <w:p>
            <w:r/>
            <w:r>
              <w:rPr>
                <w:sz w:val="18"/>
              </w:rPr>
              <w:t>Schedule feasibility</w:t>
            </w:r>
          </w:p>
        </w:tc>
        <w:tc>
          <w:tcPr>
            <w:tcW w:type="dxa" w:w="864"/>
          </w:tcPr>
          <w:p>
            <w:r/>
            <w:r>
              <w:rPr>
                <w:sz w:val="18"/>
              </w:rPr>
              <w:t>3</w:t>
            </w:r>
          </w:p>
        </w:tc>
        <w:tc>
          <w:tcPr>
            <w:tcW w:type="dxa" w:w="6192"/>
          </w:tcPr>
          <w:p>
            <w:r/>
            <w:r>
              <w:rPr>
                <w:sz w:val="18"/>
              </w:rPr>
              <w:t>Full ethics review adds time</w:t>
            </w:r>
          </w:p>
        </w:tc>
      </w:tr>
      <w:tr>
        <w:tc>
          <w:tcPr>
            <w:tcW w:type="dxa" w:w="3168"/>
          </w:tcPr>
          <w:p>
            <w:r/>
            <w:r>
              <w:rPr>
                <w:sz w:val="18"/>
              </w:rPr>
              <w:t>Legal and ethical feasibility</w:t>
            </w:r>
          </w:p>
        </w:tc>
        <w:tc>
          <w:tcPr>
            <w:tcW w:type="dxa" w:w="864"/>
          </w:tcPr>
          <w:p>
            <w:r/>
            <w:r>
              <w:rPr>
                <w:sz w:val="18"/>
              </w:rPr>
              <w:t>2</w:t>
            </w:r>
          </w:p>
        </w:tc>
        <w:tc>
          <w:tcPr>
            <w:tcW w:type="dxa" w:w="6192"/>
          </w:tcPr>
          <w:p>
            <w:r/>
            <w:r>
              <w:rPr>
                <w:sz w:val="18"/>
              </w:rPr>
              <w:t>Sensitive health data</w:t>
            </w:r>
          </w:p>
        </w:tc>
      </w:tr>
      <w:tr>
        <w:tc>
          <w:tcPr>
            <w:tcW w:type="dxa" w:w="3168"/>
          </w:tcPr>
          <w:p>
            <w:r/>
            <w:r>
              <w:rPr>
                <w:sz w:val="18"/>
              </w:rPr>
              <w:t>Risk manageability</w:t>
            </w:r>
          </w:p>
        </w:tc>
        <w:tc>
          <w:tcPr>
            <w:tcW w:type="dxa" w:w="864"/>
          </w:tcPr>
          <w:p>
            <w:r/>
            <w:r>
              <w:rPr>
                <w:sz w:val="18"/>
              </w:rPr>
              <w:t>3</w:t>
            </w:r>
          </w:p>
        </w:tc>
        <w:tc>
          <w:tcPr>
            <w:tcW w:type="dxa" w:w="6192"/>
          </w:tcPr>
          <w:p>
            <w:r/>
            <w:r>
              <w:rPr>
                <w:sz w:val="18"/>
              </w:rPr>
              <w:t>Synthetic fallback is available</w:t>
            </w:r>
          </w:p>
        </w:tc>
      </w:tr>
      <w:tr>
        <w:tc>
          <w:tcPr>
            <w:tcW w:type="dxa" w:w="3168"/>
          </w:tcPr>
          <w:p>
            <w:r/>
            <w:r>
              <w:rPr>
                <w:b/>
                <w:sz w:val="18"/>
              </w:rPr>
              <w:t>Total score</w:t>
            </w:r>
          </w:p>
        </w:tc>
        <w:tc>
          <w:tcPr>
            <w:tcW w:type="dxa" w:w="864"/>
          </w:tcPr>
          <w:p>
            <w:r/>
            <w:r>
              <w:rPr>
                <w:b/>
                <w:sz w:val="18"/>
              </w:rPr>
              <w:t>27/40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rPr>
          <w:highlight w:val="yellow"/>
        </w:rPr>
        <w:t>[Groupmates to list the references for this title in APA format. The source links are in Chapter 2.]</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5 OF 6</w:t>
            </w:r>
          </w:p>
          <w:p>
            <w:r>
              <w:rPr>
                <w:color w:val="E0E0E0"/>
                <w:sz w:val="18"/>
              </w:rPr>
              <w:t>Machine Learning-Based Demand Forecasting and Dynamic Price Optimization for Perishable Retail Products Considering Remaining Shelf Life</w:t>
            </w:r>
          </w:p>
        </w:tc>
      </w:tr>
    </w:tbl>
    <w:p>
      <w:pPr>
        <w:spacing w:after="40"/>
      </w:pPr>
    </w:p>
    <w:p>
      <w:pPr>
        <w:spacing w:after="120"/>
        <w:jc w:val="both"/>
      </w:pPr>
      <w:r>
        <w:rPr>
          <w:b/>
        </w:rPr>
        <w:t>Thesis specialization:</w:t>
      </w:r>
      <w:r>
        <w:t xml:space="preserve"> Data Science.  </w:t>
      </w:r>
      <w:r>
        <w:rPr>
          <w:b/>
        </w:rPr>
        <w:t>Primary technique:</w:t>
      </w:r>
      <w:r>
        <w:t xml:space="preserve"> Predictive Analytics.  </w:t>
      </w:r>
      <w:r>
        <w:rPr>
          <w:b/>
        </w:rPr>
        <w:t>Supporting technique:</w:t>
      </w:r>
      <w:r>
        <w:t xml:space="preserve"> Optimization.</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Perishable products such as produce, bread, dairy, and meat lose value as they approach the end of their shelf life. Retailers must decide how much to stock and when to lower prices. If a price is cut too late, products expire and are thrown away. If it is cut too early or too deeply, the store loses margin it did not need to give up. Many small and medium stores make these markdown decisions by habit or intuition rather than from their own sales data.</w:t>
      </w:r>
    </w:p>
    <w:p>
      <w:pPr>
        <w:spacing w:after="120"/>
        <w:jc w:val="both"/>
      </w:pPr>
      <w:r>
        <w:t>Historical sales, prices, inventory levels, and remaining shelf life together contain the information needed to forecast demand and to test what a price change would do. Machine learning models can learn these relationships from past transactions and support better-timed pricing.</w:t>
      </w:r>
    </w:p>
    <w:p>
      <w:pPr>
        <w:keepNext/>
        <w:spacing w:before="160" w:after="80"/>
      </w:pPr>
      <w:r>
        <w:rPr>
          <w:b/>
          <w:sz w:val="22"/>
        </w:rPr>
        <w:t>1.2 Statement of the Problem</w:t>
      </w:r>
    </w:p>
    <w:p>
      <w:pPr>
        <w:spacing w:after="120"/>
        <w:jc w:val="both"/>
      </w:pPr>
      <w:r>
        <w:t>Retail staff lack a data-driven way to forecast demand for perishable products and to set prices that account for remaining shelf life. This study seeks to answer the following questions:</w:t>
      </w:r>
    </w:p>
    <w:p>
      <w:pPr>
        <w:spacing w:after="60"/>
        <w:jc w:val="both"/>
        <w:numPr>
          <w:ilvl w:val="0"/>
          <w:numId w:val="23"/>
        </w:numPr>
      </w:pPr>
      <w:r>
        <w:t>How accurately can Linear Regression, Random Forest, and XGBoost forecast daily demand for selected perishable products?</w:t>
      </w:r>
    </w:p>
    <w:p>
      <w:pPr>
        <w:spacing w:after="60"/>
        <w:jc w:val="both"/>
        <w:numPr>
          <w:ilvl w:val="0"/>
          <w:numId w:val="23"/>
        </w:numPr>
      </w:pPr>
      <w:r>
        <w:t>How much does adding remaining shelf life and inventory as features improve forecast accuracy?</w:t>
      </w:r>
    </w:p>
    <w:p>
      <w:pPr>
        <w:spacing w:after="60"/>
        <w:jc w:val="both"/>
        <w:numPr>
          <w:ilvl w:val="0"/>
          <w:numId w:val="23"/>
        </w:numPr>
      </w:pPr>
      <w:r>
        <w:t>What price adjustments does the optimization component recommend, and how do they compare with the store's actual prices in expected revenue and waste?</w:t>
      </w:r>
    </w:p>
    <w:p>
      <w:pPr>
        <w:spacing w:after="0"/>
      </w:pPr>
    </w:p>
    <w:p>
      <w:pPr>
        <w:keepNext/>
        <w:spacing w:before="160" w:after="80"/>
      </w:pPr>
      <w:r>
        <w:rPr>
          <w:b/>
          <w:sz w:val="22"/>
        </w:rPr>
        <w:t>1.3 Objectives of the Study</w:t>
      </w:r>
    </w:p>
    <w:p>
      <w:pPr>
        <w:spacing w:after="120"/>
        <w:jc w:val="both"/>
      </w:pPr>
      <w:r>
        <w:rPr>
          <w:b/>
        </w:rPr>
        <w:t>General objective.</w:t>
      </w:r>
      <w:r>
        <w:t xml:space="preserve"> To develop a decision-support system that forecasts demand for perishable retail products and recommends price adjustments based on remaining shelf life.</w:t>
      </w:r>
    </w:p>
    <w:p>
      <w:pPr>
        <w:spacing w:after="120"/>
        <w:jc w:val="both"/>
      </w:pPr>
      <w:r>
        <w:rPr>
          <w:b/>
        </w:rPr>
        <w:t>Specific objectives.</w:t>
      </w:r>
    </w:p>
    <w:p>
      <w:pPr>
        <w:spacing w:after="60"/>
        <w:jc w:val="both"/>
        <w:numPr>
          <w:ilvl w:val="0"/>
          <w:numId w:val="24"/>
        </w:numPr>
      </w:pPr>
      <w:r>
        <w:t>Collect and clean historical sales, price, inventory, cost, and shelf-life data for selected perishable products.</w:t>
      </w:r>
    </w:p>
    <w:p>
      <w:pPr>
        <w:spacing w:after="60"/>
        <w:jc w:val="both"/>
        <w:numPr>
          <w:ilvl w:val="0"/>
          <w:numId w:val="24"/>
        </w:numPr>
      </w:pPr>
      <w:r>
        <w:t>Train and compare Linear Regression, Random Forest, and XGBoost demand forecasting models.</w:t>
      </w:r>
    </w:p>
    <w:p>
      <w:pPr>
        <w:spacing w:after="60"/>
        <w:jc w:val="both"/>
        <w:numPr>
          <w:ilvl w:val="0"/>
          <w:numId w:val="24"/>
        </w:numPr>
      </w:pPr>
      <w:r>
        <w:t>Build a price optimization component that uses the selected model to evaluate candidate prices.</w:t>
      </w:r>
    </w:p>
    <w:p>
      <w:pPr>
        <w:spacing w:after="60"/>
        <w:jc w:val="both"/>
        <w:numPr>
          <w:ilvl w:val="0"/>
          <w:numId w:val="24"/>
        </w:numPr>
      </w:pPr>
      <w:r>
        <w:t>Evaluate forecasts with MAE, RMSE, and MAPE, and evaluate pricing recommendations against historical outcomes.</w:t>
      </w:r>
    </w:p>
    <w:p>
      <w:pPr>
        <w:spacing w:after="60"/>
        <w:jc w:val="both"/>
        <w:numPr>
          <w:ilvl w:val="0"/>
          <w:numId w:val="24"/>
        </w:numPr>
      </w:pPr>
      <w:r>
        <w:t>Present forecasts and recommended prices in a dashboard for retail staff.</w:t>
      </w:r>
    </w:p>
    <w:p>
      <w:pPr>
        <w:spacing w:after="0"/>
      </w:pPr>
    </w:p>
    <w:p>
      <w:pPr>
        <w:keepNext/>
        <w:spacing w:before="160" w:after="80"/>
      </w:pPr>
      <w:r>
        <w:rPr>
          <w:b/>
          <w:sz w:val="22"/>
        </w:rPr>
        <w:t>1.4 Significance of the Study</w:t>
      </w:r>
    </w:p>
    <w:p>
      <w:pPr>
        <w:spacing w:after="60"/>
        <w:jc w:val="both"/>
        <w:numPr>
          <w:ilvl w:val="0"/>
          <w:numId w:val="25"/>
        </w:numPr>
      </w:pPr>
      <w:r>
        <w:rPr>
          <w:b/>
        </w:rPr>
        <w:t>Retail staff and store owners</w:t>
      </w:r>
      <w:r>
        <w:t xml:space="preserve"> gain pricing guidance that reduces waste and protects margin.</w:t>
      </w:r>
    </w:p>
    <w:p>
      <w:pPr>
        <w:spacing w:after="60"/>
        <w:jc w:val="both"/>
        <w:numPr>
          <w:ilvl w:val="0"/>
          <w:numId w:val="25"/>
        </w:numPr>
      </w:pPr>
      <w:r>
        <w:rPr>
          <w:b/>
        </w:rPr>
        <w:t>Consumers</w:t>
      </w:r>
      <w:r>
        <w:t xml:space="preserve"> may benefit from timely discounts on products near expiry.</w:t>
      </w:r>
    </w:p>
    <w:p>
      <w:pPr>
        <w:spacing w:after="60"/>
        <w:jc w:val="both"/>
        <w:numPr>
          <w:ilvl w:val="0"/>
          <w:numId w:val="25"/>
        </w:numPr>
      </w:pPr>
      <w:r>
        <w:rPr>
          <w:b/>
        </w:rPr>
        <w:t>The environment</w:t>
      </w:r>
      <w:r>
        <w:t xml:space="preserve"> benefits from less food thrown away.</w:t>
      </w:r>
    </w:p>
    <w:p>
      <w:pPr>
        <w:spacing w:after="60"/>
        <w:jc w:val="both"/>
        <w:numPr>
          <w:ilvl w:val="0"/>
          <w:numId w:val="25"/>
        </w:numPr>
      </w:pPr>
      <w:r>
        <w:rPr>
          <w:b/>
        </w:rPr>
        <w:t>Future researchers</w:t>
      </w:r>
      <w:r>
        <w:t xml:space="preserve"> gain a comparison of forecasting models on perishable retail data.</w:t>
      </w:r>
    </w:p>
    <w:p>
      <w:pPr>
        <w:spacing w:after="0"/>
      </w:pPr>
    </w:p>
    <w:p>
      <w:pPr>
        <w:keepNext/>
        <w:spacing w:before="160" w:after="80"/>
      </w:pPr>
      <w:r>
        <w:rPr>
          <w:b/>
          <w:sz w:val="22"/>
        </w:rPr>
        <w:t>1.5 Scope and Limitations</w:t>
      </w:r>
    </w:p>
    <w:p>
      <w:pPr>
        <w:spacing w:after="120"/>
        <w:jc w:val="both"/>
      </w:pPr>
      <w:r>
        <w:t xml:space="preserve">The study covers selected perishable products at one store or from one dataset. Price recommendations are decision support and do not change prices automatically. Customer personal data is not used. Accuracy depends on the length and quality of the available sales history. </w:t>
      </w:r>
      <w:r>
        <w:rPr>
          <w:highlight w:val="yellow"/>
        </w:rPr>
        <w:t>[Name the partner store or public dataset. The TA1 feedback said this title was too common and not heavily researched, so state clearly what is new here, for example the shelf-life feature.]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RRL establishes the concepts behind perishable-product demand, shelf-life management, dynamic pricing, inventory conditions, and data-driven retail decisions-making. The following summaries focus on their relevance to the proposed system.</w:t>
      </w:r>
    </w:p>
    <w:p>
      <w:pPr>
        <w:keepNext/>
        <w:spacing w:before="120" w:after="40"/>
      </w:pPr>
      <w:r>
        <w:rPr>
          <w:b/>
        </w:rPr>
        <w:t>1. Data-Driven Dynamic Pricing and Ordering with Perishable Inventory in a Changing Environment</w:t>
      </w:r>
      <w:r>
        <w:rPr>
          <w:color w:val="595959"/>
          <w:sz w:val="18"/>
        </w:rPr>
        <w:t xml:space="preserve">  [Foreign Literature]</w:t>
      </w:r>
    </w:p>
    <w:p>
      <w:pPr>
        <w:spacing w:after="40"/>
        <w:ind w:left="432"/>
        <w:jc w:val="both"/>
      </w:pPr>
      <w:r>
        <w:t>Keskin, Li, and Song examined pricing and inventory decisions for perishable products when retailers do not have complete knowledge of demand, price relationships, and perishability. Their work also considers how the relationship between demand and price may change over time. This supports the proposed study's use of historical sales, pricing, inventory, and perishability information when evaluating pricing decisions.</w:t>
      </w:r>
    </w:p>
    <w:p>
      <w:pPr>
        <w:spacing w:after="40"/>
        <w:ind w:left="432"/>
        <w:jc w:val="left"/>
      </w:pPr>
      <w:r>
        <w:t>Source link: https://doi.org/10.1287/mnsc.2021.4011</w:t>
      </w:r>
    </w:p>
    <w:p>
      <w:pPr>
        <w:keepNext/>
        <w:spacing w:before="120" w:after="40"/>
      </w:pPr>
      <w:r>
        <w:rPr>
          <w:b/>
        </w:rPr>
        <w:t>2. Dynamic Pricing for Perishable Goods: A Data-Driven Digital Transformation Approach</w:t>
      </w:r>
      <w:r>
        <w:rPr>
          <w:color w:val="595959"/>
          <w:sz w:val="18"/>
        </w:rPr>
        <w:t xml:space="preserve">  [Foreign Literature]</w:t>
      </w:r>
    </w:p>
    <w:p>
      <w:pPr>
        <w:spacing w:after="40"/>
        <w:ind w:left="432"/>
        <w:jc w:val="both"/>
      </w:pPr>
      <w:r>
        <w:t>Syed et al. examined how supermarkets can implement data-driven dynamic pricing for products with short shelf lives. The study highlights the importance of reliable data collection, analytics, algorithms, and continuous adjustment of pricing strategies. It supports the proposed system's use of retail data and analytical models to provide pricing recommendations for perishable products.</w:t>
      </w:r>
    </w:p>
    <w:p>
      <w:pPr>
        <w:spacing w:after="40"/>
        <w:ind w:left="432"/>
        <w:jc w:val="left"/>
      </w:pPr>
      <w:r>
        <w:t>Source link: https://doi.org/10.1016/j.ijpe.2024.109405</w:t>
      </w:r>
    </w:p>
    <w:p>
      <w:pPr>
        <w:keepNext/>
        <w:spacing w:before="120" w:after="40"/>
      </w:pPr>
      <w:r>
        <w:rPr>
          <w:b/>
        </w:rPr>
        <w:t>3. Deep Reinforcement Learning Algorithms for Dynamic Pricing and Inventory Management of Perishable Products</w:t>
      </w:r>
      <w:r>
        <w:rPr>
          <w:color w:val="595959"/>
          <w:sz w:val="18"/>
        </w:rPr>
        <w:t xml:space="preserve">  [Foreign Literature]</w:t>
      </w:r>
    </w:p>
    <w:p>
      <w:pPr>
        <w:spacing w:after="40"/>
        <w:ind w:left="432"/>
        <w:jc w:val="both"/>
      </w:pPr>
      <w:r>
        <w:t>This study explains that perishable products create additional pricing and inventory challenges because they have limited shelf lives. It also shows that product shelf life increases the complexity of optimization because inventory conditions change as products age. This supports including remaining shelf life and inventory as important variables in the proposed pricing framework.</w:t>
      </w:r>
    </w:p>
    <w:p>
      <w:pPr>
        <w:spacing w:after="40"/>
        <w:ind w:left="432"/>
        <w:jc w:val="left"/>
      </w:pPr>
      <w:r>
        <w:t>Source link: https://doi.org/10.1016/j.asoc.2024.111864</w:t>
      </w:r>
    </w:p>
    <w:p>
      <w:pPr>
        <w:spacing w:after="40"/>
        <w:ind w:left="432"/>
        <w:jc w:val="both"/>
      </w:pPr>
      <w:r>
        <w:rPr>
          <w:highlight w:val="yellow"/>
        </w:rPr>
        <w:t>[Name the authors: Yavuz and Kaya (2024), Applied Soft Computing, 163, 111864.]</w:t>
      </w:r>
    </w:p>
    <w:p>
      <w:pPr>
        <w:keepNext/>
        <w:spacing w:before="120" w:after="40"/>
      </w:pPr>
      <w:r>
        <w:rPr>
          <w:b/>
        </w:rPr>
        <w:t>4. Perishable Inventory and Remaining Shelf Life</w:t>
      </w:r>
      <w:r>
        <w:rPr>
          <w:color w:val="595959"/>
          <w:sz w:val="18"/>
        </w:rPr>
        <w:t xml:space="preserve">  [Foreign Literature]</w:t>
      </w:r>
    </w:p>
    <w:p>
      <w:pPr>
        <w:spacing w:after="40"/>
        <w:ind w:left="432"/>
        <w:jc w:val="both"/>
      </w:pPr>
      <w:r>
        <w:t>Recent research on perishable inventory emphasizes that these products cannot be managed in the same way as non-perishable goods. Their limited selling periods create a relationship among inventory age, demand, pricing, and potential waste. This supports the proposed study's decision to include remaining shelf life as part of the information used for demand forecasting and price optimization.</w:t>
      </w:r>
    </w:p>
    <w:p>
      <w:pPr>
        <w:spacing w:after="40"/>
        <w:ind w:left="432"/>
        <w:jc w:val="left"/>
      </w:pPr>
      <w:r>
        <w:t>Source link: https://doi.org/10.1287/mnsc.2021.4011 , https://doi.org/10.1016/j.asoc.2024.111864</w:t>
      </w:r>
    </w:p>
    <w:p>
      <w:pPr>
        <w:spacing w:after="40"/>
        <w:ind w:left="432"/>
        <w:jc w:val="both"/>
      </w:pPr>
      <w:r>
        <w:rPr>
          <w:highlight w:val="yellow"/>
        </w:rPr>
        <w:t>[This entry reuses the two DOIs above rather than citing a new source. Replace it with a distinct source.]</w:t>
      </w:r>
    </w:p>
    <w:p>
      <w:pPr>
        <w:spacing w:after="120"/>
        <w:jc w:val="both"/>
      </w:pPr>
      <w:r>
        <w:rPr>
          <w:highlight w:val="yellow"/>
        </w:rPr>
        <w:t>[Title 5 has 3 distinct sources in total, repeated across RRL and RRS, and no Philippine source. Add about 7 more, including local ones.]</w:t>
      </w:r>
    </w:p>
    <w:p>
      <w:pPr>
        <w:keepNext/>
        <w:spacing w:before="160" w:after="80"/>
      </w:pPr>
      <w:r>
        <w:rPr>
          <w:b/>
          <w:sz w:val="22"/>
        </w:rPr>
        <w:t>2.2 Review of Related Studies</w:t>
      </w:r>
    </w:p>
    <w:p>
      <w:pPr>
        <w:spacing w:after="120"/>
        <w:jc w:val="both"/>
      </w:pPr>
      <w:r>
        <w:t>The RRS presents recent applications of data-driven methods, machine learning, and optimization to pricing and inventory decisions for perishable products.</w:t>
      </w:r>
    </w:p>
    <w:p>
      <w:pPr>
        <w:keepNext/>
        <w:spacing w:before="120" w:after="40"/>
      </w:pPr>
      <w:r>
        <w:rPr>
          <w:b/>
        </w:rPr>
        <w:t>1. Dynamic Pricing for Perishable Goods: A Data-Driven Digital Transformation Approach</w:t>
      </w:r>
      <w:r>
        <w:rPr>
          <w:color w:val="595959"/>
          <w:sz w:val="18"/>
        </w:rPr>
        <w:t xml:space="preserve">  [Foreign Study]</w:t>
      </w:r>
    </w:p>
    <w:p>
      <w:pPr>
        <w:spacing w:after="40"/>
        <w:ind w:left="432"/>
        <w:jc w:val="both"/>
      </w:pPr>
      <w:r>
        <w:t>Syed et al. conducted a multi-case study on dynamic pricing in supermarkets. The researchers developed a three-phase framework covering data preparation, analytical implementation, and continued pricing adaptation. The study shows that dynamic pricing for perishable goods requires more than an algorithm because data quality, implementation, and changing customer behavior also affect the pricing process.</w:t>
      </w:r>
    </w:p>
    <w:p>
      <w:pPr>
        <w:spacing w:after="40"/>
        <w:ind w:left="432"/>
        <w:jc w:val="both"/>
      </w:pPr>
      <w:r>
        <w:rPr>
          <w:b/>
        </w:rPr>
        <w:t>Relevance to the proposed study.</w:t>
      </w:r>
      <w:r>
        <w:t xml:space="preserve"> It supports developing a data-driven pricing tool designed specifically for perishable retail products rather than a general retail forecasting system.</w:t>
      </w:r>
    </w:p>
    <w:p>
      <w:pPr>
        <w:spacing w:after="40"/>
        <w:ind w:left="432"/>
        <w:jc w:val="left"/>
      </w:pPr>
      <w:r>
        <w:t>Source link: https://doi.org/10.1016/j.ijpe.2024.109405</w:t>
      </w:r>
    </w:p>
    <w:p>
      <w:pPr>
        <w:keepNext/>
        <w:spacing w:before="120" w:after="40"/>
      </w:pPr>
      <w:r>
        <w:rPr>
          <w:b/>
        </w:rPr>
        <w:t>2. Data-Driven Dynamic Pricing and Ordering with Perishable Inventory in a Changing Environment</w:t>
      </w:r>
      <w:r>
        <w:rPr>
          <w:color w:val="595959"/>
          <w:sz w:val="18"/>
        </w:rPr>
        <w:t xml:space="preserve">  [Foreign Study]</w:t>
      </w:r>
    </w:p>
    <w:p>
      <w:pPr>
        <w:spacing w:after="40"/>
        <w:ind w:left="432"/>
        <w:jc w:val="both"/>
      </w:pPr>
      <w:r>
        <w:t>Keskin, Li, and Song used real-world data from a major supermarket chain to investigate joint pricing and inventory decisions. Their study considered uncertainty in the demand-price relationship, demand variation, inventory perishability, and changes in customer response to price over time. They also extended their approach to account for age-dependent perishability.</w:t>
      </w:r>
    </w:p>
    <w:p>
      <w:pPr>
        <w:spacing w:after="40"/>
        <w:ind w:left="432"/>
        <w:jc w:val="both"/>
      </w:pPr>
      <w:r>
        <w:rPr>
          <w:b/>
        </w:rPr>
        <w:t>Relevance to the proposed study.</w:t>
      </w:r>
      <w:r>
        <w:t xml:space="preserve"> It provides support for considering price, demand, inventory, and product age together instead of optimizing prices using sales history alone.</w:t>
      </w:r>
    </w:p>
    <w:p>
      <w:pPr>
        <w:spacing w:after="40"/>
        <w:ind w:left="432"/>
        <w:jc w:val="left"/>
      </w:pPr>
      <w:r>
        <w:t>Source link: https://doi.org/10.1287/mnsc.2021.4011</w:t>
      </w:r>
    </w:p>
    <w:p>
      <w:pPr>
        <w:keepNext/>
        <w:spacing w:before="120" w:after="40"/>
      </w:pPr>
      <w:r>
        <w:rPr>
          <w:b/>
        </w:rPr>
        <w:t>3. Deep Reinforcement Learning Algorithms for Dynamic Pricing and Inventory Management of Perishable Products</w:t>
      </w:r>
      <w:r>
        <w:rPr>
          <w:color w:val="595959"/>
          <w:sz w:val="18"/>
        </w:rPr>
        <w:t xml:space="preserve">  [Foreign Study]</w:t>
      </w:r>
    </w:p>
    <w:p>
      <w:pPr>
        <w:spacing w:after="40"/>
        <w:ind w:left="432"/>
        <w:jc w:val="both"/>
      </w:pPr>
      <w:r>
        <w:t>The researchers studied dynamic pricing and inventory management as a combined problem for products with limited shelf lives. They used deep reinforcement learning because conventional optimization becomes increasingly difficult as the number of product ages, inventory conditions, and pricing decisions increases.</w:t>
      </w:r>
    </w:p>
    <w:p>
      <w:pPr>
        <w:spacing w:after="40"/>
        <w:ind w:left="432"/>
        <w:jc w:val="both"/>
      </w:pPr>
      <w:r>
        <w:rPr>
          <w:b/>
        </w:rPr>
        <w:t>Relevance to the proposed study.</w:t>
      </w:r>
      <w:r>
        <w:t xml:space="preserve"> The research demonstrates that artificial intelligence can support pricing decisions for perishable inventory. However, the proposed study will examine more accessible supervised machine learning models such as Linear Regression, Random Forest, and XGBoost for demand forecasting before performing price optimization.</w:t>
      </w:r>
    </w:p>
    <w:p>
      <w:pPr>
        <w:spacing w:after="40"/>
        <w:ind w:left="432"/>
        <w:jc w:val="left"/>
      </w:pPr>
      <w:r>
        <w:t>Source link: https://doi.org/10.1016/j.asoc.2024.111864</w:t>
      </w:r>
    </w:p>
    <w:p>
      <w:pPr>
        <w:keepNext/>
        <w:spacing w:before="160" w:after="80"/>
      </w:pPr>
      <w:r>
        <w:rPr>
          <w:b/>
          <w:sz w:val="22"/>
        </w:rPr>
        <w:t>2.3 Synthesis and Research Gap</w:t>
      </w:r>
    </w:p>
    <w:p>
      <w:pPr>
        <w:spacing w:after="120"/>
        <w:jc w:val="both"/>
      </w:pPr>
      <w:r>
        <w:t>The reviewed works show that pricing perishable products well requires considering demand, price, inventory, and product age together, and that data-driven approaches can support these decisions in supermarkets. The most advanced methods, such as deep reinforcement learning, are complex and data hungry.</w:t>
      </w:r>
    </w:p>
    <w:p>
      <w:pPr>
        <w:spacing w:after="120"/>
        <w:jc w:val="both"/>
      </w:pPr>
      <w:r>
        <w:rPr>
          <w:b/>
        </w:rPr>
        <w:t>The gap.</w:t>
      </w:r>
      <w:r>
        <w:t xml:space="preserve"> There is little work applying accessible supervised models with remaining shelf life as an explicit feature to small and medium retailers, and none using Philippine retail data. </w:t>
      </w:r>
      <w:r>
        <w:rPr>
          <w:highlight w:val="yellow"/>
        </w:rPr>
        <w:t>[Groupmates to confirm this gap once more sources are added.]</w:t>
      </w:r>
    </w:p>
    <w:p>
      <w:pPr>
        <w:keepNext/>
        <w:spacing w:before="160" w:after="80"/>
      </w:pPr>
      <w:r>
        <w:rPr>
          <w:b/>
          <w:sz w:val="22"/>
        </w:rPr>
        <w:t>2.4 Refined Title</w:t>
      </w:r>
    </w:p>
    <w:p>
      <w:pPr>
        <w:spacing w:after="120"/>
        <w:jc w:val="both"/>
      </w:pPr>
      <w:r>
        <w:rPr>
          <w:highlight w:val="yellow"/>
        </w:rPr>
        <w:t>[The current title is exactly 16 words and names no specific algorithm. Consider naming XGBoost, which will push it over 16 unless other words are cut. Also consider borrowing the SM-3 angle, which frames the same problem with Cox proportional hazards on sell-through time and is a less common method.]</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Forecasting models are compared under chronological validation, and the optimization component is evaluated against historical pricing outcomes.</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Historical transaction-level sales with price, inventory, product cost, and expiry or receiving dates for selected perishable products</w:t>
            </w:r>
          </w:p>
        </w:tc>
      </w:tr>
      <w:tr>
        <w:tc>
          <w:tcPr>
            <w:tcW w:type="dxa" w:w="2160"/>
          </w:tcPr>
          <w:p>
            <w:r/>
            <w:r>
              <w:rPr>
                <w:sz w:val="18"/>
              </w:rPr>
              <w:t>Partner status</w:t>
            </w:r>
          </w:p>
        </w:tc>
        <w:tc>
          <w:tcPr>
            <w:tcW w:type="dxa" w:w="8064"/>
          </w:tcPr>
          <w:p>
            <w:r/>
            <w:r>
              <w:rPr>
                <w:sz w:val="18"/>
                <w:highlight w:val="yellow"/>
              </w:rPr>
              <w:t>[No partner store confirmed.]</w:t>
            </w:r>
          </w:p>
        </w:tc>
      </w:tr>
      <w:tr>
        <w:tc>
          <w:tcPr>
            <w:tcW w:type="dxa" w:w="2160"/>
          </w:tcPr>
          <w:p>
            <w:r/>
            <w:r>
              <w:rPr>
                <w:sz w:val="18"/>
              </w:rPr>
              <w:t>Volume</w:t>
            </w:r>
          </w:p>
        </w:tc>
        <w:tc>
          <w:tcPr>
            <w:tcW w:type="dxa" w:w="8064"/>
          </w:tcPr>
          <w:p>
            <w:r/>
            <w:r>
              <w:rPr>
                <w:sz w:val="18"/>
              </w:rPr>
              <w:t>At least 10,000 product-day records</w:t>
            </w:r>
          </w:p>
        </w:tc>
      </w:tr>
      <w:tr>
        <w:tc>
          <w:tcPr>
            <w:tcW w:type="dxa" w:w="2160"/>
          </w:tcPr>
          <w:p>
            <w:r/>
            <w:r>
              <w:rPr>
                <w:sz w:val="18"/>
              </w:rPr>
              <w:t>Fallback</w:t>
            </w:r>
          </w:p>
        </w:tc>
        <w:tc>
          <w:tcPr>
            <w:tcW w:type="dxa" w:w="8064"/>
          </w:tcPr>
          <w:p>
            <w:r/>
            <w:r>
              <w:rPr>
                <w:sz w:val="18"/>
              </w:rPr>
              <w:t xml:space="preserve">A public retail sales dataset with perishable categories </w:t>
            </w:r>
            <w:r>
              <w:rPr>
                <w:sz w:val="18"/>
                <w:highlight w:val="yellow"/>
              </w:rPr>
              <w:t>[name it]</w:t>
            </w:r>
          </w:p>
        </w:tc>
      </w:tr>
    </w:tbl>
    <w:p>
      <w:pPr>
        <w:spacing w:after="40"/>
      </w:pPr>
    </w:p>
    <w:p>
      <w:pPr>
        <w:keepNext/>
        <w:spacing w:before="160" w:after="80"/>
      </w:pPr>
      <w:r>
        <w:rPr>
          <w:b/>
          <w:sz w:val="22"/>
        </w:rPr>
        <w:t>3.3 Proposed Algorithms</w:t>
      </w:r>
    </w:p>
    <w:p>
      <w:pPr>
        <w:spacing w:after="120"/>
        <w:jc w:val="both"/>
      </w:pPr>
      <w:r>
        <w:t>Linear Regression is the baseline, compared against Random Forest and XGBoost using lagged sales, price, day of week, promotions, inventory, and remaining shelf life. The best model predicts demand at each candidate price, and the optimization component selects the price that maximises expected profit after the cost of expected waste, within limits set by the store.</w:t>
      </w:r>
    </w:p>
    <w:p>
      <w:pPr>
        <w:keepNext/>
        <w:spacing w:before="160" w:after="80"/>
      </w:pPr>
      <w:r>
        <w:rPr>
          <w:b/>
          <w:sz w:val="22"/>
        </w:rPr>
        <w:t>3.4 System Architecture and Tools</w:t>
      </w:r>
    </w:p>
    <w:p>
      <w:pPr>
        <w:spacing w:after="120"/>
        <w:jc w:val="both"/>
      </w:pPr>
      <w:r>
        <w:t>Data import and cleaning, then feature engineering, then model training and evaluation, then price optimization, then a dashboard. The stack is Python with pandas, scikit-learn, and XGBoost, MySQL or SQLite for storage, and a simple web dashboard.</w:t>
      </w:r>
    </w:p>
    <w:p>
      <w:pPr>
        <w:keepNext/>
        <w:spacing w:before="160" w:after="80"/>
      </w:pPr>
      <w:r>
        <w:rPr>
          <w:b/>
          <w:sz w:val="22"/>
        </w:rPr>
        <w:t>3.5 Evaluation Metrics</w:t>
      </w:r>
    </w:p>
    <w:p>
      <w:pPr>
        <w:spacing w:after="120"/>
        <w:jc w:val="both"/>
      </w:pPr>
      <w:r>
        <w:t>MAE, RMSE, and MAPE on a chronological holdout period. Pricing recommendations are evaluated by simulated revenue and waste compared with actual historical prices.</w:t>
      </w:r>
    </w:p>
    <w:p>
      <w:pPr>
        <w:keepNext/>
        <w:spacing w:before="160" w:after="80"/>
      </w:pPr>
      <w:r>
        <w:rPr>
          <w:b/>
          <w:sz w:val="22"/>
        </w:rPr>
        <w:t>3.6 Ethical Considerations</w:t>
      </w:r>
    </w:p>
    <w:p>
      <w:pPr>
        <w:spacing w:after="120"/>
        <w:jc w:val="both"/>
      </w:pPr>
      <w:r>
        <w:t>No personal customer information is used. Store data is used only with written permission, and business-sensitive figures are anonymised in the paper. Recommendations are labelled as estimates and never change prices automatically.</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5</w:t>
            </w:r>
          </w:p>
        </w:tc>
        <w:tc>
          <w:tcPr>
            <w:tcW w:type="dxa" w:w="6192"/>
          </w:tcPr>
          <w:p>
            <w:r/>
            <w:r>
              <w:rPr>
                <w:sz w:val="18"/>
              </w:rPr>
              <w:t>Ordinary open-source stack</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No partner store; shelf-life data is harder to find publicly</w:t>
            </w:r>
          </w:p>
        </w:tc>
      </w:tr>
      <w:tr>
        <w:tc>
          <w:tcPr>
            <w:tcW w:type="dxa" w:w="3168"/>
          </w:tcPr>
          <w:p>
            <w:r/>
            <w:r>
              <w:rPr>
                <w:sz w:val="18"/>
              </w:rPr>
              <w:t>Algorithm or model feasibility</w:t>
            </w:r>
          </w:p>
        </w:tc>
        <w:tc>
          <w:tcPr>
            <w:tcW w:type="dxa" w:w="864"/>
          </w:tcPr>
          <w:p>
            <w:r/>
            <w:r>
              <w:rPr>
                <w:sz w:val="18"/>
              </w:rPr>
              <w:t>4</w:t>
            </w:r>
          </w:p>
        </w:tc>
        <w:tc>
          <w:tcPr>
            <w:tcW w:type="dxa" w:w="6192"/>
          </w:tcPr>
          <w:p>
            <w:r/>
            <w:r>
              <w:rPr>
                <w:sz w:val="18"/>
              </w:rPr>
              <w:t>Three established models on the same metrics</w:t>
            </w:r>
          </w:p>
        </w:tc>
      </w:tr>
      <w:tr>
        <w:tc>
          <w:tcPr>
            <w:tcW w:type="dxa" w:w="3168"/>
          </w:tcPr>
          <w:p>
            <w:r/>
            <w:r>
              <w:rPr>
                <w:sz w:val="18"/>
              </w:rPr>
              <w:t>Operational feasibility</w:t>
            </w:r>
          </w:p>
        </w:tc>
        <w:tc>
          <w:tcPr>
            <w:tcW w:type="dxa" w:w="864"/>
          </w:tcPr>
          <w:p>
            <w:r/>
            <w:r>
              <w:rPr>
                <w:sz w:val="18"/>
              </w:rPr>
              <w:t>3</w:t>
            </w:r>
          </w:p>
        </w:tc>
        <w:tc>
          <w:tcPr>
            <w:tcW w:type="dxa" w:w="6192"/>
          </w:tcPr>
          <w:p>
            <w:r/>
            <w:r>
              <w:rPr>
                <w:sz w:val="18"/>
              </w:rPr>
              <w:t>No participating store yet</w:t>
            </w:r>
          </w:p>
        </w:tc>
      </w:tr>
      <w:tr>
        <w:tc>
          <w:tcPr>
            <w:tcW w:type="dxa" w:w="3168"/>
          </w:tcPr>
          <w:p>
            <w:r/>
            <w:r>
              <w:rPr>
                <w:sz w:val="18"/>
              </w:rPr>
              <w:t>Economic feasibility</w:t>
            </w:r>
          </w:p>
        </w:tc>
        <w:tc>
          <w:tcPr>
            <w:tcW w:type="dxa" w:w="864"/>
          </w:tcPr>
          <w:p>
            <w:r/>
            <w:r>
              <w:rPr>
                <w:sz w:val="18"/>
              </w:rPr>
              <w:t>5</w:t>
            </w:r>
          </w:p>
        </w:tc>
        <w:tc>
          <w:tcPr>
            <w:tcW w:type="dxa" w:w="6192"/>
          </w:tcPr>
          <w:p>
            <w:r/>
            <w:r>
              <w:rPr>
                <w:sz w:val="18"/>
              </w:rPr>
              <w:t>Lowest projected cost</w:t>
            </w:r>
          </w:p>
        </w:tc>
      </w:tr>
      <w:tr>
        <w:tc>
          <w:tcPr>
            <w:tcW w:type="dxa" w:w="3168"/>
          </w:tcPr>
          <w:p>
            <w:r/>
            <w:r>
              <w:rPr>
                <w:sz w:val="18"/>
              </w:rPr>
              <w:t>Schedule feasibility</w:t>
            </w:r>
          </w:p>
        </w:tc>
        <w:tc>
          <w:tcPr>
            <w:tcW w:type="dxa" w:w="864"/>
          </w:tcPr>
          <w:p>
            <w:r/>
            <w:r>
              <w:rPr>
                <w:sz w:val="18"/>
              </w:rPr>
              <w:t>4</w:t>
            </w:r>
          </w:p>
        </w:tc>
        <w:tc>
          <w:tcPr>
            <w:tcW w:type="dxa" w:w="6192"/>
          </w:tcPr>
          <w:p>
            <w:r/>
            <w:r>
              <w:rPr>
                <w:sz w:val="18"/>
              </w:rPr>
              <w:t>No external approval on the critical path</w:t>
            </w:r>
          </w:p>
        </w:tc>
      </w:tr>
      <w:tr>
        <w:tc>
          <w:tcPr>
            <w:tcW w:type="dxa" w:w="3168"/>
          </w:tcPr>
          <w:p>
            <w:r/>
            <w:r>
              <w:rPr>
                <w:sz w:val="18"/>
              </w:rPr>
              <w:t>Legal and ethical feasibility</w:t>
            </w:r>
          </w:p>
        </w:tc>
        <w:tc>
          <w:tcPr>
            <w:tcW w:type="dxa" w:w="864"/>
          </w:tcPr>
          <w:p>
            <w:r/>
            <w:r>
              <w:rPr>
                <w:sz w:val="18"/>
              </w:rPr>
              <w:t>4</w:t>
            </w:r>
          </w:p>
        </w:tc>
        <w:tc>
          <w:tcPr>
            <w:tcW w:type="dxa" w:w="6192"/>
          </w:tcPr>
          <w:p>
            <w:r/>
            <w:r>
              <w:rPr>
                <w:sz w:val="18"/>
              </w:rPr>
              <w:t>No customer data</w:t>
            </w:r>
          </w:p>
        </w:tc>
      </w:tr>
      <w:tr>
        <w:tc>
          <w:tcPr>
            <w:tcW w:type="dxa" w:w="3168"/>
          </w:tcPr>
          <w:p>
            <w:r/>
            <w:r>
              <w:rPr>
                <w:sz w:val="18"/>
              </w:rPr>
              <w:t>Risk manageability</w:t>
            </w:r>
          </w:p>
        </w:tc>
        <w:tc>
          <w:tcPr>
            <w:tcW w:type="dxa" w:w="864"/>
          </w:tcPr>
          <w:p>
            <w:r/>
            <w:r>
              <w:rPr>
                <w:sz w:val="18"/>
              </w:rPr>
              <w:t>3</w:t>
            </w:r>
          </w:p>
        </w:tc>
        <w:tc>
          <w:tcPr>
            <w:tcW w:type="dxa" w:w="6192"/>
          </w:tcPr>
          <w:p>
            <w:r/>
            <w:r>
              <w:rPr>
                <w:sz w:val="18"/>
              </w:rPr>
              <w:t>Needs a real shelf-life data source</w:t>
            </w:r>
          </w:p>
        </w:tc>
      </w:tr>
      <w:tr>
        <w:tc>
          <w:tcPr>
            <w:tcW w:type="dxa" w:w="3168"/>
          </w:tcPr>
          <w:p>
            <w:r/>
            <w:r>
              <w:rPr>
                <w:b/>
                <w:sz w:val="18"/>
              </w:rPr>
              <w:t>Total score</w:t>
            </w:r>
          </w:p>
        </w:tc>
        <w:tc>
          <w:tcPr>
            <w:tcW w:type="dxa" w:w="864"/>
          </w:tcPr>
          <w:p>
            <w:r/>
            <w:r>
              <w:rPr>
                <w:b/>
                <w:sz w:val="18"/>
              </w:rPr>
              <w:t>31/40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rPr>
          <w:highlight w:val="yellow"/>
        </w:rPr>
        <w:t>[Groupmates to list the references for this title in APA format. The source links are in Chapter 2.]</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PROPOSED TITLE 6 OF 6</w:t>
            </w:r>
          </w:p>
          <w:p>
            <w:r>
              <w:rPr>
                <w:color w:val="E0E0E0"/>
                <w:sz w:val="18"/>
              </w:rPr>
              <w:t>A Personal Data Detection and Redaction Governance System for Contact Centers Using Conditional Random Fields</w:t>
            </w:r>
          </w:p>
        </w:tc>
      </w:tr>
    </w:tbl>
    <w:p>
      <w:pPr>
        <w:spacing w:after="40"/>
      </w:pPr>
    </w:p>
    <w:p>
      <w:pPr>
        <w:spacing w:after="120"/>
        <w:jc w:val="both"/>
      </w:pPr>
      <w:r>
        <w:rPr>
          <w:b/>
        </w:rPr>
        <w:t>Thesis specialization:</w:t>
      </w:r>
      <w:r>
        <w:t xml:space="preserve"> Data Science.  </w:t>
      </w:r>
      <w:r>
        <w:rPr>
          <w:b/>
        </w:rPr>
        <w:t>Primary technique:</w:t>
      </w:r>
      <w:r>
        <w:t xml:space="preserve"> Data Governance and Ethics.  </w:t>
      </w:r>
      <w:r>
        <w:rPr>
          <w:b/>
        </w:rPr>
        <w:t>Supporting techniques:</w:t>
      </w:r>
      <w:r>
        <w:t xml:space="preserve"> Data Mining and Data Visualization.  </w:t>
      </w:r>
      <w:r>
        <w:rPr>
          <w:b/>
        </w:rPr>
        <w:t>Partner:</w:t>
      </w:r>
      <w:r>
        <w:t xml:space="preserve"> Transcom Philippines, reached through a classmate's contact in human resources.</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1. The Problem and Its Background</w:t>
            </w:r>
          </w:p>
        </w:tc>
      </w:tr>
    </w:tbl>
    <w:p>
      <w:pPr>
        <w:spacing w:after="0"/>
      </w:pPr>
    </w:p>
    <w:p>
      <w:pPr>
        <w:keepNext/>
        <w:spacing w:before="160" w:after="80"/>
      </w:pPr>
      <w:r>
        <w:rPr>
          <w:b/>
          <w:sz w:val="22"/>
        </w:rPr>
        <w:t>1.1 Background of the Study</w:t>
      </w:r>
    </w:p>
    <w:p>
      <w:pPr>
        <w:spacing w:after="120"/>
        <w:jc w:val="both"/>
      </w:pPr>
      <w:r>
        <w:t>Contact centers are among the largest employers in the Philippines, and they handle customer data for clients around the world. During a call or chat, customers often read out card numbers, account numbers, addresses, birth dates, and government ID numbers. Agents sometimes type these into free-text case notes so they do not lose them. Those notes are stored, exported to clients, and sampled for quality assurance.</w:t>
      </w:r>
    </w:p>
    <w:p>
      <w:pPr>
        <w:spacing w:after="120"/>
        <w:jc w:val="both"/>
      </w:pPr>
      <w:r>
        <w:t>Structured fields in a customer database are easy to protect, because the organisation knows where they are. Free-text notes are not. Nobody reads every note, so nobody knows how often personal data ends up in them, and an exposure can go unnoticed until it becomes a breach that must be reported to the National Privacy Commission.</w:t>
      </w:r>
    </w:p>
    <w:p>
      <w:pPr>
        <w:keepNext/>
        <w:spacing w:before="160" w:after="80"/>
      </w:pPr>
      <w:r>
        <w:rPr>
          <w:b/>
          <w:sz w:val="22"/>
        </w:rPr>
        <w:t>1.2 Statement of the Problem</w:t>
      </w:r>
    </w:p>
    <w:p>
      <w:pPr>
        <w:spacing w:after="120"/>
        <w:jc w:val="both"/>
      </w:pPr>
      <w:r>
        <w:t>Contact centers have no automated way to find and redact personal data in free-text agent notes. This study seeks to answer the following questions:</w:t>
      </w:r>
    </w:p>
    <w:p>
      <w:pPr>
        <w:spacing w:after="60"/>
        <w:jc w:val="both"/>
        <w:numPr>
          <w:ilvl w:val="0"/>
          <w:numId w:val="26"/>
        </w:numPr>
      </w:pPr>
      <w:r>
        <w:t>How accurately can Conditional Random Fields, combined with rules for strongly patterned identifiers, detect personal data in English and Taglish contact center notes?</w:t>
      </w:r>
    </w:p>
    <w:p>
      <w:pPr>
        <w:spacing w:after="60"/>
        <w:jc w:val="both"/>
        <w:numPr>
          <w:ilvl w:val="0"/>
          <w:numId w:val="26"/>
        </w:numPr>
      </w:pPr>
      <w:r>
        <w:t>Which entity types, such as names, addresses, mobile numbers, and government ID numbers, are hardest to detect, and why?</w:t>
      </w:r>
    </w:p>
    <w:p>
      <w:pPr>
        <w:spacing w:after="60"/>
        <w:jc w:val="both"/>
        <w:numPr>
          <w:ilvl w:val="0"/>
          <w:numId w:val="26"/>
        </w:numPr>
      </w:pPr>
      <w:r>
        <w:t>How does detection accuracy compare with published de-identification benchmarks and with a neural baseline?</w:t>
      </w:r>
    </w:p>
    <w:p>
      <w:pPr>
        <w:spacing w:after="60"/>
        <w:jc w:val="both"/>
        <w:numPr>
          <w:ilvl w:val="0"/>
          <w:numId w:val="26"/>
        </w:numPr>
      </w:pPr>
      <w:r>
        <w:t>How can detection, redaction, and review be recorded in an audit trail that supports data breach management?</w:t>
      </w:r>
    </w:p>
    <w:p>
      <w:pPr>
        <w:spacing w:after="0"/>
      </w:pPr>
    </w:p>
    <w:p>
      <w:pPr>
        <w:keepNext/>
        <w:spacing w:before="160" w:after="80"/>
      </w:pPr>
      <w:r>
        <w:rPr>
          <w:b/>
          <w:sz w:val="22"/>
        </w:rPr>
        <w:t>1.3 Objectives of the Study</w:t>
      </w:r>
    </w:p>
    <w:p>
      <w:pPr>
        <w:spacing w:after="120"/>
        <w:jc w:val="both"/>
      </w:pPr>
      <w:r>
        <w:rPr>
          <w:b/>
        </w:rPr>
        <w:t>General objective.</w:t>
      </w:r>
      <w:r>
        <w:t xml:space="preserve"> To develop and evaluate a system that detects and redacts personal data in contact center free-text notes and keeps an auditable record of every action.</w:t>
      </w:r>
    </w:p>
    <w:p>
      <w:pPr>
        <w:spacing w:after="120"/>
        <w:jc w:val="both"/>
      </w:pPr>
      <w:r>
        <w:rPr>
          <w:b/>
        </w:rPr>
        <w:t>Specific objectives.</w:t>
      </w:r>
    </w:p>
    <w:p>
      <w:pPr>
        <w:spacing w:after="60"/>
        <w:jc w:val="both"/>
        <w:numPr>
          <w:ilvl w:val="0"/>
          <w:numId w:val="27"/>
        </w:numPr>
      </w:pPr>
      <w:r>
        <w:t>Build an annotated corpus of at least 20,000 personal data spans from public de-identification corpora and synthetic Philippine-context notes.</w:t>
      </w:r>
    </w:p>
    <w:p>
      <w:pPr>
        <w:spacing w:after="60"/>
        <w:jc w:val="both"/>
        <w:numPr>
          <w:ilvl w:val="0"/>
          <w:numId w:val="27"/>
        </w:numPr>
      </w:pPr>
      <w:r>
        <w:t>Train token-level and character-level Conditional Random Fields, combined with a rule layer for patterned identifiers such as TIN, SSS, PhilHealth, card, and mobile numbers.</w:t>
      </w:r>
    </w:p>
    <w:p>
      <w:pPr>
        <w:spacing w:after="60"/>
        <w:jc w:val="both"/>
        <w:numPr>
          <w:ilvl w:val="0"/>
          <w:numId w:val="27"/>
        </w:numPr>
      </w:pPr>
      <w:r>
        <w:t>Redact detected spans with typed placeholders that keep the note readable, and send low-confidence spans to a review queue.</w:t>
      </w:r>
    </w:p>
    <w:p>
      <w:pPr>
        <w:spacing w:after="60"/>
        <w:jc w:val="both"/>
        <w:numPr>
          <w:ilvl w:val="0"/>
          <w:numId w:val="27"/>
        </w:numPr>
      </w:pPr>
      <w:r>
        <w:t>Evaluate precision, recall, and F1 per entity type under strict and relaxed matching.</w:t>
      </w:r>
    </w:p>
    <w:p>
      <w:pPr>
        <w:spacing w:after="60"/>
        <w:jc w:val="both"/>
        <w:numPr>
          <w:ilvl w:val="0"/>
          <w:numId w:val="27"/>
        </w:numPr>
      </w:pPr>
      <w:r>
        <w:t>Record every detection, redaction, and review decision in an audit trail with a governance dashboard.</w:t>
      </w:r>
    </w:p>
    <w:p>
      <w:pPr>
        <w:spacing w:after="0"/>
      </w:pPr>
    </w:p>
    <w:p>
      <w:pPr>
        <w:keepNext/>
        <w:spacing w:before="160" w:after="80"/>
      </w:pPr>
      <w:r>
        <w:rPr>
          <w:b/>
          <w:sz w:val="22"/>
        </w:rPr>
        <w:t>1.4 Significance of the Study</w:t>
      </w:r>
    </w:p>
    <w:p>
      <w:pPr>
        <w:spacing w:after="60"/>
        <w:jc w:val="both"/>
        <w:numPr>
          <w:ilvl w:val="0"/>
          <w:numId w:val="28"/>
        </w:numPr>
      </w:pPr>
      <w:r>
        <w:rPr>
          <w:b/>
        </w:rPr>
        <w:t>Contact center data protection officers</w:t>
      </w:r>
      <w:r>
        <w:t xml:space="preserve"> gain visibility into where personal data sits in unstructured records.</w:t>
      </w:r>
    </w:p>
    <w:p>
      <w:pPr>
        <w:spacing w:after="60"/>
        <w:jc w:val="both"/>
        <w:numPr>
          <w:ilvl w:val="0"/>
          <w:numId w:val="28"/>
        </w:numPr>
      </w:pPr>
      <w:r>
        <w:rPr>
          <w:b/>
        </w:rPr>
        <w:t>Customers</w:t>
      </w:r>
      <w:r>
        <w:t xml:space="preserve"> gain protection for data they share during calls and chats.</w:t>
      </w:r>
    </w:p>
    <w:p>
      <w:pPr>
        <w:spacing w:after="60"/>
        <w:jc w:val="both"/>
        <w:numPr>
          <w:ilvl w:val="0"/>
          <w:numId w:val="28"/>
        </w:numPr>
      </w:pPr>
      <w:r>
        <w:rPr>
          <w:b/>
        </w:rPr>
        <w:t>Quality assurance teams</w:t>
      </w:r>
      <w:r>
        <w:t xml:space="preserve"> can review notes without being exposed to customer data.</w:t>
      </w:r>
    </w:p>
    <w:p>
      <w:pPr>
        <w:spacing w:after="60"/>
        <w:jc w:val="both"/>
        <w:numPr>
          <w:ilvl w:val="0"/>
          <w:numId w:val="28"/>
        </w:numPr>
      </w:pPr>
      <w:r>
        <w:rPr>
          <w:b/>
        </w:rPr>
        <w:t>Future researchers</w:t>
      </w:r>
      <w:r>
        <w:t xml:space="preserve"> gain a Philippine-context de-identification corpus design and baseline results for Taglish text.</w:t>
      </w:r>
    </w:p>
    <w:p>
      <w:pPr>
        <w:spacing w:after="0"/>
      </w:pPr>
    </w:p>
    <w:p>
      <w:pPr>
        <w:keepNext/>
        <w:spacing w:before="160" w:after="80"/>
      </w:pPr>
      <w:r>
        <w:rPr>
          <w:b/>
          <w:sz w:val="22"/>
        </w:rPr>
        <w:t>1.5 Scope and Limitations</w:t>
      </w:r>
    </w:p>
    <w:p>
      <w:pPr>
        <w:spacing w:after="120"/>
        <w:jc w:val="both"/>
      </w:pPr>
      <w:r>
        <w:t>The study covers personal data in free-text agent notes and chat turns written in English and Taglish. The group never receives live customer data. The system is built and evaluated on public and synthetic material, and any testing on real notes runs on Transcom's side with only the scores returned. The system does not monitor, score, or evaluate agents. Voice recordings are out of scope.</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2. Review of Related Literature and Studies</w:t>
            </w:r>
          </w:p>
        </w:tc>
      </w:tr>
    </w:tbl>
    <w:p>
      <w:pPr>
        <w:spacing w:after="0"/>
      </w:pPr>
    </w:p>
    <w:p>
      <w:pPr>
        <w:keepNext/>
        <w:spacing w:before="160" w:after="80"/>
      </w:pPr>
      <w:r>
        <w:rPr>
          <w:b/>
          <w:sz w:val="22"/>
        </w:rPr>
        <w:t>2.1 Review of Related Literature</w:t>
      </w:r>
    </w:p>
    <w:p>
      <w:pPr>
        <w:spacing w:after="120"/>
        <w:jc w:val="both"/>
      </w:pPr>
      <w:r>
        <w:t>The literature establishes the Philippine legal duties around personal data, the concepts behind automatic de-identification of free text, and the language resources available for Filipino text.</w:t>
      </w:r>
    </w:p>
    <w:p>
      <w:pPr>
        <w:keepNext/>
        <w:spacing w:before="120" w:after="40"/>
      </w:pPr>
      <w:r>
        <w:rPr>
          <w:b/>
        </w:rPr>
        <w:t>1. Republic Act No. 10173, the Data Privacy Act of 2012</w:t>
      </w:r>
      <w:r>
        <w:rPr>
          <w:color w:val="595959"/>
          <w:sz w:val="18"/>
        </w:rPr>
        <w:t xml:space="preserve">  [Local Literature]</w:t>
      </w:r>
    </w:p>
    <w:p>
      <w:pPr>
        <w:spacing w:after="40"/>
        <w:ind w:left="432"/>
        <w:jc w:val="both"/>
      </w:pPr>
      <w:r>
        <w:t>The law protects personal information processed by government and private organisations. It classifies identifiers issued by government agencies, such as social security numbers, as sensitive personal information. Section 20 requires reasonable organisational, physical and technical security measures, and the law keeps an organisation accountable for personal data even when processing is outsourced.</w:t>
      </w:r>
    </w:p>
    <w:p>
      <w:pPr>
        <w:spacing w:after="40"/>
        <w:ind w:left="432"/>
        <w:jc w:val="both"/>
      </w:pPr>
      <w:r>
        <w:rPr>
          <w:b/>
        </w:rPr>
        <w:t>Relevance to the proposed study.</w:t>
      </w:r>
      <w:r>
        <w:t xml:space="preserve"> Customer identifiers typed into case notes are personal data under this law, and several are sensitive personal information. That is the legal reason a contact center needs to know where that data sits in its records.</w:t>
      </w:r>
    </w:p>
    <w:p>
      <w:pPr>
        <w:spacing w:after="40"/>
        <w:ind w:left="432"/>
        <w:jc w:val="left"/>
      </w:pPr>
      <w:r>
        <w:t>Source link: https://lawphil.net/statutes/repacts/ra2012/ra_10173_2012.html</w:t>
      </w:r>
    </w:p>
    <w:p>
      <w:pPr>
        <w:keepNext/>
        <w:spacing w:before="120" w:after="40"/>
      </w:pPr>
      <w:r>
        <w:rPr>
          <w:b/>
        </w:rPr>
        <w:t>2. NPC Circular No. 16-03, Personal Data Breach Management</w:t>
      </w:r>
      <w:r>
        <w:rPr>
          <w:color w:val="595959"/>
          <w:sz w:val="18"/>
        </w:rPr>
        <w:t xml:space="preserve">  [Local Literature]</w:t>
      </w:r>
    </w:p>
    <w:p>
      <w:pPr>
        <w:spacing w:after="40"/>
        <w:ind w:left="432"/>
        <w:jc w:val="both"/>
      </w:pPr>
      <w:r>
        <w:t>This National Privacy Commission circular sets out how organisations must prepare for and respond to personal data breaches. It requires a security incident management policy and a data breach response team, and it requires notifying the Commission within 72 hours of knowing about a breach, with a full report to follow.</w:t>
      </w:r>
    </w:p>
    <w:p>
      <w:pPr>
        <w:spacing w:after="40"/>
        <w:ind w:left="432"/>
        <w:jc w:val="both"/>
      </w:pPr>
      <w:r>
        <w:rPr>
          <w:b/>
        </w:rPr>
        <w:t>Relevance to the proposed study.</w:t>
      </w:r>
      <w:r>
        <w:t xml:space="preserve"> A detector that finds exposed personal data in notes lets an organisation act before an exposure becomes a breach. The system's audit trail also supports the documentation this circular expects.</w:t>
      </w:r>
    </w:p>
    <w:p>
      <w:pPr>
        <w:spacing w:after="40"/>
        <w:ind w:left="432"/>
        <w:jc w:val="left"/>
      </w:pPr>
      <w:r>
        <w:t>Source link: https://privacy.gov.ph/wp-content/uploads/2022/01/sgd-npc-circular-16-03-personal-data-breach-management.pdf</w:t>
      </w:r>
    </w:p>
    <w:p>
      <w:pPr>
        <w:spacing w:after="40"/>
        <w:ind w:left="432"/>
        <w:jc w:val="both"/>
      </w:pPr>
      <w:r>
        <w:rPr>
          <w:highlight w:val="yellow"/>
        </w:rPr>
        <w:t>[The official NPC PDF blocks automated access. One member should open it once in a browser.]</w:t>
      </w:r>
    </w:p>
    <w:p>
      <w:pPr>
        <w:keepNext/>
        <w:spacing w:before="120" w:after="40"/>
      </w:pPr>
      <w:r>
        <w:rPr>
          <w:b/>
        </w:rPr>
        <w:t>3. calamanCy: A Tagalog Natural Language Processing Toolkit</w:t>
      </w:r>
      <w:r>
        <w:rPr>
          <w:color w:val="595959"/>
          <w:sz w:val="18"/>
        </w:rPr>
        <w:t xml:space="preserve">  [Local Literature]</w:t>
      </w:r>
    </w:p>
    <w:p>
      <w:pPr>
        <w:spacing w:after="40"/>
        <w:ind w:left="432"/>
        <w:jc w:val="both"/>
      </w:pPr>
      <w:r>
        <w:t>Miranda (2023) introduced calamanCy, an open-source toolkit for building natural language processing pipelines for Tagalog on top of spaCy. It brings scattered Tagalog resources into one framework and provides ready models for part-of-speech tagging, dependency parsing and named entity recognition.</w:t>
      </w:r>
    </w:p>
    <w:p>
      <w:pPr>
        <w:spacing w:after="40"/>
        <w:ind w:left="432"/>
        <w:jc w:val="both"/>
      </w:pPr>
      <w:r>
        <w:rPr>
          <w:b/>
        </w:rPr>
        <w:t>Relevance to the proposed study.</w:t>
      </w:r>
      <w:r>
        <w:t xml:space="preserve"> Agent notes in the Philippines are often written in Taglish. This toolkit gives the study Tagalog-aware tokenisation and entity features to use alongside the Conditional Random Fields.</w:t>
      </w:r>
    </w:p>
    <w:p>
      <w:pPr>
        <w:spacing w:after="40"/>
        <w:ind w:left="432"/>
        <w:jc w:val="left"/>
      </w:pPr>
      <w:r>
        <w:t>Source link: https://arxiv.org/abs/2311.07171</w:t>
      </w:r>
    </w:p>
    <w:p>
      <w:pPr>
        <w:keepNext/>
        <w:spacing w:before="120" w:after="40"/>
      </w:pPr>
      <w:r>
        <w:rPr>
          <w:b/>
        </w:rPr>
        <w:t>4. Automatic De-identification of Textual Documents in the Electronic Health Record: A Review of Recent Research</w:t>
      </w:r>
      <w:r>
        <w:rPr>
          <w:color w:val="595959"/>
          <w:sz w:val="18"/>
        </w:rPr>
        <w:t xml:space="preserve">  [Foreign Literature]</w:t>
      </w:r>
    </w:p>
    <w:p>
      <w:pPr>
        <w:spacing w:after="40"/>
        <w:ind w:left="432"/>
        <w:jc w:val="both"/>
      </w:pPr>
      <w:r>
        <w:t>Meystre et al. (2010) reviewed research since 1995 on automatically removing identifying information from free-text health records. They noted that manual de-identification is costly and slow, and compared the pattern-matching and machine learning approaches researchers have used and how those approaches were evaluated.</w:t>
      </w:r>
    </w:p>
    <w:p>
      <w:pPr>
        <w:spacing w:after="40"/>
        <w:ind w:left="432"/>
        <w:jc w:val="both"/>
      </w:pPr>
      <w:r>
        <w:rPr>
          <w:b/>
        </w:rPr>
        <w:t>Relevance to the proposed study.</w:t>
      </w:r>
      <w:r>
        <w:t xml:space="preserve"> It shows that automatic de-identification of free text is an established research area with known methods, which the proposed study transfers from health records to contact center notes.</w:t>
      </w:r>
    </w:p>
    <w:p>
      <w:pPr>
        <w:spacing w:after="40"/>
        <w:ind w:left="432"/>
        <w:jc w:val="left"/>
      </w:pPr>
      <w:r>
        <w:t>Source link: https://doi.org/10.1186/1471-2288-10-70</w:t>
      </w:r>
    </w:p>
    <w:p>
      <w:pPr>
        <w:keepNext/>
        <w:spacing w:before="120" w:after="40"/>
      </w:pPr>
      <w:r>
        <w:rPr>
          <w:b/>
        </w:rPr>
        <w:t>5. Annotating Longitudinal Clinical Narratives for De-identification: The 2014 i2b2/UTHealth Corpus</w:t>
      </w:r>
      <w:r>
        <w:rPr>
          <w:color w:val="595959"/>
          <w:sz w:val="18"/>
        </w:rPr>
        <w:t xml:space="preserve">  [Foreign Literature]</w:t>
      </w:r>
    </w:p>
    <w:p>
      <w:pPr>
        <w:spacing w:after="40"/>
        <w:ind w:left="432"/>
        <w:jc w:val="both"/>
      </w:pPr>
      <w:r>
        <w:t>Stubbs and Uzuner (2015) described how the corpus for the 2014 i2b2/UTHealth de-identification task was built and annotated, including which categories of identifying information were marked and the guidelines the annotators followed.</w:t>
      </w:r>
    </w:p>
    <w:p>
      <w:pPr>
        <w:spacing w:after="40"/>
        <w:ind w:left="432"/>
        <w:jc w:val="both"/>
      </w:pPr>
      <w:r>
        <w:rPr>
          <w:b/>
        </w:rPr>
        <w:t>Relevance to the proposed study.</w:t>
      </w:r>
      <w:r>
        <w:t xml:space="preserve"> It is a model for the annotation schema and guidelines the group will write for its synthetic Philippine-context corpus, and it is the corpus behind the benchmark the system will be compared against.</w:t>
      </w:r>
    </w:p>
    <w:p>
      <w:pPr>
        <w:spacing w:after="40"/>
        <w:ind w:left="432"/>
        <w:jc w:val="left"/>
      </w:pPr>
      <w:r>
        <w:t>Source link: https://doi.org/10.1016/j.jbi.2015.07.020</w:t>
      </w:r>
    </w:p>
    <w:p>
      <w:pPr>
        <w:keepNext/>
        <w:spacing w:before="160" w:after="80"/>
      </w:pPr>
      <w:r>
        <w:rPr>
          <w:b/>
          <w:sz w:val="22"/>
        </w:rPr>
        <w:t>2.2 Review of Related Studies</w:t>
      </w:r>
    </w:p>
    <w:p>
      <w:pPr>
        <w:spacing w:after="120"/>
        <w:jc w:val="both"/>
      </w:pPr>
      <w:r>
        <w:t>The studies present measured results for automatic de-identification, which set the benchmark the proposed system will be compared against, together with Philippine work on recognising entities in Filipino text.</w:t>
      </w:r>
    </w:p>
    <w:p>
      <w:pPr>
        <w:keepNext/>
        <w:spacing w:before="120" w:after="40"/>
      </w:pPr>
      <w:r>
        <w:rPr>
          <w:b/>
        </w:rPr>
        <w:t>1. Developing a Named Entity Recognition Dataset for Tagalog</w:t>
      </w:r>
      <w:r>
        <w:rPr>
          <w:color w:val="595959"/>
          <w:sz w:val="18"/>
        </w:rPr>
        <w:t xml:space="preserve">  [Local Study]</w:t>
      </w:r>
    </w:p>
    <w:p>
      <w:pPr>
        <w:spacing w:after="40"/>
        <w:ind w:left="432"/>
        <w:jc w:val="both"/>
      </w:pPr>
      <w:r>
        <w:t>Miranda (2023) built a Tagalog named entity recognition dataset of about 7,800 news documents labelled by native speakers for persons, organisations and locations. Annotator agreement, measured by Cohen's kappa, was 0.81, and the author evaluated current methods under supervised and transfer learning settings.</w:t>
      </w:r>
    </w:p>
    <w:p>
      <w:pPr>
        <w:spacing w:after="40"/>
        <w:ind w:left="432"/>
        <w:jc w:val="both"/>
      </w:pPr>
      <w:r>
        <w:rPr>
          <w:b/>
        </w:rPr>
        <w:t>Relevance to the proposed study.</w:t>
      </w:r>
      <w:r>
        <w:t xml:space="preserve"> It is a Philippine-language resource for recognising names and places in Filipino text. It also shows how to measure labelling agreement, which the group should apply to its own synthetic corpus.</w:t>
      </w:r>
    </w:p>
    <w:p>
      <w:pPr>
        <w:spacing w:after="40"/>
        <w:ind w:left="432"/>
        <w:jc w:val="left"/>
      </w:pPr>
      <w:r>
        <w:t>Source link: https://arxiv.org/abs/2311.07161</w:t>
      </w:r>
    </w:p>
    <w:p>
      <w:pPr>
        <w:keepNext/>
        <w:spacing w:before="120" w:after="40"/>
      </w:pPr>
      <w:r>
        <w:rPr>
          <w:b/>
        </w:rPr>
        <w:t>2. Automated Systems for the De-identification of Longitudinal Clinical Narratives: Overview of 2014 i2b2/UTHealth Shared Task Track 1</w:t>
      </w:r>
      <w:r>
        <w:rPr>
          <w:color w:val="595959"/>
          <w:sz w:val="18"/>
        </w:rPr>
        <w:t xml:space="preserve">  [Foreign Study]</w:t>
      </w:r>
    </w:p>
    <w:p>
      <w:pPr>
        <w:spacing w:after="40"/>
        <w:ind w:left="432"/>
        <w:jc w:val="both"/>
      </w:pPr>
      <w:r>
        <w:t>Stubbs, Kotfila and Uzuner (2015) reported the results of a shared task where ten teams submitted 22 systems for finding identifying information in clinical narratives, covering more categories than United States health privacy law requires. Three systems scored an F1 above 0.90, and the most successful systems combined Conditional Random Fields with hand-written rules.</w:t>
      </w:r>
    </w:p>
    <w:p>
      <w:pPr>
        <w:spacing w:after="40"/>
        <w:ind w:left="432"/>
        <w:jc w:val="both"/>
      </w:pPr>
      <w:r>
        <w:rPr>
          <w:b/>
        </w:rPr>
        <w:t>Relevance to the proposed study.</w:t>
      </w:r>
      <w:r>
        <w:t xml:space="preserve"> It supports the proposed design of Conditional Random Fields plus a rule layer, and provides the published benchmark the system's results will be compared against.</w:t>
      </w:r>
    </w:p>
    <w:p>
      <w:pPr>
        <w:spacing w:after="40"/>
        <w:ind w:left="432"/>
        <w:jc w:val="left"/>
      </w:pPr>
      <w:r>
        <w:t>Source link: https://doi.org/10.1016/j.jbi.2015.06.007</w:t>
      </w:r>
    </w:p>
    <w:p>
      <w:pPr>
        <w:keepNext/>
        <w:spacing w:before="120" w:after="40"/>
      </w:pPr>
      <w:r>
        <w:rPr>
          <w:b/>
        </w:rPr>
        <w:t>3. Automatic De-identification of Electronic Medical Records Using Token-Level and Character-Level Conditional Random Fields</w:t>
      </w:r>
      <w:r>
        <w:rPr>
          <w:color w:val="595959"/>
          <w:sz w:val="18"/>
        </w:rPr>
        <w:t xml:space="preserve">  [Foreign Study]</w:t>
      </w:r>
    </w:p>
    <w:p>
      <w:pPr>
        <w:spacing w:after="40"/>
        <w:ind w:left="432"/>
        <w:jc w:val="both"/>
      </w:pPr>
      <w:r>
        <w:t>Liu et al. (2015) built a hybrid system in which a token-level Conditional Random Field, a character-level Conditional Random Field and a rule-based classifier each find identifying information, and their outputs are merged by rules. On the 2014 i2b2 corpus it reached micro F-scores of 94.64 percent, 91.24 percent and 91.63 percent under the token, strict and relaxed criteria, which rose slightly after refined location dictionaries were added.</w:t>
      </w:r>
    </w:p>
    <w:p>
      <w:pPr>
        <w:spacing w:after="40"/>
        <w:ind w:left="432"/>
        <w:jc w:val="both"/>
      </w:pPr>
      <w:r>
        <w:rPr>
          <w:b/>
        </w:rPr>
        <w:t>Relevance to the proposed study.</w:t>
      </w:r>
      <w:r>
        <w:t xml:space="preserve"> This is the closest template for the proposed detector. The gain from location dictionaries also supports adding Philippine place names, such as barangays, to the system's features.</w:t>
      </w:r>
    </w:p>
    <w:p>
      <w:pPr>
        <w:spacing w:after="40"/>
        <w:ind w:left="432"/>
        <w:jc w:val="left"/>
      </w:pPr>
      <w:r>
        <w:t>Source link: https://doi.org/10.1016/j.jbi.2015.06.009</w:t>
      </w:r>
    </w:p>
    <w:p>
      <w:pPr>
        <w:keepNext/>
        <w:spacing w:before="120" w:after="40"/>
      </w:pPr>
      <w:r>
        <w:rPr>
          <w:b/>
        </w:rPr>
        <w:t>4. De-identification of Patient Notes with Recurrent Neural Networks</w:t>
      </w:r>
      <w:r>
        <w:rPr>
          <w:color w:val="595959"/>
          <w:sz w:val="18"/>
        </w:rPr>
        <w:t xml:space="preserve">  [Foreign Study]</w:t>
      </w:r>
    </w:p>
    <w:p>
      <w:pPr>
        <w:spacing w:after="40"/>
        <w:ind w:left="432"/>
        <w:jc w:val="both"/>
      </w:pPr>
      <w:r>
        <w:t>Dernoncourt et al. (2017) built the first de-identification system based on artificial neural networks, requiring no hand-crafted features or rules. It reached an F1-score of 97.85 on the 2014 i2b2 dataset and 99.23 on the MIMIC de-identification dataset, outperforming earlier systems.</w:t>
      </w:r>
    </w:p>
    <w:p>
      <w:pPr>
        <w:spacing w:after="40"/>
        <w:ind w:left="432"/>
        <w:jc w:val="both"/>
      </w:pPr>
      <w:r>
        <w:rPr>
          <w:b/>
        </w:rPr>
        <w:t>Relevance to the proposed study.</w:t>
      </w:r>
      <w:r>
        <w:t xml:space="preserve"> It shows that a stronger neural baseline exists. The proposed study uses Conditional Random Fields because they run without a GPU, give consistent and auditable output and keep text local, and it will report that trade-off honestly.</w:t>
      </w:r>
    </w:p>
    <w:p>
      <w:pPr>
        <w:spacing w:after="40"/>
        <w:ind w:left="432"/>
        <w:jc w:val="left"/>
      </w:pPr>
      <w:r>
        <w:t>Source link: https://doi.org/10.1093/jamia/ocw156</w:t>
      </w:r>
    </w:p>
    <w:p>
      <w:pPr>
        <w:keepNext/>
        <w:spacing w:before="120" w:after="40"/>
      </w:pPr>
      <w:r>
        <w:rPr>
          <w:b/>
        </w:rPr>
        <w:t>5. Can Zero-Shot Commercial APIs Deliver Regulatory-Grade Clinical Text De-Identification?</w:t>
      </w:r>
      <w:r>
        <w:rPr>
          <w:color w:val="595959"/>
          <w:sz w:val="18"/>
        </w:rPr>
        <w:t xml:space="preserve">  [Foreign Study]</w:t>
      </w:r>
    </w:p>
    <w:p>
      <w:pPr>
        <w:spacing w:after="40"/>
        <w:ind w:left="432"/>
        <w:jc w:val="both"/>
      </w:pPr>
      <w:r>
        <w:t>Kocaman et al. (2025) compared four de-identification services on 48 clinical documents annotated by medical experts. John Snow Labs scored an F1 of 96 percent, Azure 91 percent, AWS 83 percent and GPT-4o 79 percent. The authors are from John Snow Labs, so the comparison should be read with that interest in mind.</w:t>
      </w:r>
    </w:p>
    <w:p>
      <w:pPr>
        <w:spacing w:after="40"/>
        <w:ind w:left="432"/>
        <w:jc w:val="both"/>
      </w:pPr>
      <w:r>
        <w:rPr>
          <w:b/>
        </w:rPr>
        <w:t>Relevance to the proposed study.</w:t>
      </w:r>
      <w:r>
        <w:t xml:space="preserve"> It answers the likely question of why the study does not simply use a large language model. General commercial models did not reach the accuracy of specialised tools, and each one would require sending sensitive text to an outside service.</w:t>
      </w:r>
    </w:p>
    <w:p>
      <w:pPr>
        <w:spacing w:after="40"/>
        <w:ind w:left="432"/>
        <w:jc w:val="left"/>
      </w:pPr>
      <w:r>
        <w:t>Source link: https://arxiv.org/abs/2503.20794</w:t>
      </w:r>
    </w:p>
    <w:p>
      <w:pPr>
        <w:keepNext/>
        <w:spacing w:before="160" w:after="80"/>
      </w:pPr>
      <w:r>
        <w:rPr>
          <w:b/>
          <w:sz w:val="22"/>
        </w:rPr>
        <w:t>2.3 Synthesis and Research Gap</w:t>
      </w:r>
    </w:p>
    <w:p>
      <w:pPr>
        <w:spacing w:after="120"/>
        <w:jc w:val="both"/>
      </w:pPr>
      <w:r>
        <w:t>Automatic de-identification of free text is well established for clinical records. Conditional Random Fields combined with rules have been among the strongest approaches in shared tasks, and neural models now score higher at a greater computing cost. Commercial and large language model services fall short of specialised tools and require sending sensitive text to an outside provider. Philippine law makes contact centers accountable for customer data in their notes, and Tagalog language resources now exist.</w:t>
      </w:r>
    </w:p>
    <w:p>
      <w:pPr>
        <w:spacing w:after="120"/>
        <w:jc w:val="both"/>
      </w:pPr>
      <w:r>
        <w:rPr>
          <w:b/>
        </w:rPr>
        <w:t>The gap.</w:t>
      </w:r>
      <w:r>
        <w:t xml:space="preserve"> Published de-identification work targets clinical text in English. No study addresses contact center notes, Taglish text, or Philippine identifiers such as TIN, SSS, and PhilHealth numbers, and none pairs detection with a governance audit trail for breach management.</w:t>
      </w:r>
    </w:p>
    <w:p>
      <w:pPr>
        <w:keepNext/>
        <w:spacing w:before="160" w:after="80"/>
      </w:pPr>
      <w:r>
        <w:rPr>
          <w:b/>
          <w:sz w:val="22"/>
        </w:rPr>
        <w:t>2.4 Refined Title</w:t>
      </w:r>
    </w:p>
    <w:p>
      <w:pPr>
        <w:spacing w:after="120"/>
        <w:jc w:val="both"/>
      </w:pPr>
      <w:r>
        <w:rPr>
          <w:b/>
        </w:rPr>
        <w:t>A Personal Data Detection and Redaction Governance System for Contact Centers Using Conditional Random Fields</w:t>
      </w:r>
      <w:r>
        <w:t xml:space="preserve"> (15 words). The title is kept.</w:t>
      </w:r>
    </w:p>
    <w:tbl>
      <w:tblPr>
        <w:tblW w:type="auto" w:w="0"/>
        <w:jc w:val="center"/>
        <w:tblLook w:firstColumn="1" w:firstRow="1" w:lastColumn="0" w:lastRow="0" w:noHBand="0" w:noVBand="1" w:val="04A0"/>
      </w:tblPr>
      <w:tblGrid>
        <w:gridCol w:w="10224"/>
      </w:tblGrid>
      <w:tr>
        <w:tc>
          <w:tcPr>
            <w:tcW w:type="dxa" w:w="10224"/>
            <w:shd w:val="clear" w:color="auto" w:fill="4EA72E"/>
          </w:tcPr>
          <w:p>
            <w:r>
              <w:rPr>
                <w:b/>
                <w:color w:val="FFFFFF"/>
                <w:sz w:val="22"/>
              </w:rPr>
              <w:t>Chapter 3. Methodology</w:t>
            </w:r>
          </w:p>
        </w:tc>
      </w:tr>
    </w:tbl>
    <w:p>
      <w:pPr>
        <w:spacing w:after="0"/>
      </w:pPr>
    </w:p>
    <w:p>
      <w:pPr>
        <w:keepNext/>
        <w:spacing w:before="160" w:after="80"/>
      </w:pPr>
      <w:r>
        <w:rPr>
          <w:b/>
          <w:sz w:val="22"/>
        </w:rPr>
        <w:t>3.1 Research Design</w:t>
      </w:r>
    </w:p>
    <w:p>
      <w:pPr>
        <w:spacing w:after="120"/>
        <w:jc w:val="both"/>
      </w:pPr>
      <w:r>
        <w:t>The study uses a quantitative, developmental design. A detector is trained and evaluated on an annotated corpus and compared against published benchmarks and a neural baseline.</w:t>
      </w:r>
    </w:p>
    <w:p>
      <w:pPr>
        <w:keepNext/>
        <w:spacing w:before="160" w:after="80"/>
      </w:pPr>
      <w:r>
        <w:rPr>
          <w:b/>
          <w:sz w:val="22"/>
        </w:rPr>
        <w:t>3.2 Data Source and Current Status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160"/>
            <w:shd w:val="clear" w:color="auto" w:fill="EDEDED"/>
          </w:tcPr>
          <w:p>
            <w:r/>
            <w:r>
              <w:rPr>
                <w:b/>
                <w:sz w:val="18"/>
              </w:rPr>
              <w:t>Item</w:t>
            </w:r>
          </w:p>
        </w:tc>
        <w:tc>
          <w:tcPr>
            <w:tcW w:type="dxa" w:w="8064"/>
            <w:shd w:val="clear" w:color="auto" w:fill="EDEDED"/>
          </w:tcPr>
          <w:p>
            <w:r/>
            <w:r>
              <w:rPr>
                <w:b/>
                <w:sz w:val="18"/>
              </w:rPr>
              <w:t>Details</w:t>
            </w:r>
          </w:p>
        </w:tc>
      </w:tr>
      <w:tr>
        <w:tc>
          <w:tcPr>
            <w:tcW w:type="dxa" w:w="2160"/>
          </w:tcPr>
          <w:p>
            <w:r/>
            <w:r>
              <w:rPr>
                <w:sz w:val="18"/>
              </w:rPr>
              <w:t>Primary data</w:t>
            </w:r>
          </w:p>
        </w:tc>
        <w:tc>
          <w:tcPr>
            <w:tcW w:type="dxa" w:w="8064"/>
          </w:tcPr>
          <w:p>
            <w:r/>
            <w:r>
              <w:rPr>
                <w:sz w:val="18"/>
              </w:rPr>
              <w:t>Public de-identification corpora, such as the 2014 i2b2/UTHealth corpus under its data use agreement, plus a synthetic corpus of Philippine-context contact center notes written and annotated by the group</w:t>
            </w:r>
          </w:p>
        </w:tc>
      </w:tr>
      <w:tr>
        <w:tc>
          <w:tcPr>
            <w:tcW w:type="dxa" w:w="2160"/>
          </w:tcPr>
          <w:p>
            <w:r/>
            <w:r>
              <w:rPr>
                <w:sz w:val="18"/>
              </w:rPr>
              <w:t>Partner status</w:t>
            </w:r>
          </w:p>
        </w:tc>
        <w:tc>
          <w:tcPr>
            <w:tcW w:type="dxa" w:w="8064"/>
          </w:tcPr>
          <w:p>
            <w:r/>
            <w:r>
              <w:rPr>
                <w:sz w:val="18"/>
              </w:rPr>
              <w:t>The proposal letter was sent through a classmate's contact in Transcom human resources. A reply is pending. Transcom is asked only for an introduction and optional evaluation on its own side.</w:t>
            </w:r>
          </w:p>
        </w:tc>
      </w:tr>
      <w:tr>
        <w:tc>
          <w:tcPr>
            <w:tcW w:type="dxa" w:w="2160"/>
          </w:tcPr>
          <w:p>
            <w:r/>
            <w:r>
              <w:rPr>
                <w:sz w:val="18"/>
              </w:rPr>
              <w:t>Volume</w:t>
            </w:r>
          </w:p>
        </w:tc>
        <w:tc>
          <w:tcPr>
            <w:tcW w:type="dxa" w:w="8064"/>
          </w:tcPr>
          <w:p>
            <w:r/>
            <w:r>
              <w:rPr>
                <w:sz w:val="18"/>
              </w:rPr>
              <w:t>At least 20,000 annotated spans</w:t>
            </w:r>
          </w:p>
        </w:tc>
      </w:tr>
      <w:tr>
        <w:tc>
          <w:tcPr>
            <w:tcW w:type="dxa" w:w="2160"/>
          </w:tcPr>
          <w:p>
            <w:r/>
            <w:r>
              <w:rPr>
                <w:sz w:val="18"/>
              </w:rPr>
              <w:t>Open question</w:t>
            </w:r>
          </w:p>
        </w:tc>
        <w:tc>
          <w:tcPr>
            <w:tcW w:type="dxa" w:w="8064"/>
          </w:tcPr>
          <w:p>
            <w:r/>
            <w:r>
              <w:rPr>
                <w:sz w:val="18"/>
                <w:highlight w:val="yellow"/>
              </w:rPr>
              <w:t>[Ask Ma'am whether synthetic records count toward the 10,000-record floor. The design depends on it.]</w:t>
            </w:r>
          </w:p>
        </w:tc>
      </w:tr>
    </w:tbl>
    <w:p>
      <w:pPr>
        <w:spacing w:after="40"/>
      </w:pPr>
    </w:p>
    <w:p>
      <w:pPr>
        <w:keepNext/>
        <w:spacing w:before="160" w:after="80"/>
      </w:pPr>
      <w:r>
        <w:rPr>
          <w:b/>
          <w:sz w:val="22"/>
        </w:rPr>
        <w:t>3.3 Proposed Algorithm</w:t>
      </w:r>
    </w:p>
    <w:p>
      <w:pPr>
        <w:spacing w:after="120"/>
        <w:jc w:val="both"/>
      </w:pPr>
      <w:r>
        <w:t>A token-level Conditional Random Field and a character-level Conditional Random Field each label spans of personal data, using word shape, prefix and suffix, dictionary, and Tagalog-aware features from calamanCy. A rule layer detects strongly patterned identifiers. Outputs are merged by rules, following the design of Liu et al. (2015). A neural baseline is trained for comparison.</w:t>
      </w:r>
    </w:p>
    <w:p>
      <w:pPr>
        <w:keepNext/>
        <w:spacing w:before="160" w:after="80"/>
      </w:pPr>
      <w:r>
        <w:rPr>
          <w:b/>
          <w:sz w:val="22"/>
        </w:rPr>
        <w:t>3.4 System Architecture and Tools</w:t>
      </w:r>
    </w:p>
    <w:p>
      <w:pPr>
        <w:spacing w:after="120"/>
        <w:jc w:val="both"/>
      </w:pPr>
      <w:r>
        <w:t>Note import, then tokenisation, then feature extraction, then the CRF and rule detectors, then merging, then redaction with typed placeholders, then the review queue, then the audit trail and governance dashboard. The stack is Python with sklearn-crfsuite, spaCy with calamanCy, SQLite for the audit log, and Streamlit for the dashboard.</w:t>
      </w:r>
    </w:p>
    <w:p>
      <w:pPr>
        <w:keepNext/>
        <w:spacing w:before="160" w:after="80"/>
      </w:pPr>
      <w:r>
        <w:rPr>
          <w:b/>
          <w:sz w:val="22"/>
        </w:rPr>
        <w:t>3.5 Evaluation Metrics</w:t>
      </w:r>
    </w:p>
    <w:p>
      <w:pPr>
        <w:spacing w:after="120"/>
        <w:jc w:val="both"/>
      </w:pPr>
      <w:r>
        <w:t>Precision, recall, and F1 per entity type under token, strict, and relaxed matching, following the i2b2 evaluation. Recall is weighted most heavily, because a missed identifier is a privacy exposure. Annotation agreement on the synthetic corpus is measured with Cohen's kappa.</w:t>
      </w:r>
    </w:p>
    <w:p>
      <w:pPr>
        <w:keepNext/>
        <w:spacing w:before="160" w:after="80"/>
      </w:pPr>
      <w:r>
        <w:rPr>
          <w:b/>
          <w:sz w:val="22"/>
        </w:rPr>
        <w:t>3.6 Ethical Considerations</w:t>
      </w:r>
    </w:p>
    <w:p>
      <w:pPr>
        <w:spacing w:after="120"/>
        <w:jc w:val="both"/>
      </w:pPr>
      <w:r>
        <w:t>The study targets an Exempt classification by never receiving live personal data. Synthetic notes contain invented identifiers only. Any evaluation on real notes runs on Transcom's systems, and only aggregate scores are returned. The system does not monitor agents. The group keeps the right to publish the method and aggregate findings.</w:t>
      </w:r>
    </w:p>
    <w:p>
      <w:pPr>
        <w:keepNext/>
        <w:spacing w:before="160" w:after="80"/>
      </w:pPr>
      <w:r>
        <w:rPr>
          <w:b/>
          <w:sz w:val="22"/>
        </w:rPr>
        <w:t>3.7 Feasibility Score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3168"/>
            <w:shd w:val="clear" w:color="auto" w:fill="EDEDED"/>
          </w:tcPr>
          <w:p>
            <w:r/>
            <w:r>
              <w:rPr>
                <w:b/>
                <w:sz w:val="18"/>
              </w:rPr>
              <w:t>Criterion</w:t>
            </w:r>
          </w:p>
        </w:tc>
        <w:tc>
          <w:tcPr>
            <w:tcW w:type="dxa" w:w="864"/>
            <w:shd w:val="clear" w:color="auto" w:fill="EDEDED"/>
          </w:tcPr>
          <w:p>
            <w:r/>
            <w:r>
              <w:rPr>
                <w:b/>
                <w:sz w:val="18"/>
              </w:rPr>
              <w:t>Score</w:t>
            </w:r>
          </w:p>
        </w:tc>
        <w:tc>
          <w:tcPr>
            <w:tcW w:type="dxa" w:w="6192"/>
            <w:shd w:val="clear" w:color="auto" w:fill="EDEDED"/>
          </w:tcPr>
          <w:p>
            <w:r/>
            <w:r>
              <w:rPr>
                <w:b/>
                <w:sz w:val="18"/>
              </w:rPr>
              <w:t>Basis</w:t>
            </w:r>
          </w:p>
        </w:tc>
      </w:tr>
      <w:tr>
        <w:tc>
          <w:tcPr>
            <w:tcW w:type="dxa" w:w="3168"/>
          </w:tcPr>
          <w:p>
            <w:r/>
            <w:r>
              <w:rPr>
                <w:sz w:val="18"/>
              </w:rPr>
              <w:t>Technical and technology feasibility</w:t>
            </w:r>
          </w:p>
        </w:tc>
        <w:tc>
          <w:tcPr>
            <w:tcW w:type="dxa" w:w="864"/>
          </w:tcPr>
          <w:p>
            <w:r/>
            <w:r>
              <w:rPr>
                <w:sz w:val="18"/>
              </w:rPr>
              <w:t>4</w:t>
            </w:r>
          </w:p>
        </w:tc>
        <w:tc>
          <w:tcPr>
            <w:tcW w:type="dxa" w:w="6192"/>
          </w:tcPr>
          <w:p>
            <w:r/>
            <w:r>
              <w:rPr>
                <w:sz w:val="18"/>
              </w:rPr>
              <w:t>Mature CRF libraries; runs without a GPU</w:t>
            </w:r>
          </w:p>
        </w:tc>
      </w:tr>
      <w:tr>
        <w:tc>
          <w:tcPr>
            <w:tcW w:type="dxa" w:w="3168"/>
          </w:tcPr>
          <w:p>
            <w:r/>
            <w:r>
              <w:rPr>
                <w:sz w:val="18"/>
              </w:rPr>
              <w:t>Dataset and data feasibility</w:t>
            </w:r>
          </w:p>
        </w:tc>
        <w:tc>
          <w:tcPr>
            <w:tcW w:type="dxa" w:w="864"/>
          </w:tcPr>
          <w:p>
            <w:r/>
            <w:r>
              <w:rPr>
                <w:sz w:val="18"/>
              </w:rPr>
              <w:t>3</w:t>
            </w:r>
          </w:p>
        </w:tc>
        <w:tc>
          <w:tcPr>
            <w:tcW w:type="dxa" w:w="6192"/>
          </w:tcPr>
          <w:p>
            <w:r/>
            <w:r>
              <w:rPr>
                <w:sz w:val="18"/>
              </w:rPr>
              <w:t>Public and synthetic data are in the group's control, but the synthetic-record ruling is pending</w:t>
            </w:r>
          </w:p>
        </w:tc>
      </w:tr>
      <w:tr>
        <w:tc>
          <w:tcPr>
            <w:tcW w:type="dxa" w:w="3168"/>
          </w:tcPr>
          <w:p>
            <w:r/>
            <w:r>
              <w:rPr>
                <w:sz w:val="18"/>
              </w:rPr>
              <w:t>Algorithm or model feasibility</w:t>
            </w:r>
          </w:p>
        </w:tc>
        <w:tc>
          <w:tcPr>
            <w:tcW w:type="dxa" w:w="864"/>
          </w:tcPr>
          <w:p>
            <w:r/>
            <w:r>
              <w:rPr>
                <w:sz w:val="18"/>
              </w:rPr>
              <w:t>5</w:t>
            </w:r>
          </w:p>
        </w:tc>
        <w:tc>
          <w:tcPr>
            <w:tcW w:type="dxa" w:w="6192"/>
          </w:tcPr>
          <w:p>
            <w:r/>
            <w:r>
              <w:rPr>
                <w:sz w:val="18"/>
              </w:rPr>
              <w:t>Published benchmark and a template design</w:t>
            </w:r>
          </w:p>
        </w:tc>
      </w:tr>
      <w:tr>
        <w:tc>
          <w:tcPr>
            <w:tcW w:type="dxa" w:w="3168"/>
          </w:tcPr>
          <w:p>
            <w:r/>
            <w:r>
              <w:rPr>
                <w:sz w:val="18"/>
              </w:rPr>
              <w:t>Operational feasibility</w:t>
            </w:r>
          </w:p>
        </w:tc>
        <w:tc>
          <w:tcPr>
            <w:tcW w:type="dxa" w:w="864"/>
          </w:tcPr>
          <w:p>
            <w:r/>
            <w:r>
              <w:rPr>
                <w:sz w:val="18"/>
              </w:rPr>
              <w:t>3</w:t>
            </w:r>
          </w:p>
        </w:tc>
        <w:tc>
          <w:tcPr>
            <w:tcW w:type="dxa" w:w="6192"/>
          </w:tcPr>
          <w:p>
            <w:r/>
            <w:r>
              <w:rPr>
                <w:sz w:val="18"/>
              </w:rPr>
              <w:t>Partner involvement is optional</w:t>
            </w:r>
          </w:p>
        </w:tc>
      </w:tr>
      <w:tr>
        <w:tc>
          <w:tcPr>
            <w:tcW w:type="dxa" w:w="3168"/>
          </w:tcPr>
          <w:p>
            <w:r/>
            <w:r>
              <w:rPr>
                <w:sz w:val="18"/>
              </w:rPr>
              <w:t>Economic feasibility</w:t>
            </w:r>
          </w:p>
        </w:tc>
        <w:tc>
          <w:tcPr>
            <w:tcW w:type="dxa" w:w="864"/>
          </w:tcPr>
          <w:p>
            <w:r/>
            <w:r>
              <w:rPr>
                <w:sz w:val="18"/>
              </w:rPr>
              <w:t>5</w:t>
            </w:r>
          </w:p>
        </w:tc>
        <w:tc>
          <w:tcPr>
            <w:tcW w:type="dxa" w:w="6192"/>
          </w:tcPr>
          <w:p>
            <w:r/>
            <w:r>
              <w:rPr>
                <w:sz w:val="18"/>
              </w:rPr>
              <w:t>No paid tools</w:t>
            </w:r>
          </w:p>
        </w:tc>
      </w:tr>
      <w:tr>
        <w:tc>
          <w:tcPr>
            <w:tcW w:type="dxa" w:w="3168"/>
          </w:tcPr>
          <w:p>
            <w:r/>
            <w:r>
              <w:rPr>
                <w:sz w:val="18"/>
              </w:rPr>
              <w:t>Schedule feasibility</w:t>
            </w:r>
          </w:p>
        </w:tc>
        <w:tc>
          <w:tcPr>
            <w:tcW w:type="dxa" w:w="864"/>
          </w:tcPr>
          <w:p>
            <w:r/>
            <w:r>
              <w:rPr>
                <w:sz w:val="18"/>
              </w:rPr>
              <w:t>4</w:t>
            </w:r>
          </w:p>
        </w:tc>
        <w:tc>
          <w:tcPr>
            <w:tcW w:type="dxa" w:w="6192"/>
          </w:tcPr>
          <w:p>
            <w:r/>
            <w:r>
              <w:rPr>
                <w:sz w:val="18"/>
              </w:rPr>
              <w:t>Little waiting on outside parties</w:t>
            </w:r>
          </w:p>
        </w:tc>
      </w:tr>
      <w:tr>
        <w:tc>
          <w:tcPr>
            <w:tcW w:type="dxa" w:w="3168"/>
          </w:tcPr>
          <w:p>
            <w:r/>
            <w:r>
              <w:rPr>
                <w:sz w:val="18"/>
              </w:rPr>
              <w:t>Legal and ethical feasibility</w:t>
            </w:r>
          </w:p>
        </w:tc>
        <w:tc>
          <w:tcPr>
            <w:tcW w:type="dxa" w:w="864"/>
          </w:tcPr>
          <w:p>
            <w:r/>
            <w:r>
              <w:rPr>
                <w:sz w:val="18"/>
              </w:rPr>
              <w:t>5</w:t>
            </w:r>
          </w:p>
        </w:tc>
        <w:tc>
          <w:tcPr>
            <w:tcW w:type="dxa" w:w="6192"/>
          </w:tcPr>
          <w:p>
            <w:r/>
            <w:r>
              <w:rPr>
                <w:sz w:val="18"/>
              </w:rPr>
              <w:t>No live personal data received</w:t>
            </w:r>
          </w:p>
        </w:tc>
      </w:tr>
      <w:tr>
        <w:tc>
          <w:tcPr>
            <w:tcW w:type="dxa" w:w="3168"/>
          </w:tcPr>
          <w:p>
            <w:r/>
            <w:r>
              <w:rPr>
                <w:sz w:val="18"/>
              </w:rPr>
              <w:t>Risk manageability</w:t>
            </w:r>
          </w:p>
        </w:tc>
        <w:tc>
          <w:tcPr>
            <w:tcW w:type="dxa" w:w="864"/>
          </w:tcPr>
          <w:p>
            <w:r/>
            <w:r>
              <w:rPr>
                <w:sz w:val="18"/>
              </w:rPr>
              <w:t>4</w:t>
            </w:r>
          </w:p>
        </w:tc>
        <w:tc>
          <w:tcPr>
            <w:tcW w:type="dxa" w:w="6192"/>
          </w:tcPr>
          <w:p>
            <w:r/>
            <w:r>
              <w:rPr>
                <w:sz w:val="18"/>
              </w:rPr>
              <w:t>Main risk is the synthetic-data ruling</w:t>
            </w:r>
          </w:p>
        </w:tc>
      </w:tr>
      <w:tr>
        <w:tc>
          <w:tcPr>
            <w:tcW w:type="dxa" w:w="3168"/>
          </w:tcPr>
          <w:p>
            <w:r/>
            <w:r>
              <w:rPr>
                <w:b/>
                <w:sz w:val="18"/>
              </w:rPr>
              <w:t>Total score</w:t>
            </w:r>
          </w:p>
        </w:tc>
        <w:tc>
          <w:tcPr>
            <w:tcW w:type="dxa" w:w="864"/>
          </w:tcPr>
          <w:p>
            <w:r/>
            <w:r>
              <w:rPr>
                <w:b/>
                <w:sz w:val="18"/>
              </w:rPr>
              <w:t>33/40</w:t>
            </w:r>
          </w:p>
        </w:tc>
        <w:tc>
          <w:tcPr>
            <w:tcW w:type="dxa" w:w="6192"/>
          </w:tcPr>
          <w:p>
            <w:r/>
          </w:p>
        </w:tc>
      </w:tr>
      <w:tr>
        <w:tc>
          <w:tcPr>
            <w:tcW w:type="dxa" w:w="3168"/>
          </w:tcPr>
          <w:p>
            <w:r/>
            <w:r>
              <w:rPr>
                <w:b/>
                <w:sz w:val="18"/>
              </w:rPr>
              <w:t>Proposed group ranking</w:t>
            </w:r>
          </w:p>
        </w:tc>
        <w:tc>
          <w:tcPr>
            <w:tcW w:type="dxa" w:w="864"/>
          </w:tcPr>
          <w:p>
            <w:r/>
            <w:r>
              <w:rPr>
                <w:sz w:val="18"/>
                <w:highlight w:val="yellow"/>
              </w:rPr>
              <w:t>[confirm]</w:t>
            </w:r>
          </w:p>
        </w:tc>
        <w:tc>
          <w:tcPr>
            <w:tcW w:type="dxa" w:w="6192"/>
          </w:tcPr>
          <w:p>
            <w:r/>
            <w:r>
              <w:rPr>
                <w:sz w:val="18"/>
              </w:rPr>
              <w:t>See the Summary of the Top Five Titles</w:t>
            </w:r>
          </w:p>
        </w:tc>
      </w:tr>
    </w:tbl>
    <w:p>
      <w:pPr>
        <w:spacing w:after="40"/>
      </w:pPr>
    </w:p>
    <w:p>
      <w:pPr>
        <w:keepNext/>
        <w:spacing w:before="160" w:after="80"/>
      </w:pPr>
      <w:r>
        <w:rPr>
          <w:b/>
          <w:sz w:val="22"/>
        </w:rPr>
        <w:t>References</w:t>
      </w:r>
    </w:p>
    <w:p>
      <w:pPr>
        <w:spacing w:after="60"/>
        <w:ind w:left="576" w:hanging="576"/>
        <w:jc w:val="left"/>
      </w:pPr>
      <w:r>
        <w:t>Dernoncourt, F., Lee, J. Y., Uzuner, O., &amp; Szolovits, P. (2017). De-identification of patient notes with recurrent neural networks. Journal of the American Medical Informatics Association, 24(3), 596–606. https://doi.org/10.1093/jamia/ocw156</w:t>
      </w:r>
    </w:p>
    <w:p>
      <w:pPr>
        <w:spacing w:after="60"/>
        <w:ind w:left="576" w:hanging="576"/>
        <w:jc w:val="left"/>
      </w:pPr>
      <w:r>
        <w:t>Kocaman, V., et al. (2025). Can zero-shot commercial APIs deliver regulatory-grade clinical text de-identification? arXiv. https://arxiv.org/abs/2503.20794</w:t>
      </w:r>
    </w:p>
    <w:p>
      <w:pPr>
        <w:spacing w:after="60"/>
        <w:ind w:left="576" w:hanging="576"/>
        <w:jc w:val="left"/>
      </w:pPr>
      <w:r>
        <w:t>Liu, Z., Chen, Y., Tang, B., Wang, X., Chen, Q., Li, H., et al. (2015). Automatic de-identification of electronic medical records using token-level and character-level conditional random fields. Journal of Biomedical Informatics, 58, S47–S52. https://doi.org/10.1016/j.jbi.2015.06.009</w:t>
      </w:r>
    </w:p>
    <w:p>
      <w:pPr>
        <w:spacing w:after="60"/>
        <w:ind w:left="576" w:hanging="576"/>
        <w:jc w:val="left"/>
      </w:pPr>
      <w:r>
        <w:t>Meystre, S. M., Friedlin, F. J., South, B. R., Shen, S., &amp; Samore, M. H. (2010). Automatic de-identification of textual documents in the electronic health record: A review of recent research. BMC Medical Research Methodology, 10, 70. https://doi.org/10.1186/1471-2288-10-70</w:t>
      </w:r>
    </w:p>
    <w:p>
      <w:pPr>
        <w:spacing w:after="60"/>
        <w:ind w:left="576" w:hanging="576"/>
        <w:jc w:val="left"/>
      </w:pPr>
      <w:r>
        <w:t>Miranda, L. J. V. (2023a). calamanCy: A Tagalog natural language processing toolkit. arXiv. https://arxiv.org/abs/2311.07171</w:t>
      </w:r>
    </w:p>
    <w:p>
      <w:pPr>
        <w:spacing w:after="60"/>
        <w:ind w:left="576" w:hanging="576"/>
        <w:jc w:val="left"/>
      </w:pPr>
      <w:r>
        <w:t>Miranda, L. J. V. (2023b). Developing a named entity recognition dataset for Tagalog. arXiv. https://arxiv.org/abs/2311.07161</w:t>
      </w:r>
    </w:p>
    <w:p>
      <w:pPr>
        <w:spacing w:after="60"/>
        <w:ind w:left="576" w:hanging="576"/>
        <w:jc w:val="left"/>
      </w:pPr>
      <w:r>
        <w:t>National Privacy Commission. (2016). NPC Circular No. 16-03: Personal data breach management. https://privacy.gov.ph/wp-content/uploads/2022/01/sgd-npc-circular-16-03-personal-data-breach-management.pdf</w:t>
      </w:r>
    </w:p>
    <w:p>
      <w:pPr>
        <w:spacing w:after="60"/>
        <w:ind w:left="576" w:hanging="576"/>
        <w:jc w:val="left"/>
      </w:pPr>
      <w:r>
        <w:t>Republic Act No. 10173. (2012). Data Privacy Act of 2012. https://lawphil.net/statutes/repacts/ra2012/ra_10173_2012.html</w:t>
      </w:r>
    </w:p>
    <w:p>
      <w:pPr>
        <w:spacing w:after="60"/>
        <w:ind w:left="576" w:hanging="576"/>
        <w:jc w:val="left"/>
      </w:pPr>
      <w:r>
        <w:t>Stubbs, A., Kotfila, C., &amp; Uzuner, Ö. (2015). Automated systems for the de-identification of longitudinal clinical narratives: Overview of 2014 i2b2/UTHealth shared task Track 1. Journal of Biomedical Informatics, 58, S11–S19. https://doi.org/10.1016/j.jbi.2015.06.007</w:t>
      </w:r>
    </w:p>
    <w:p>
      <w:pPr>
        <w:spacing w:after="60"/>
        <w:ind w:left="576" w:hanging="576"/>
        <w:jc w:val="left"/>
      </w:pPr>
      <w:r>
        <w:t>Stubbs, A., &amp; Uzuner, Ö. (2015). Annotating longitudinal clinical narratives for de-identification: The 2014 i2b2/UTHealth corpus. Journal of Biomedical Informatics, 58, S20–S29. https://doi.org/10.1016/j.jbi.2015.07.020</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SUMMARY OF THE TOP FIVE TITLES</w:t>
            </w:r>
          </w:p>
          <w:p>
            <w:r>
              <w:rPr>
                <w:color w:val="E0E0E0"/>
                <w:sz w:val="18"/>
              </w:rPr>
              <w:t>Comparison, ranking, and conclusion</w:t>
            </w:r>
          </w:p>
        </w:tc>
      </w:tr>
    </w:tbl>
    <w:p>
      <w:pPr>
        <w:spacing w:after="40"/>
      </w:pPr>
    </w:p>
    <w:p>
      <w:pPr>
        <w:spacing w:after="120"/>
        <w:jc w:val="both"/>
      </w:pPr>
      <w:r>
        <w:t xml:space="preserve">Scores use the Technical Assessment 1 scale of 1 to 5 per criterion, where 5 is highly feasible. </w:t>
      </w:r>
      <w:r>
        <w:rPr>
          <w:highlight w:val="yellow"/>
        </w:rPr>
        <w:t>[These scores and the ranking are a proposal for the group to confirm, not a final decision.]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61"/>
        <w:gridCol w:w="1461"/>
        <w:gridCol w:w="1461"/>
        <w:gridCol w:w="1461"/>
        <w:gridCol w:w="1461"/>
        <w:gridCol w:w="1461"/>
        <w:gridCol w:w="1461"/>
      </w:tblGrid>
      <w:tr>
        <w:tc>
          <w:tcPr>
            <w:tcW w:type="dxa" w:w="2160"/>
            <w:shd w:val="clear" w:color="auto" w:fill="EDEDED"/>
          </w:tcPr>
          <w:p>
            <w:r/>
            <w:r>
              <w:rPr>
                <w:b/>
                <w:sz w:val="18"/>
              </w:rPr>
              <w:t>Criterion</w:t>
            </w:r>
          </w:p>
        </w:tc>
        <w:tc>
          <w:tcPr>
            <w:tcW w:type="dxa" w:w="1224"/>
            <w:shd w:val="clear" w:color="auto" w:fill="EDEDED"/>
          </w:tcPr>
          <w:p>
            <w:r/>
            <w:r>
              <w:rPr>
                <w:b/>
                <w:sz w:val="18"/>
              </w:rPr>
              <w:t>T1 Benguet</w:t>
            </w:r>
          </w:p>
        </w:tc>
        <w:tc>
          <w:tcPr>
            <w:tcW w:type="dxa" w:w="1368"/>
            <w:shd w:val="clear" w:color="auto" w:fill="EDEDED"/>
          </w:tcPr>
          <w:p>
            <w:r/>
            <w:r>
              <w:rPr>
                <w:b/>
                <w:sz w:val="18"/>
              </w:rPr>
              <w:t>T2 SM Foundation</w:t>
            </w:r>
          </w:p>
        </w:tc>
        <w:tc>
          <w:tcPr>
            <w:tcW w:type="dxa" w:w="1080"/>
            <w:shd w:val="clear" w:color="auto" w:fill="EDEDED"/>
          </w:tcPr>
          <w:p>
            <w:r/>
            <w:r>
              <w:rPr>
                <w:b/>
                <w:sz w:val="18"/>
              </w:rPr>
              <w:t>T3 QC</w:t>
            </w:r>
          </w:p>
        </w:tc>
        <w:tc>
          <w:tcPr>
            <w:tcW w:type="dxa" w:w="1368"/>
            <w:shd w:val="clear" w:color="auto" w:fill="EDEDED"/>
          </w:tcPr>
          <w:p>
            <w:r/>
            <w:r>
              <w:rPr>
                <w:b/>
                <w:sz w:val="18"/>
              </w:rPr>
              <w:t>T4 Health Center</w:t>
            </w:r>
          </w:p>
        </w:tc>
        <w:tc>
          <w:tcPr>
            <w:tcW w:type="dxa" w:w="1368"/>
            <w:shd w:val="clear" w:color="auto" w:fill="EDEDED"/>
          </w:tcPr>
          <w:p>
            <w:r/>
            <w:r>
              <w:rPr>
                <w:b/>
                <w:sz w:val="18"/>
              </w:rPr>
              <w:t>T5 Perishables</w:t>
            </w:r>
          </w:p>
        </w:tc>
        <w:tc>
          <w:tcPr>
            <w:tcW w:type="dxa" w:w="1224"/>
            <w:shd w:val="clear" w:color="auto" w:fill="EDEDED"/>
          </w:tcPr>
          <w:p>
            <w:r/>
            <w:r>
              <w:rPr>
                <w:b/>
                <w:sz w:val="18"/>
              </w:rPr>
              <w:t>T6 Transcom</w:t>
            </w:r>
          </w:p>
        </w:tc>
      </w:tr>
      <w:tr>
        <w:tc>
          <w:tcPr>
            <w:tcW w:type="dxa" w:w="2160"/>
          </w:tcPr>
          <w:p>
            <w:r/>
            <w:r>
              <w:rPr>
                <w:sz w:val="18"/>
              </w:rPr>
              <w:t>Technical and technology</w:t>
            </w:r>
          </w:p>
        </w:tc>
        <w:tc>
          <w:tcPr>
            <w:tcW w:type="dxa" w:w="1224"/>
          </w:tcPr>
          <w:p>
            <w:r/>
            <w:r>
              <w:rPr>
                <w:sz w:val="18"/>
              </w:rPr>
              <w:t>4</w:t>
            </w:r>
          </w:p>
        </w:tc>
        <w:tc>
          <w:tcPr>
            <w:tcW w:type="dxa" w:w="1368"/>
          </w:tcPr>
          <w:p>
            <w:r/>
            <w:r>
              <w:rPr>
                <w:sz w:val="18"/>
              </w:rPr>
              <w:t>4</w:t>
            </w:r>
          </w:p>
        </w:tc>
        <w:tc>
          <w:tcPr>
            <w:tcW w:type="dxa" w:w="1080"/>
          </w:tcPr>
          <w:p>
            <w:r/>
            <w:r>
              <w:rPr>
                <w:sz w:val="18"/>
              </w:rPr>
              <w:t>4</w:t>
            </w:r>
          </w:p>
        </w:tc>
        <w:tc>
          <w:tcPr>
            <w:tcW w:type="dxa" w:w="1368"/>
          </w:tcPr>
          <w:p>
            <w:r/>
            <w:r>
              <w:rPr>
                <w:sz w:val="18"/>
              </w:rPr>
              <w:t>5</w:t>
            </w:r>
          </w:p>
        </w:tc>
        <w:tc>
          <w:tcPr>
            <w:tcW w:type="dxa" w:w="1368"/>
          </w:tcPr>
          <w:p>
            <w:r/>
            <w:r>
              <w:rPr>
                <w:sz w:val="18"/>
              </w:rPr>
              <w:t>5</w:t>
            </w:r>
          </w:p>
        </w:tc>
        <w:tc>
          <w:tcPr>
            <w:tcW w:type="dxa" w:w="1224"/>
          </w:tcPr>
          <w:p>
            <w:r/>
            <w:r>
              <w:rPr>
                <w:sz w:val="18"/>
              </w:rPr>
              <w:t>4</w:t>
            </w:r>
          </w:p>
        </w:tc>
      </w:tr>
      <w:tr>
        <w:tc>
          <w:tcPr>
            <w:tcW w:type="dxa" w:w="2160"/>
          </w:tcPr>
          <w:p>
            <w:r/>
            <w:r>
              <w:rPr>
                <w:sz w:val="18"/>
              </w:rPr>
              <w:t>Dataset and data</w:t>
            </w:r>
          </w:p>
        </w:tc>
        <w:tc>
          <w:tcPr>
            <w:tcW w:type="dxa" w:w="1224"/>
          </w:tcPr>
          <w:p>
            <w:r/>
            <w:r>
              <w:rPr>
                <w:sz w:val="18"/>
              </w:rPr>
              <w:t>4</w:t>
            </w:r>
          </w:p>
        </w:tc>
        <w:tc>
          <w:tcPr>
            <w:tcW w:type="dxa" w:w="1368"/>
          </w:tcPr>
          <w:p>
            <w:r/>
            <w:r>
              <w:rPr>
                <w:sz w:val="18"/>
              </w:rPr>
              <w:t>3</w:t>
            </w:r>
          </w:p>
        </w:tc>
        <w:tc>
          <w:tcPr>
            <w:tcW w:type="dxa" w:w="1080"/>
          </w:tcPr>
          <w:p>
            <w:r/>
            <w:r>
              <w:rPr>
                <w:sz w:val="18"/>
              </w:rPr>
              <w:t>3</w:t>
            </w:r>
          </w:p>
        </w:tc>
        <w:tc>
          <w:tcPr>
            <w:tcW w:type="dxa" w:w="1368"/>
          </w:tcPr>
          <w:p>
            <w:r/>
            <w:r>
              <w:rPr>
                <w:sz w:val="18"/>
              </w:rPr>
              <w:t>2</w:t>
            </w:r>
          </w:p>
        </w:tc>
        <w:tc>
          <w:tcPr>
            <w:tcW w:type="dxa" w:w="1368"/>
          </w:tcPr>
          <w:p>
            <w:r/>
            <w:r>
              <w:rPr>
                <w:sz w:val="18"/>
              </w:rPr>
              <w:t>3</w:t>
            </w:r>
          </w:p>
        </w:tc>
        <w:tc>
          <w:tcPr>
            <w:tcW w:type="dxa" w:w="1224"/>
          </w:tcPr>
          <w:p>
            <w:r/>
            <w:r>
              <w:rPr>
                <w:sz w:val="18"/>
              </w:rPr>
              <w:t>3</w:t>
            </w:r>
          </w:p>
        </w:tc>
      </w:tr>
      <w:tr>
        <w:tc>
          <w:tcPr>
            <w:tcW w:type="dxa" w:w="2160"/>
          </w:tcPr>
          <w:p>
            <w:r/>
            <w:r>
              <w:rPr>
                <w:sz w:val="18"/>
              </w:rPr>
              <w:t>Algorithm or model</w:t>
            </w:r>
          </w:p>
        </w:tc>
        <w:tc>
          <w:tcPr>
            <w:tcW w:type="dxa" w:w="1224"/>
          </w:tcPr>
          <w:p>
            <w:r/>
            <w:r>
              <w:rPr>
                <w:sz w:val="18"/>
              </w:rPr>
              <w:t>4</w:t>
            </w:r>
          </w:p>
        </w:tc>
        <w:tc>
          <w:tcPr>
            <w:tcW w:type="dxa" w:w="1368"/>
          </w:tcPr>
          <w:p>
            <w:r/>
            <w:r>
              <w:rPr>
                <w:sz w:val="18"/>
              </w:rPr>
              <w:t>5</w:t>
            </w:r>
          </w:p>
        </w:tc>
        <w:tc>
          <w:tcPr>
            <w:tcW w:type="dxa" w:w="1080"/>
          </w:tcPr>
          <w:p>
            <w:r/>
            <w:r>
              <w:rPr>
                <w:sz w:val="18"/>
              </w:rPr>
              <w:t>4</w:t>
            </w:r>
          </w:p>
        </w:tc>
        <w:tc>
          <w:tcPr>
            <w:tcW w:type="dxa" w:w="1368"/>
          </w:tcPr>
          <w:p>
            <w:r/>
            <w:r>
              <w:rPr>
                <w:sz w:val="18"/>
              </w:rPr>
              <w:t>4</w:t>
            </w:r>
          </w:p>
        </w:tc>
        <w:tc>
          <w:tcPr>
            <w:tcW w:type="dxa" w:w="1368"/>
          </w:tcPr>
          <w:p>
            <w:r/>
            <w:r>
              <w:rPr>
                <w:sz w:val="18"/>
              </w:rPr>
              <w:t>4</w:t>
            </w:r>
          </w:p>
        </w:tc>
        <w:tc>
          <w:tcPr>
            <w:tcW w:type="dxa" w:w="1224"/>
          </w:tcPr>
          <w:p>
            <w:r/>
            <w:r>
              <w:rPr>
                <w:sz w:val="18"/>
              </w:rPr>
              <w:t>5</w:t>
            </w:r>
          </w:p>
        </w:tc>
      </w:tr>
      <w:tr>
        <w:tc>
          <w:tcPr>
            <w:tcW w:type="dxa" w:w="2160"/>
          </w:tcPr>
          <w:p>
            <w:r/>
            <w:r>
              <w:rPr>
                <w:sz w:val="18"/>
              </w:rPr>
              <w:t>Operational</w:t>
            </w:r>
          </w:p>
        </w:tc>
        <w:tc>
          <w:tcPr>
            <w:tcW w:type="dxa" w:w="1224"/>
          </w:tcPr>
          <w:p>
            <w:r/>
            <w:r>
              <w:rPr>
                <w:sz w:val="18"/>
              </w:rPr>
              <w:t>4</w:t>
            </w:r>
          </w:p>
        </w:tc>
        <w:tc>
          <w:tcPr>
            <w:tcW w:type="dxa" w:w="1368"/>
          </w:tcPr>
          <w:p>
            <w:r/>
            <w:r>
              <w:rPr>
                <w:sz w:val="18"/>
              </w:rPr>
              <w:t>4</w:t>
            </w:r>
          </w:p>
        </w:tc>
        <w:tc>
          <w:tcPr>
            <w:tcW w:type="dxa" w:w="1080"/>
          </w:tcPr>
          <w:p>
            <w:r/>
            <w:r>
              <w:rPr>
                <w:sz w:val="18"/>
              </w:rPr>
              <w:t>4</w:t>
            </w:r>
          </w:p>
        </w:tc>
        <w:tc>
          <w:tcPr>
            <w:tcW w:type="dxa" w:w="1368"/>
          </w:tcPr>
          <w:p>
            <w:r/>
            <w:r>
              <w:rPr>
                <w:sz w:val="18"/>
              </w:rPr>
              <w:t>3</w:t>
            </w:r>
          </w:p>
        </w:tc>
        <w:tc>
          <w:tcPr>
            <w:tcW w:type="dxa" w:w="1368"/>
          </w:tcPr>
          <w:p>
            <w:r/>
            <w:r>
              <w:rPr>
                <w:sz w:val="18"/>
              </w:rPr>
              <w:t>3</w:t>
            </w:r>
          </w:p>
        </w:tc>
        <w:tc>
          <w:tcPr>
            <w:tcW w:type="dxa" w:w="1224"/>
          </w:tcPr>
          <w:p>
            <w:r/>
            <w:r>
              <w:rPr>
                <w:sz w:val="18"/>
              </w:rPr>
              <w:t>3</w:t>
            </w:r>
          </w:p>
        </w:tc>
      </w:tr>
      <w:tr>
        <w:tc>
          <w:tcPr>
            <w:tcW w:type="dxa" w:w="2160"/>
          </w:tcPr>
          <w:p>
            <w:r/>
            <w:r>
              <w:rPr>
                <w:sz w:val="18"/>
              </w:rPr>
              <w:t>Economic</w:t>
            </w:r>
          </w:p>
        </w:tc>
        <w:tc>
          <w:tcPr>
            <w:tcW w:type="dxa" w:w="1224"/>
          </w:tcPr>
          <w:p>
            <w:r/>
            <w:r>
              <w:rPr>
                <w:sz w:val="18"/>
              </w:rPr>
              <w:t>4</w:t>
            </w:r>
          </w:p>
        </w:tc>
        <w:tc>
          <w:tcPr>
            <w:tcW w:type="dxa" w:w="1368"/>
          </w:tcPr>
          <w:p>
            <w:r/>
            <w:r>
              <w:rPr>
                <w:sz w:val="18"/>
              </w:rPr>
              <w:t>5</w:t>
            </w:r>
          </w:p>
        </w:tc>
        <w:tc>
          <w:tcPr>
            <w:tcW w:type="dxa" w:w="1080"/>
          </w:tcPr>
          <w:p>
            <w:r/>
            <w:r>
              <w:rPr>
                <w:sz w:val="18"/>
              </w:rPr>
              <w:t>5</w:t>
            </w:r>
          </w:p>
        </w:tc>
        <w:tc>
          <w:tcPr>
            <w:tcW w:type="dxa" w:w="1368"/>
          </w:tcPr>
          <w:p>
            <w:r/>
            <w:r>
              <w:rPr>
                <w:sz w:val="18"/>
              </w:rPr>
              <w:t>5</w:t>
            </w:r>
          </w:p>
        </w:tc>
        <w:tc>
          <w:tcPr>
            <w:tcW w:type="dxa" w:w="1368"/>
          </w:tcPr>
          <w:p>
            <w:r/>
            <w:r>
              <w:rPr>
                <w:sz w:val="18"/>
              </w:rPr>
              <w:t>5</w:t>
            </w:r>
          </w:p>
        </w:tc>
        <w:tc>
          <w:tcPr>
            <w:tcW w:type="dxa" w:w="1224"/>
          </w:tcPr>
          <w:p>
            <w:r/>
            <w:r>
              <w:rPr>
                <w:sz w:val="18"/>
              </w:rPr>
              <w:t>5</w:t>
            </w:r>
          </w:p>
        </w:tc>
      </w:tr>
      <w:tr>
        <w:tc>
          <w:tcPr>
            <w:tcW w:type="dxa" w:w="2160"/>
          </w:tcPr>
          <w:p>
            <w:r/>
            <w:r>
              <w:rPr>
                <w:sz w:val="18"/>
              </w:rPr>
              <w:t>Schedule</w:t>
            </w:r>
          </w:p>
        </w:tc>
        <w:tc>
          <w:tcPr>
            <w:tcW w:type="dxa" w:w="1224"/>
          </w:tcPr>
          <w:p>
            <w:r/>
            <w:r>
              <w:rPr>
                <w:sz w:val="18"/>
              </w:rPr>
              <w:t>3</w:t>
            </w:r>
          </w:p>
        </w:tc>
        <w:tc>
          <w:tcPr>
            <w:tcW w:type="dxa" w:w="1368"/>
          </w:tcPr>
          <w:p>
            <w:r/>
            <w:r>
              <w:rPr>
                <w:sz w:val="18"/>
              </w:rPr>
              <w:t>3</w:t>
            </w:r>
          </w:p>
        </w:tc>
        <w:tc>
          <w:tcPr>
            <w:tcW w:type="dxa" w:w="1080"/>
          </w:tcPr>
          <w:p>
            <w:r/>
            <w:r>
              <w:rPr>
                <w:sz w:val="18"/>
              </w:rPr>
              <w:t>3</w:t>
            </w:r>
          </w:p>
        </w:tc>
        <w:tc>
          <w:tcPr>
            <w:tcW w:type="dxa" w:w="1368"/>
          </w:tcPr>
          <w:p>
            <w:r/>
            <w:r>
              <w:rPr>
                <w:sz w:val="18"/>
              </w:rPr>
              <w:t>3</w:t>
            </w:r>
          </w:p>
        </w:tc>
        <w:tc>
          <w:tcPr>
            <w:tcW w:type="dxa" w:w="1368"/>
          </w:tcPr>
          <w:p>
            <w:r/>
            <w:r>
              <w:rPr>
                <w:sz w:val="18"/>
              </w:rPr>
              <w:t>4</w:t>
            </w:r>
          </w:p>
        </w:tc>
        <w:tc>
          <w:tcPr>
            <w:tcW w:type="dxa" w:w="1224"/>
          </w:tcPr>
          <w:p>
            <w:r/>
            <w:r>
              <w:rPr>
                <w:sz w:val="18"/>
              </w:rPr>
              <w:t>4</w:t>
            </w:r>
          </w:p>
        </w:tc>
      </w:tr>
      <w:tr>
        <w:tc>
          <w:tcPr>
            <w:tcW w:type="dxa" w:w="2160"/>
          </w:tcPr>
          <w:p>
            <w:r/>
            <w:r>
              <w:rPr>
                <w:sz w:val="18"/>
              </w:rPr>
              <w:t>Legal and ethical</w:t>
            </w:r>
          </w:p>
        </w:tc>
        <w:tc>
          <w:tcPr>
            <w:tcW w:type="dxa" w:w="1224"/>
          </w:tcPr>
          <w:p>
            <w:r/>
            <w:r>
              <w:rPr>
                <w:sz w:val="18"/>
              </w:rPr>
              <w:t>4</w:t>
            </w:r>
          </w:p>
        </w:tc>
        <w:tc>
          <w:tcPr>
            <w:tcW w:type="dxa" w:w="1368"/>
          </w:tcPr>
          <w:p>
            <w:r/>
            <w:r>
              <w:rPr>
                <w:sz w:val="18"/>
              </w:rPr>
              <w:t>4</w:t>
            </w:r>
          </w:p>
        </w:tc>
        <w:tc>
          <w:tcPr>
            <w:tcW w:type="dxa" w:w="1080"/>
          </w:tcPr>
          <w:p>
            <w:r/>
            <w:r>
              <w:rPr>
                <w:sz w:val="18"/>
              </w:rPr>
              <w:t>4</w:t>
            </w:r>
          </w:p>
        </w:tc>
        <w:tc>
          <w:tcPr>
            <w:tcW w:type="dxa" w:w="1368"/>
          </w:tcPr>
          <w:p>
            <w:r/>
            <w:r>
              <w:rPr>
                <w:sz w:val="18"/>
              </w:rPr>
              <w:t>2</w:t>
            </w:r>
          </w:p>
        </w:tc>
        <w:tc>
          <w:tcPr>
            <w:tcW w:type="dxa" w:w="1368"/>
          </w:tcPr>
          <w:p>
            <w:r/>
            <w:r>
              <w:rPr>
                <w:sz w:val="18"/>
              </w:rPr>
              <w:t>4</w:t>
            </w:r>
          </w:p>
        </w:tc>
        <w:tc>
          <w:tcPr>
            <w:tcW w:type="dxa" w:w="1224"/>
          </w:tcPr>
          <w:p>
            <w:r/>
            <w:r>
              <w:rPr>
                <w:sz w:val="18"/>
              </w:rPr>
              <w:t>5</w:t>
            </w:r>
          </w:p>
        </w:tc>
      </w:tr>
      <w:tr>
        <w:tc>
          <w:tcPr>
            <w:tcW w:type="dxa" w:w="2160"/>
          </w:tcPr>
          <w:p>
            <w:r/>
            <w:r>
              <w:rPr>
                <w:sz w:val="18"/>
              </w:rPr>
              <w:t>Risk manageability</w:t>
            </w:r>
          </w:p>
        </w:tc>
        <w:tc>
          <w:tcPr>
            <w:tcW w:type="dxa" w:w="1224"/>
          </w:tcPr>
          <w:p>
            <w:r/>
            <w:r>
              <w:rPr>
                <w:sz w:val="18"/>
              </w:rPr>
              <w:t>4</w:t>
            </w:r>
          </w:p>
        </w:tc>
        <w:tc>
          <w:tcPr>
            <w:tcW w:type="dxa" w:w="1368"/>
          </w:tcPr>
          <w:p>
            <w:r/>
            <w:r>
              <w:rPr>
                <w:sz w:val="18"/>
              </w:rPr>
              <w:t>4</w:t>
            </w:r>
          </w:p>
        </w:tc>
        <w:tc>
          <w:tcPr>
            <w:tcW w:type="dxa" w:w="1080"/>
          </w:tcPr>
          <w:p>
            <w:r/>
            <w:r>
              <w:rPr>
                <w:sz w:val="18"/>
              </w:rPr>
              <w:t>4</w:t>
            </w:r>
          </w:p>
        </w:tc>
        <w:tc>
          <w:tcPr>
            <w:tcW w:type="dxa" w:w="1368"/>
          </w:tcPr>
          <w:p>
            <w:r/>
            <w:r>
              <w:rPr>
                <w:sz w:val="18"/>
              </w:rPr>
              <w:t>3</w:t>
            </w:r>
          </w:p>
        </w:tc>
        <w:tc>
          <w:tcPr>
            <w:tcW w:type="dxa" w:w="1368"/>
          </w:tcPr>
          <w:p>
            <w:r/>
            <w:r>
              <w:rPr>
                <w:sz w:val="18"/>
              </w:rPr>
              <w:t>3</w:t>
            </w:r>
          </w:p>
        </w:tc>
        <w:tc>
          <w:tcPr>
            <w:tcW w:type="dxa" w:w="1224"/>
          </w:tcPr>
          <w:p>
            <w:r/>
            <w:r>
              <w:rPr>
                <w:sz w:val="18"/>
              </w:rPr>
              <w:t>4</w:t>
            </w:r>
          </w:p>
        </w:tc>
      </w:tr>
      <w:tr>
        <w:tc>
          <w:tcPr>
            <w:tcW w:type="dxa" w:w="2160"/>
          </w:tcPr>
          <w:p>
            <w:r/>
            <w:r>
              <w:rPr>
                <w:b/>
                <w:sz w:val="18"/>
              </w:rPr>
              <w:t>Total /40</w:t>
            </w:r>
          </w:p>
        </w:tc>
        <w:tc>
          <w:tcPr>
            <w:tcW w:type="dxa" w:w="1224"/>
          </w:tcPr>
          <w:p>
            <w:r/>
            <w:r>
              <w:rPr>
                <w:b/>
                <w:sz w:val="18"/>
              </w:rPr>
              <w:t>31</w:t>
            </w:r>
          </w:p>
        </w:tc>
        <w:tc>
          <w:tcPr>
            <w:tcW w:type="dxa" w:w="1368"/>
          </w:tcPr>
          <w:p>
            <w:r/>
            <w:r>
              <w:rPr>
                <w:b/>
                <w:sz w:val="18"/>
              </w:rPr>
              <w:t>32</w:t>
            </w:r>
          </w:p>
        </w:tc>
        <w:tc>
          <w:tcPr>
            <w:tcW w:type="dxa" w:w="1080"/>
          </w:tcPr>
          <w:p>
            <w:r/>
            <w:r>
              <w:rPr>
                <w:b/>
                <w:sz w:val="18"/>
              </w:rPr>
              <w:t>31</w:t>
            </w:r>
          </w:p>
        </w:tc>
        <w:tc>
          <w:tcPr>
            <w:tcW w:type="dxa" w:w="1368"/>
          </w:tcPr>
          <w:p>
            <w:r/>
            <w:r>
              <w:rPr>
                <w:b/>
                <w:sz w:val="18"/>
              </w:rPr>
              <w:t>27</w:t>
            </w:r>
          </w:p>
        </w:tc>
        <w:tc>
          <w:tcPr>
            <w:tcW w:type="dxa" w:w="1368"/>
          </w:tcPr>
          <w:p>
            <w:r/>
            <w:r>
              <w:rPr>
                <w:b/>
                <w:sz w:val="18"/>
              </w:rPr>
              <w:t>31</w:t>
            </w:r>
          </w:p>
        </w:tc>
        <w:tc>
          <w:tcPr>
            <w:tcW w:type="dxa" w:w="1224"/>
          </w:tcPr>
          <w:p>
            <w:r/>
            <w:r>
              <w:rPr>
                <w:b/>
                <w:sz w:val="18"/>
              </w:rPr>
              <w:t>33</w:t>
            </w:r>
          </w:p>
        </w:tc>
      </w:tr>
      <w:tr>
        <w:tc>
          <w:tcPr>
            <w:tcW w:type="dxa" w:w="2160"/>
          </w:tcPr>
          <w:p>
            <w:r/>
            <w:r>
              <w:rPr>
                <w:b/>
                <w:sz w:val="18"/>
              </w:rPr>
              <w:t>Proposed rank</w:t>
            </w:r>
          </w:p>
        </w:tc>
        <w:tc>
          <w:tcPr>
            <w:tcW w:type="dxa" w:w="1224"/>
          </w:tcPr>
          <w:p>
            <w:r/>
            <w:r>
              <w:rPr>
                <w:sz w:val="18"/>
              </w:rPr>
              <w:t>4</w:t>
            </w:r>
          </w:p>
        </w:tc>
        <w:tc>
          <w:tcPr>
            <w:tcW w:type="dxa" w:w="1368"/>
          </w:tcPr>
          <w:p>
            <w:r/>
            <w:r>
              <w:rPr>
                <w:sz w:val="18"/>
              </w:rPr>
              <w:t>2</w:t>
            </w:r>
          </w:p>
        </w:tc>
        <w:tc>
          <w:tcPr>
            <w:tcW w:type="dxa" w:w="1080"/>
          </w:tcPr>
          <w:p>
            <w:r/>
            <w:r>
              <w:rPr>
                <w:sz w:val="18"/>
              </w:rPr>
              <w:t>1</w:t>
            </w:r>
          </w:p>
        </w:tc>
        <w:tc>
          <w:tcPr>
            <w:tcW w:type="dxa" w:w="1368"/>
          </w:tcPr>
          <w:p>
            <w:r/>
            <w:r>
              <w:rPr>
                <w:sz w:val="18"/>
              </w:rPr>
              <w:t>Not in top five</w:t>
            </w:r>
          </w:p>
        </w:tc>
        <w:tc>
          <w:tcPr>
            <w:tcW w:type="dxa" w:w="1368"/>
          </w:tcPr>
          <w:p>
            <w:r/>
            <w:r>
              <w:rPr>
                <w:sz w:val="18"/>
              </w:rPr>
              <w:t>5</w:t>
            </w:r>
          </w:p>
        </w:tc>
        <w:tc>
          <w:tcPr>
            <w:tcW w:type="dxa" w:w="1224"/>
          </w:tcPr>
          <w:p>
            <w:r/>
            <w:r>
              <w:rPr>
                <w:sz w:val="18"/>
              </w:rPr>
              <w:t>3</w:t>
            </w:r>
          </w:p>
        </w:tc>
      </w:tr>
    </w:tbl>
    <w:p>
      <w:pPr>
        <w:spacing w:after="40"/>
      </w:pPr>
    </w:p>
    <w:p>
      <w:pPr>
        <w:keepNext/>
        <w:spacing w:before="160" w:after="80"/>
      </w:pPr>
      <w:r>
        <w:rPr>
          <w:b/>
          <w:sz w:val="22"/>
        </w:rPr>
        <w:t>Reading the Comparison</w:t>
      </w:r>
    </w:p>
    <w:p>
      <w:pPr>
        <w:spacing w:after="120"/>
        <w:jc w:val="both"/>
      </w:pPr>
      <w:r>
        <w:t>The spread is narrow, from 27 to 33, which shows that no title is unworkable. The titles lose points in the same place, dataset feasibility, because each depends on an institution releasing data or on a ruling about synthetic data. Title 6 scores highest because its core evaluation uses public and synthetic data the group already controls. Title 4 scores lowest because patient records are sensitive health data, no partner is confirmed, and full ethics review would be required.</w:t>
      </w:r>
    </w:p>
    <w:p>
      <w:pPr>
        <w:keepNext/>
        <w:spacing w:before="160" w:after="80"/>
      </w:pPr>
      <w:r>
        <w:rPr>
          <w:b/>
          <w:sz w:val="22"/>
        </w:rPr>
        <w:t>Why the Ranking Is Not Simply the Score Order</w:t>
      </w:r>
    </w:p>
    <w:p>
      <w:pPr>
        <w:spacing w:after="60"/>
        <w:jc w:val="both"/>
        <w:numPr>
          <w:ilvl w:val="0"/>
          <w:numId w:val="29"/>
        </w:numPr>
      </w:pPr>
      <w:r>
        <w:rPr>
          <w:b/>
        </w:rPr>
        <w:t>Title 3, Quezon City open data, is ranked first.</w:t>
      </w:r>
      <w:r>
        <w:t xml:space="preserve"> It is the direction the professor responded to most positively in Technical Assessment 1, conditional on securing the QC dataset. The letter has been sent, the city has a documented request channel, and the method survives on a fallback dataset if the city declines.</w:t>
      </w:r>
    </w:p>
    <w:p>
      <w:pPr>
        <w:spacing w:after="60"/>
        <w:jc w:val="both"/>
        <w:numPr>
          <w:ilvl w:val="0"/>
          <w:numId w:val="29"/>
        </w:numPr>
      </w:pPr>
      <w:r>
        <w:rPr>
          <w:b/>
        </w:rPr>
        <w:t>Title 2, SM Foundation, is ranked second.</w:t>
      </w:r>
      <w:r>
        <w:t xml:space="preserve"> It is the only title where the partner invited the proposal. The Foundation is both the data owner and the user, and the problem of inconsistent published totals is concrete and verifiable.</w:t>
      </w:r>
    </w:p>
    <w:p>
      <w:pPr>
        <w:spacing w:after="60"/>
        <w:jc w:val="both"/>
        <w:numPr>
          <w:ilvl w:val="0"/>
          <w:numId w:val="29"/>
        </w:numPr>
      </w:pPr>
      <w:r>
        <w:rPr>
          <w:b/>
        </w:rPr>
        <w:t>Title 6, Transcom, is ranked third</w:t>
      </w:r>
      <w:r>
        <w:t xml:space="preserve"> despite the highest score, because its data design depends on a ruling not yet made: whether synthetic records count toward the 10,000-record floor.</w:t>
      </w:r>
    </w:p>
    <w:p>
      <w:pPr>
        <w:spacing w:after="60"/>
        <w:jc w:val="both"/>
        <w:numPr>
          <w:ilvl w:val="0"/>
          <w:numId w:val="29"/>
        </w:numPr>
      </w:pPr>
      <w:r>
        <w:rPr>
          <w:b/>
        </w:rPr>
        <w:t>Title 1, Benguet, is ranked fourth.</w:t>
      </w:r>
      <w:r>
        <w:t xml:space="preserve"> BAPTC has acknowledged the request and an update is pending. The full price and supply-glut scope depends on BAPTC trading-volume records, with Bantay Presyo bulletins as the secondary source.</w:t>
      </w:r>
    </w:p>
    <w:p>
      <w:pPr>
        <w:spacing w:after="60"/>
        <w:jc w:val="both"/>
        <w:numPr>
          <w:ilvl w:val="0"/>
          <w:numId w:val="29"/>
        </w:numPr>
      </w:pPr>
      <w:r>
        <w:rPr>
          <w:b/>
        </w:rPr>
        <w:t>Title 5, perishable retail, is ranked fifth.</w:t>
      </w:r>
      <w:r>
        <w:t xml:space="preserve"> It is feasible and low cost, but it still has no partner or named dataset, and it needs more sources to answer the Technical Assessment 1 feedback that it was too common.</w:t>
      </w:r>
    </w:p>
    <w:p>
      <w:pPr>
        <w:spacing w:after="60"/>
        <w:jc w:val="both"/>
        <w:numPr>
          <w:ilvl w:val="0"/>
          <w:numId w:val="29"/>
        </w:numPr>
      </w:pPr>
      <w:r>
        <w:rPr>
          <w:b/>
        </w:rPr>
        <w:t>Title 4, the barangay health center, is not in the top five</w:t>
      </w:r>
      <w:r>
        <w:t xml:space="preserve"> at this stage. Its idea is sound and close to the data governance direction the professor favoured, but health records carry the highest data-access and ethics risk of the six.</w:t>
      </w:r>
    </w:p>
    <w:p>
      <w:pPr>
        <w:spacing w:after="0"/>
      </w:pPr>
    </w:p>
    <w:p>
      <w:pPr>
        <w:keepNext/>
        <w:spacing w:before="160" w:after="80"/>
      </w:pPr>
      <w:r>
        <w:rPr>
          <w:b/>
          <w:sz w:val="22"/>
        </w:rPr>
        <w:t>Conclusion</w:t>
      </w:r>
    </w:p>
    <w:p>
      <w:pPr>
        <w:spacing w:after="120"/>
        <w:jc w:val="both"/>
      </w:pPr>
      <w:r>
        <w:t xml:space="preserve">The review of related literature and studies confirmed that each title addresses a real problem with a documented gap. Three of the top five are data governance titles, which reflects both the professor's feedback on Technical Assessment 1 and the group's finding that governance problems have strong Philippine evidence behind them. The group will proceed with Title 3 as its primary title, with Title 2 as the backup, and will make the final choice once the Quezon City and SM Foundation replies arrive. </w:t>
      </w:r>
      <w:r>
        <w:rPr>
          <w:highlight w:val="yellow"/>
        </w:rPr>
        <w:t>[Group to confirm the primary and backup titles.]</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LIBRARY ACTIVITY DOCUMENTATION</w:t>
            </w:r>
          </w:p>
        </w:tc>
      </w:tr>
    </w:tbl>
    <w:p>
      <w:pPr>
        <w:spacing w:after="40"/>
      </w:pPr>
    </w:p>
    <w:p>
      <w:pPr>
        <w:keepNext/>
        <w:spacing w:before="160" w:after="80"/>
      </w:pPr>
      <w:r>
        <w:rPr>
          <w:b/>
          <w:sz w:val="22"/>
        </w:rPr>
        <w:t>Picture 1</w:t>
      </w:r>
    </w:p>
    <w:p>
      <w:pPr>
        <w:spacing w:after="120"/>
        <w:jc w:val="both"/>
      </w:pPr>
      <w:r>
        <w:rPr>
          <w:highlight w:val="yellow"/>
        </w:rPr>
        <w:t>[Insert photo here.]</w:t>
      </w:r>
    </w:p>
    <w:p>
      <w:pPr>
        <w:spacing w:after="120"/>
        <w:jc w:val="both"/>
      </w:pPr>
      <w:r>
        <w:t xml:space="preserve">Caption: </w:t>
      </w:r>
      <w:r>
        <w:rPr>
          <w:highlight w:val="yellow"/>
        </w:rPr>
        <w:t>[Describe the activity in Picture 1.]</w:t>
      </w:r>
    </w:p>
    <w:p>
      <w:pPr>
        <w:keepNext/>
        <w:spacing w:before="160" w:after="80"/>
      </w:pPr>
      <w:r>
        <w:rPr>
          <w:b/>
          <w:sz w:val="22"/>
        </w:rPr>
        <w:t>Picture 2</w:t>
      </w:r>
    </w:p>
    <w:p>
      <w:pPr>
        <w:spacing w:after="120"/>
        <w:jc w:val="both"/>
      </w:pPr>
      <w:r>
        <w:rPr>
          <w:highlight w:val="yellow"/>
        </w:rPr>
        <w:t>[Insert photo here.]</w:t>
      </w:r>
    </w:p>
    <w:p>
      <w:pPr>
        <w:spacing w:after="120"/>
        <w:jc w:val="both"/>
      </w:pPr>
      <w:r>
        <w:t xml:space="preserve">Caption: </w:t>
      </w:r>
      <w:r>
        <w:rPr>
          <w:highlight w:val="yellow"/>
        </w:rPr>
        <w:t>[Describe the activity in Picture 2.]</w:t>
      </w:r>
    </w:p>
    <w:p>
      <w:pPr>
        <w:keepNext/>
        <w:spacing w:before="160" w:after="80"/>
      </w:pPr>
      <w:r>
        <w:rPr>
          <w:b/>
          <w:sz w:val="22"/>
        </w:rPr>
        <w:t>Picture 3</w:t>
      </w:r>
    </w:p>
    <w:p>
      <w:pPr>
        <w:spacing w:after="120"/>
        <w:jc w:val="both"/>
      </w:pPr>
      <w:r>
        <w:rPr>
          <w:highlight w:val="yellow"/>
        </w:rPr>
        <w:t>[Insert photo here.]</w:t>
      </w:r>
    </w:p>
    <w:p>
      <w:pPr>
        <w:spacing w:after="120"/>
        <w:jc w:val="both"/>
      </w:pPr>
      <w:r>
        <w:t xml:space="preserve">Caption: </w:t>
      </w:r>
      <w:r>
        <w:rPr>
          <w:highlight w:val="yellow"/>
        </w:rPr>
        <w:t>[Describe the activity in Picture 3.]</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AI INTERACTION LOG</w:t>
            </w:r>
          </w:p>
        </w:tc>
      </w:tr>
    </w:tbl>
    <w:p>
      <w:pPr>
        <w:spacing w:after="40"/>
      </w:pPr>
    </w:p>
    <w:p>
      <w:pPr>
        <w:spacing w:after="120"/>
        <w:jc w:val="both"/>
      </w:pPr>
      <w:r>
        <w:t>The group used generative AI as an assistive tool. Each use is logged below. Every source cited in this paper was opened and checked against its original page or DOI record by a group member.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45"/>
        <w:gridCol w:w="2045"/>
        <w:gridCol w:w="2045"/>
        <w:gridCol w:w="2045"/>
        <w:gridCol w:w="2045"/>
      </w:tblGrid>
      <w:tr>
        <w:tc>
          <w:tcPr>
            <w:tcW w:type="dxa" w:w="1728"/>
            <w:shd w:val="clear" w:color="auto" w:fill="EDEDED"/>
          </w:tcPr>
          <w:p>
            <w:r/>
            <w:r>
              <w:rPr>
                <w:b/>
                <w:sz w:val="18"/>
              </w:rPr>
              <w:t>Group Member</w:t>
            </w:r>
          </w:p>
        </w:tc>
        <w:tc>
          <w:tcPr>
            <w:tcW w:type="dxa" w:w="1440"/>
            <w:shd w:val="clear" w:color="auto" w:fill="EDEDED"/>
          </w:tcPr>
          <w:p>
            <w:r/>
            <w:r>
              <w:rPr>
                <w:b/>
                <w:sz w:val="18"/>
              </w:rPr>
              <w:t>AI Tool Used</w:t>
            </w:r>
          </w:p>
        </w:tc>
        <w:tc>
          <w:tcPr>
            <w:tcW w:type="dxa" w:w="2592"/>
            <w:shd w:val="clear" w:color="auto" w:fill="EDEDED"/>
          </w:tcPr>
          <w:p>
            <w:r/>
            <w:r>
              <w:rPr>
                <w:b/>
                <w:sz w:val="18"/>
              </w:rPr>
              <w:t>Prompt / Purpose</w:t>
            </w:r>
          </w:p>
        </w:tc>
        <w:tc>
          <w:tcPr>
            <w:tcW w:type="dxa" w:w="2016"/>
            <w:shd w:val="clear" w:color="auto" w:fill="EDEDED"/>
          </w:tcPr>
          <w:p>
            <w:r/>
            <w:r>
              <w:rPr>
                <w:b/>
                <w:sz w:val="18"/>
              </w:rPr>
              <w:t>AI Output Used For</w:t>
            </w:r>
          </w:p>
        </w:tc>
        <w:tc>
          <w:tcPr>
            <w:tcW w:type="dxa" w:w="2592"/>
            <w:shd w:val="clear" w:color="auto" w:fill="EDEDED"/>
          </w:tcPr>
          <w:p>
            <w:r/>
            <w:r>
              <w:rPr>
                <w:b/>
                <w:sz w:val="18"/>
              </w:rPr>
              <w:t>How the Output Was Verified or Modified</w:t>
            </w:r>
          </w:p>
        </w:tc>
      </w:tr>
      <w:tr>
        <w:tc>
          <w:tcPr>
            <w:tcW w:type="dxa" w:w="1728"/>
          </w:tcPr>
          <w:p>
            <w:r/>
            <w:r>
              <w:rPr>
                <w:sz w:val="18"/>
              </w:rPr>
              <w:t>Dawn Andrei Pamesa</w:t>
            </w:r>
          </w:p>
        </w:tc>
        <w:tc>
          <w:tcPr>
            <w:tcW w:type="dxa" w:w="1440"/>
          </w:tcPr>
          <w:p>
            <w:r/>
            <w:r>
              <w:rPr>
                <w:sz w:val="18"/>
              </w:rPr>
              <w:t>Claude (Anthropic)</w:t>
            </w:r>
          </w:p>
        </w:tc>
        <w:tc>
          <w:tcPr>
            <w:tcW w:type="dxa" w:w="2592"/>
          </w:tcPr>
          <w:p>
            <w:r/>
            <w:r>
              <w:rPr>
                <w:sz w:val="18"/>
              </w:rPr>
              <w:t>Search for and summarise sources on record linkage and contact center de-identification for Titles 2 and 6</w:t>
            </w:r>
          </w:p>
        </w:tc>
        <w:tc>
          <w:tcPr>
            <w:tcW w:type="dxa" w:w="2016"/>
          </w:tcPr>
          <w:p>
            <w:r/>
            <w:r>
              <w:rPr>
                <w:sz w:val="18"/>
              </w:rPr>
              <w:t>Candidate sources and draft summaries</w:t>
            </w:r>
          </w:p>
        </w:tc>
        <w:tc>
          <w:tcPr>
            <w:tcW w:type="dxa" w:w="2592"/>
          </w:tcPr>
          <w:p>
            <w:r/>
            <w:r>
              <w:rPr>
                <w:sz w:val="18"/>
              </w:rPr>
              <w:t xml:space="preserve">Every DOI checked against Crossref; every law and paper opened at its live page; summaries reviewed </w:t>
            </w:r>
            <w:r>
              <w:rPr>
                <w:sz w:val="18"/>
                <w:highlight w:val="yellow"/>
              </w:rPr>
              <w:t>[and reworded]</w:t>
            </w:r>
            <w:r>
              <w:rPr>
                <w:sz w:val="18"/>
              </w:rPr>
              <w:t xml:space="preserve"> by the group</w:t>
            </w:r>
          </w:p>
        </w:tc>
      </w:tr>
      <w:tr>
        <w:tc>
          <w:tcPr>
            <w:tcW w:type="dxa" w:w="1728"/>
          </w:tcPr>
          <w:p>
            <w:r/>
            <w:r>
              <w:rPr>
                <w:sz w:val="18"/>
              </w:rPr>
              <w:t>Dawn Andrei Pamesa</w:t>
            </w:r>
          </w:p>
        </w:tc>
        <w:tc>
          <w:tcPr>
            <w:tcW w:type="dxa" w:w="1440"/>
          </w:tcPr>
          <w:p>
            <w:r/>
            <w:r>
              <w:rPr>
                <w:sz w:val="18"/>
              </w:rPr>
              <w:t>Claude (Anthropic)</w:t>
            </w:r>
          </w:p>
        </w:tc>
        <w:tc>
          <w:tcPr>
            <w:tcW w:type="dxa" w:w="2592"/>
          </w:tcPr>
          <w:p>
            <w:r/>
            <w:r>
              <w:rPr>
                <w:sz w:val="18"/>
              </w:rPr>
              <w:t>Search for sources on open-data privacy and k-anonymity for Title 3</w:t>
            </w:r>
          </w:p>
        </w:tc>
        <w:tc>
          <w:tcPr>
            <w:tcW w:type="dxa" w:w="2016"/>
          </w:tcPr>
          <w:p>
            <w:r/>
            <w:r>
              <w:rPr>
                <w:sz w:val="18"/>
              </w:rPr>
              <w:t>Candidate sources and draft summaries</w:t>
            </w:r>
          </w:p>
        </w:tc>
        <w:tc>
          <w:tcPr>
            <w:tcW w:type="dxa" w:w="2592"/>
          </w:tcPr>
          <w:p>
            <w:r/>
            <w:r>
              <w:rPr>
                <w:sz w:val="18"/>
              </w:rPr>
              <w:t xml:space="preserve">DOIs checked against Crossref and Semantic Scholar; Philippine sources checked at their publisher pages </w:t>
            </w:r>
            <w:r>
              <w:rPr>
                <w:sz w:val="18"/>
                <w:highlight w:val="yellow"/>
              </w:rPr>
              <w:t>[confirm]</w:t>
            </w:r>
          </w:p>
        </w:tc>
      </w:tr>
      <w:tr>
        <w:tc>
          <w:tcPr>
            <w:tcW w:type="dxa" w:w="1728"/>
          </w:tcPr>
          <w:p>
            <w:r/>
            <w:r>
              <w:rPr>
                <w:sz w:val="18"/>
              </w:rPr>
              <w:t>Dawn Andrei Pamesa</w:t>
            </w:r>
          </w:p>
        </w:tc>
        <w:tc>
          <w:tcPr>
            <w:tcW w:type="dxa" w:w="1440"/>
          </w:tcPr>
          <w:p>
            <w:r/>
            <w:r>
              <w:rPr>
                <w:sz w:val="18"/>
              </w:rPr>
              <w:t>Claude (Anthropic)</w:t>
            </w:r>
          </w:p>
        </w:tc>
        <w:tc>
          <w:tcPr>
            <w:tcW w:type="dxa" w:w="2592"/>
          </w:tcPr>
          <w:p>
            <w:r/>
            <w:r>
              <w:rPr>
                <w:sz w:val="18"/>
              </w:rPr>
              <w:t>Draft Chapters 1 and 3 from the group's Technical Assessment 1 content</w:t>
            </w:r>
          </w:p>
        </w:tc>
        <w:tc>
          <w:tcPr>
            <w:tcW w:type="dxa" w:w="2016"/>
          </w:tcPr>
          <w:p>
            <w:r/>
            <w:r>
              <w:rPr>
                <w:sz w:val="18"/>
              </w:rPr>
              <w:t>First draft of the chapters</w:t>
            </w:r>
          </w:p>
        </w:tc>
        <w:tc>
          <w:tcPr>
            <w:tcW w:type="dxa" w:w="2592"/>
          </w:tcPr>
          <w:p>
            <w:r/>
            <w:r>
              <w:rPr>
                <w:sz w:val="18"/>
              </w:rPr>
              <w:t xml:space="preserve">Reviewed and edited by the group </w:t>
            </w:r>
            <w:r>
              <w:rPr>
                <w:sz w:val="18"/>
                <w:highlight w:val="yellow"/>
              </w:rPr>
              <w:t>[confirm]</w:t>
            </w:r>
          </w:p>
        </w:tc>
      </w:tr>
      <w:tr>
        <w:tc>
          <w:tcPr>
            <w:tcW w:type="dxa" w:w="1728"/>
          </w:tcPr>
          <w:p>
            <w:r/>
            <w:r>
              <w:rPr>
                <w:sz w:val="18"/>
                <w:highlight w:val="yellow"/>
              </w:rPr>
              <w:t>[Rogelio Porras]</w:t>
            </w:r>
          </w:p>
        </w:tc>
        <w:tc>
          <w:tcPr>
            <w:tcW w:type="dxa" w:w="1440"/>
          </w:tcPr>
          <w:p>
            <w:r/>
          </w:p>
        </w:tc>
        <w:tc>
          <w:tcPr>
            <w:tcW w:type="dxa" w:w="2592"/>
          </w:tcPr>
          <w:p>
            <w:r/>
          </w:p>
        </w:tc>
        <w:tc>
          <w:tcPr>
            <w:tcW w:type="dxa" w:w="2016"/>
          </w:tcPr>
          <w:p>
            <w:r/>
          </w:p>
        </w:tc>
        <w:tc>
          <w:tcPr>
            <w:tcW w:type="dxa" w:w="2592"/>
          </w:tcPr>
          <w:p>
            <w:r/>
          </w:p>
        </w:tc>
      </w:tr>
      <w:tr>
        <w:tc>
          <w:tcPr>
            <w:tcW w:type="dxa" w:w="1728"/>
          </w:tcPr>
          <w:p>
            <w:r/>
            <w:r>
              <w:rPr>
                <w:sz w:val="18"/>
                <w:highlight w:val="yellow"/>
              </w:rPr>
              <w:t>[John Ashley Alba]</w:t>
            </w:r>
          </w:p>
        </w:tc>
        <w:tc>
          <w:tcPr>
            <w:tcW w:type="dxa" w:w="1440"/>
          </w:tcPr>
          <w:p>
            <w:r/>
          </w:p>
        </w:tc>
        <w:tc>
          <w:tcPr>
            <w:tcW w:type="dxa" w:w="2592"/>
          </w:tcPr>
          <w:p>
            <w:r/>
          </w:p>
        </w:tc>
        <w:tc>
          <w:tcPr>
            <w:tcW w:type="dxa" w:w="2016"/>
          </w:tcPr>
          <w:p>
            <w:r/>
          </w:p>
        </w:tc>
        <w:tc>
          <w:tcPr>
            <w:tcW w:type="dxa" w:w="2592"/>
          </w:tcPr>
          <w:p>
            <w:r/>
          </w:p>
        </w:tc>
      </w:tr>
      <w:tr>
        <w:tc>
          <w:tcPr>
            <w:tcW w:type="dxa" w:w="1728"/>
          </w:tcPr>
          <w:p>
            <w:r/>
            <w:r>
              <w:rPr>
                <w:sz w:val="18"/>
                <w:highlight w:val="yellow"/>
              </w:rPr>
              <w:t>[Ralph Blanco]</w:t>
            </w:r>
          </w:p>
        </w:tc>
        <w:tc>
          <w:tcPr>
            <w:tcW w:type="dxa" w:w="1440"/>
          </w:tcPr>
          <w:p>
            <w:r/>
          </w:p>
        </w:tc>
        <w:tc>
          <w:tcPr>
            <w:tcW w:type="dxa" w:w="2592"/>
          </w:tcPr>
          <w:p>
            <w:r/>
          </w:p>
        </w:tc>
        <w:tc>
          <w:tcPr>
            <w:tcW w:type="dxa" w:w="2016"/>
          </w:tcPr>
          <w:p>
            <w:r/>
          </w:p>
        </w:tc>
        <w:tc>
          <w:tcPr>
            <w:tcW w:type="dxa" w:w="2592"/>
          </w:tcPr>
          <w:p>
            <w:r/>
          </w:p>
        </w:tc>
      </w:tr>
    </w:tbl>
    <w:p>
      <w:pPr>
        <w:spacing w:after="40"/>
      </w:pPr>
    </w:p>
    <w:p>
      <w:pPr>
        <w:keepNext/>
        <w:spacing w:before="160" w:after="80"/>
      </w:pPr>
      <w:r>
        <w:rPr>
          <w:b/>
          <w:sz w:val="22"/>
        </w:rPr>
        <w:t>AI Usage Declaration</w:t>
      </w:r>
    </w:p>
    <w:p>
      <w:pPr>
        <w:spacing w:after="120"/>
        <w:jc w:val="both"/>
      </w:pPr>
      <w: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pPr>
        <w:spacing w:after="120"/>
        <w:jc w:val="both"/>
      </w:pPr>
      <w:r>
        <w:t>We confirm that the final RRL/RRS, analysis, proposed title, and research outputs reflect our group's understanding and decisions. All literature, studies, and other external sources used have been properly cited and verified.</w:t>
      </w:r>
    </w:p>
    <w:p>
      <w:pPr>
        <w:spacing w:after="120"/>
        <w:jc w:val="both"/>
      </w:pPr>
      <w:r>
        <w:rPr>
          <w:b/>
        </w:rPr>
        <w:t>Group Name:</w:t>
      </w:r>
      <w:r>
        <w:t xml:space="preserve"> Statisfied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4320"/>
            <w:shd w:val="clear" w:color="auto" w:fill="EDEDED"/>
          </w:tcPr>
          <w:p>
            <w:r/>
            <w:r>
              <w:rPr>
                <w:b/>
                <w:sz w:val="18"/>
              </w:rPr>
              <w:t>Group Member</w:t>
            </w:r>
          </w:p>
        </w:tc>
        <w:tc>
          <w:tcPr>
            <w:tcW w:type="dxa" w:w="5904"/>
            <w:shd w:val="clear" w:color="auto" w:fill="EDEDED"/>
          </w:tcPr>
          <w:p>
            <w:r/>
            <w:r>
              <w:rPr>
                <w:b/>
                <w:sz w:val="18"/>
              </w:rPr>
              <w:t>Signature</w:t>
            </w:r>
          </w:p>
        </w:tc>
      </w:tr>
      <w:tr>
        <w:tc>
          <w:tcPr>
            <w:tcW w:type="dxa" w:w="4320"/>
          </w:tcPr>
          <w:p>
            <w:r/>
            <w:r>
              <w:rPr>
                <w:sz w:val="18"/>
              </w:rPr>
              <w:t>Dawn Andrei Pamesa</w:t>
            </w:r>
          </w:p>
        </w:tc>
        <w:tc>
          <w:tcPr>
            <w:tcW w:type="dxa" w:w="5904"/>
          </w:tcPr>
          <w:p>
            <w:r/>
          </w:p>
        </w:tc>
      </w:tr>
      <w:tr>
        <w:tc>
          <w:tcPr>
            <w:tcW w:type="dxa" w:w="4320"/>
          </w:tcPr>
          <w:p>
            <w:r/>
            <w:r>
              <w:rPr>
                <w:sz w:val="18"/>
              </w:rPr>
              <w:t>Rogelio Porras</w:t>
            </w:r>
          </w:p>
        </w:tc>
        <w:tc>
          <w:tcPr>
            <w:tcW w:type="dxa" w:w="5904"/>
          </w:tcPr>
          <w:p>
            <w:r/>
          </w:p>
        </w:tc>
      </w:tr>
      <w:tr>
        <w:tc>
          <w:tcPr>
            <w:tcW w:type="dxa" w:w="4320"/>
          </w:tcPr>
          <w:p>
            <w:r/>
            <w:r>
              <w:rPr>
                <w:sz w:val="18"/>
              </w:rPr>
              <w:t>John Ashley Alba</w:t>
            </w:r>
          </w:p>
        </w:tc>
        <w:tc>
          <w:tcPr>
            <w:tcW w:type="dxa" w:w="5904"/>
          </w:tcPr>
          <w:p>
            <w:r/>
          </w:p>
        </w:tc>
      </w:tr>
      <w:tr>
        <w:tc>
          <w:tcPr>
            <w:tcW w:type="dxa" w:w="4320"/>
          </w:tcPr>
          <w:p>
            <w:r/>
            <w:r>
              <w:rPr>
                <w:sz w:val="18"/>
              </w:rPr>
              <w:t>Ralph Blanco</w:t>
            </w:r>
          </w:p>
        </w:tc>
        <w:tc>
          <w:tcPr>
            <w:tcW w:type="dxa" w:w="5904"/>
          </w:tcPr>
          <w:p>
            <w:r/>
          </w:p>
        </w:tc>
      </w:tr>
    </w:tbl>
    <w:p>
      <w:pPr>
        <w:spacing w:after="40"/>
      </w:pPr>
    </w:p>
    <w:p>
      <w:pPr>
        <w:spacing w:after="120"/>
        <w:jc w:val="both"/>
      </w:pPr>
      <w:r>
        <w:rPr>
          <w:b/>
        </w:rPr>
        <w:t>Date:</w:t>
      </w:r>
      <w:r>
        <w:t xml:space="preserve"> September 24, 2026</w:t>
      </w:r>
    </w:p>
    <w:p>
      <w:r>
        <w:br w:type="page"/>
      </w:r>
    </w:p>
    <w:tbl>
      <w:tblPr>
        <w:tblW w:type="auto" w:w="0"/>
        <w:jc w:val="center"/>
        <w:tblLook w:firstColumn="1" w:firstRow="1" w:lastColumn="0" w:lastRow="0" w:noHBand="0" w:noVBand="1" w:val="04A0"/>
      </w:tblPr>
      <w:tblGrid>
        <w:gridCol w:w="10224"/>
      </w:tblGrid>
      <w:tr>
        <w:tc>
          <w:tcPr>
            <w:tcW w:type="dxa" w:w="10224"/>
            <w:shd w:val="clear" w:color="auto" w:fill="404040"/>
          </w:tcPr>
          <w:p>
            <w:r>
              <w:rPr>
                <w:b/>
                <w:color w:val="FFFFFF"/>
                <w:sz w:val="26"/>
              </w:rPr>
              <w:t>TEAM CONTRIBUTION MATRIX</w:t>
            </w:r>
          </w:p>
        </w:tc>
      </w:tr>
    </w:tbl>
    <w:p>
      <w:pPr>
        <w:spacing w:after="40"/>
      </w:pP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2016"/>
            <w:shd w:val="clear" w:color="auto" w:fill="EDEDED"/>
          </w:tcPr>
          <w:p>
            <w:r/>
            <w:r>
              <w:rPr>
                <w:b/>
                <w:sz w:val="18"/>
              </w:rPr>
              <w:t>Group Member</w:t>
            </w:r>
          </w:p>
        </w:tc>
        <w:tc>
          <w:tcPr>
            <w:tcW w:type="dxa" w:w="2880"/>
            <w:shd w:val="clear" w:color="auto" w:fill="EDEDED"/>
          </w:tcPr>
          <w:p>
            <w:r/>
            <w:r>
              <w:rPr>
                <w:b/>
                <w:sz w:val="18"/>
              </w:rPr>
              <w:t>Assigned Task/Responsibility</w:t>
            </w:r>
          </w:p>
        </w:tc>
        <w:tc>
          <w:tcPr>
            <w:tcW w:type="dxa" w:w="3888"/>
            <w:shd w:val="clear" w:color="auto" w:fill="EDEDED"/>
          </w:tcPr>
          <w:p>
            <w:r/>
            <w:r>
              <w:rPr>
                <w:b/>
                <w:sz w:val="18"/>
              </w:rPr>
              <w:t>Specific Contribution/Output</w:t>
            </w:r>
          </w:p>
        </w:tc>
        <w:tc>
          <w:tcPr>
            <w:tcW w:type="dxa" w:w="1440"/>
            <w:shd w:val="clear" w:color="auto" w:fill="EDEDED"/>
          </w:tcPr>
          <w:p>
            <w:r/>
            <w:r>
              <w:rPr>
                <w:b/>
                <w:sz w:val="18"/>
              </w:rPr>
              <w:t>Contribution (%)</w:t>
            </w:r>
          </w:p>
        </w:tc>
      </w:tr>
      <w:tr>
        <w:tc>
          <w:tcPr>
            <w:tcW w:type="dxa" w:w="2016"/>
          </w:tcPr>
          <w:p>
            <w:r/>
            <w:r>
              <w:rPr>
                <w:sz w:val="18"/>
              </w:rPr>
              <w:t>Dawn Andrei Pamesa</w:t>
            </w:r>
          </w:p>
        </w:tc>
        <w:tc>
          <w:tcPr>
            <w:tcW w:type="dxa" w:w="2880"/>
          </w:tcPr>
          <w:p>
            <w:r/>
            <w:r>
              <w:rPr>
                <w:sz w:val="18"/>
              </w:rPr>
              <w:t>Group leader; partner outreach; Titles 2, 3, and 6</w:t>
            </w:r>
          </w:p>
        </w:tc>
        <w:tc>
          <w:tcPr>
            <w:tcW w:type="dxa" w:w="3888"/>
          </w:tcPr>
          <w:p>
            <w:r/>
            <w:r>
              <w:rPr>
                <w:sz w:val="18"/>
              </w:rPr>
              <w:t>Partner letters to SM Foundation, Transcom, and QC ITDD; RRL and RRS for Titles 2, 3, and 6; Chapters 1 to 3 compilation</w:t>
            </w:r>
          </w:p>
        </w:tc>
        <w:tc>
          <w:tcPr>
            <w:tcW w:type="dxa" w:w="1440"/>
          </w:tcPr>
          <w:p>
            <w:r/>
            <w:r>
              <w:rPr>
                <w:sz w:val="18"/>
                <w:highlight w:val="yellow"/>
              </w:rPr>
              <w:t>[ ]</w:t>
            </w:r>
          </w:p>
        </w:tc>
      </w:tr>
      <w:tr>
        <w:tc>
          <w:tcPr>
            <w:tcW w:type="dxa" w:w="2016"/>
          </w:tcPr>
          <w:p>
            <w:r/>
            <w:r>
              <w:rPr>
                <w:sz w:val="18"/>
              </w:rPr>
              <w:t>Rogelio Porras</w:t>
            </w:r>
          </w:p>
        </w:tc>
        <w:tc>
          <w:tcPr>
            <w:tcW w:type="dxa" w:w="2880"/>
          </w:tcPr>
          <w:p>
            <w:r/>
            <w:r>
              <w:rPr>
                <w:sz w:val="18"/>
              </w:rPr>
              <w:t>Title 1 RRL and RRS</w:t>
            </w:r>
          </w:p>
        </w:tc>
        <w:tc>
          <w:tcPr>
            <w:tcW w:type="dxa" w:w="3888"/>
          </w:tcPr>
          <w:p>
            <w:r/>
            <w:r>
              <w:rPr>
                <w:sz w:val="18"/>
                <w:highlight w:val="yellow"/>
              </w:rPr>
              <w:t>[ ]</w:t>
            </w:r>
          </w:p>
        </w:tc>
        <w:tc>
          <w:tcPr>
            <w:tcW w:type="dxa" w:w="1440"/>
          </w:tcPr>
          <w:p>
            <w:r/>
            <w:r>
              <w:rPr>
                <w:sz w:val="18"/>
                <w:highlight w:val="yellow"/>
              </w:rPr>
              <w:t>[ ]</w:t>
            </w:r>
          </w:p>
        </w:tc>
      </w:tr>
      <w:tr>
        <w:tc>
          <w:tcPr>
            <w:tcW w:type="dxa" w:w="2016"/>
          </w:tcPr>
          <w:p>
            <w:r/>
            <w:r>
              <w:rPr>
                <w:sz w:val="18"/>
              </w:rPr>
              <w:t>John Ashley Alba</w:t>
            </w:r>
          </w:p>
        </w:tc>
        <w:tc>
          <w:tcPr>
            <w:tcW w:type="dxa" w:w="2880"/>
          </w:tcPr>
          <w:p>
            <w:r/>
            <w:r>
              <w:rPr>
                <w:sz w:val="18"/>
              </w:rPr>
              <w:t>Data governance alternative, Title 4</w:t>
            </w:r>
          </w:p>
        </w:tc>
        <w:tc>
          <w:tcPr>
            <w:tcW w:type="dxa" w:w="3888"/>
          </w:tcPr>
          <w:p>
            <w:r/>
            <w:r>
              <w:rPr>
                <w:sz w:val="18"/>
                <w:highlight w:val="yellow"/>
              </w:rPr>
              <w:t>[ ]</w:t>
            </w:r>
          </w:p>
        </w:tc>
        <w:tc>
          <w:tcPr>
            <w:tcW w:type="dxa" w:w="1440"/>
          </w:tcPr>
          <w:p>
            <w:r/>
            <w:r>
              <w:rPr>
                <w:sz w:val="18"/>
                <w:highlight w:val="yellow"/>
              </w:rPr>
              <w:t>[ ]</w:t>
            </w:r>
          </w:p>
        </w:tc>
      </w:tr>
      <w:tr>
        <w:tc>
          <w:tcPr>
            <w:tcW w:type="dxa" w:w="2016"/>
          </w:tcPr>
          <w:p>
            <w:r/>
            <w:r>
              <w:rPr>
                <w:sz w:val="18"/>
              </w:rPr>
              <w:t>Ralph Blanco</w:t>
            </w:r>
          </w:p>
        </w:tc>
        <w:tc>
          <w:tcPr>
            <w:tcW w:type="dxa" w:w="2880"/>
          </w:tcPr>
          <w:p>
            <w:r/>
            <w:r>
              <w:rPr>
                <w:sz w:val="18"/>
              </w:rPr>
              <w:t>Title 5 specificity and RRL and RRS</w:t>
            </w:r>
          </w:p>
        </w:tc>
        <w:tc>
          <w:tcPr>
            <w:tcW w:type="dxa" w:w="3888"/>
          </w:tcPr>
          <w:p>
            <w:r/>
            <w:r>
              <w:rPr>
                <w:sz w:val="18"/>
                <w:highlight w:val="yellow"/>
              </w:rPr>
              <w:t>[ ]</w:t>
            </w:r>
          </w:p>
        </w:tc>
        <w:tc>
          <w:tcPr>
            <w:tcW w:type="dxa" w:w="1440"/>
          </w:tcPr>
          <w:p>
            <w:r/>
            <w:r>
              <w:rPr>
                <w:sz w:val="18"/>
                <w:highlight w:val="yellow"/>
              </w:rPr>
              <w:t>[ ]</w:t>
            </w:r>
          </w:p>
        </w:tc>
      </w:tr>
      <w:tr>
        <w:tc>
          <w:tcPr>
            <w:tcW w:type="dxa" w:w="2016"/>
          </w:tcPr>
          <w:p>
            <w:r/>
            <w:r>
              <w:rPr>
                <w:b/>
                <w:sz w:val="18"/>
              </w:rPr>
              <w:t>Total</w:t>
            </w:r>
          </w:p>
        </w:tc>
        <w:tc>
          <w:tcPr>
            <w:tcW w:type="dxa" w:w="2880"/>
          </w:tcPr>
          <w:p>
            <w:r/>
          </w:p>
        </w:tc>
        <w:tc>
          <w:tcPr>
            <w:tcW w:type="dxa" w:w="3888"/>
          </w:tcPr>
          <w:p>
            <w:r/>
          </w:p>
        </w:tc>
        <w:tc>
          <w:tcPr>
            <w:tcW w:type="dxa" w:w="1440"/>
          </w:tcPr>
          <w:p>
            <w:r/>
            <w:r>
              <w:rPr>
                <w:b/>
                <w:sz w:val="18"/>
              </w:rPr>
              <w:t>100%</w:t>
            </w:r>
          </w:p>
        </w:tc>
      </w:tr>
    </w:tbl>
    <w:p>
      <w:pPr>
        <w:spacing w:after="40"/>
      </w:pP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540" w:hanging="300"/>
      </w:pPr>
    </w:lvl>
  </w:abstractNum>
  <w:abstractNum w:abstractNumId="10">
    <w:lvl w:ilvl="0">
      <w:start w:val="1"/>
      <w:numFmt w:val="bullet"/>
      <w:lvlText w:val="•"/>
      <w:lvlJc w:val="left"/>
      <w:pPr>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10"/>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10"/>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10"/>
    <w:lvlOverride w:ilvl="0">
      <w:startOverride w:val="1"/>
    </w:lvlOverride>
  </w:num>
  <w:num w:numId="2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