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Proposed for Title 2: </w:t>
      </w:r>
      <w:r>
        <w:rPr>
          <w:b/>
        </w:rPr>
        <w:t>A Data Governance System for Verifiable CSR Impact Reporting Using Fellegi-Sunter Record Linkage</w:t>
      </w:r>
    </w:p>
    <w:p>
      <w:r>
        <w:rPr>
          <w:b w:val="0"/>
          <w:i w:val="0"/>
        </w:rPr>
        <w:t>The proposed system will help SM Foundation produce a defensible count of the farmers trained under its Kabalikat sa Kabuhayan programme. It will profile the existing training records for completeness and duplication, generate candidate record pairs by blocking on province, training site, batch and phonetic name codes, and classify each pair as a link, a possible link or a non-link using the Fellegi-Sunter probabilistic record linkage model with explicitly chosen error thresholds. Possible links will be sent to a clerical review queue, and the system will report a deduplicated beneficiary count with a stated uncertainty interval. It will work on hashed or phonetic name keys instead of plaintext names, and it will not receive 4Ps status, income, health information or any other sensitive personal information.</w:t>
      </w:r>
    </w:p>
    <w:p>
      <w:r>
        <w:rPr>
          <w:b/>
          <w:i w:val="0"/>
        </w:rPr>
        <w:t>Review of Related Literature</w:t>
      </w:r>
    </w:p>
    <w:p>
      <w:r>
        <w:rPr>
          <w:b w:val="0"/>
          <w:i w:val="0"/>
        </w:rPr>
        <w:t>The RRL establishes the theory of probabilistic record linkage, how linkage quality is measured, and the Philippine legal context for identity records. The following summaries focus on their relevance to the proposed system.</w:t>
      </w:r>
    </w:p>
    <w:p>
      <w:r>
        <w:rPr>
          <w:b/>
        </w:rPr>
        <w:t>A Theory for Record Linkage</w:t>
      </w:r>
      <w:r>
        <w:rPr>
          <w:i/>
        </w:rPr>
        <w:t xml:space="preserve">  [Foreign]</w:t>
      </w:r>
    </w:p>
    <w:p>
      <w:r>
        <w:rPr>
          <w:b w:val="0"/>
          <w:i w:val="0"/>
        </w:rPr>
        <w:t>Fellegi and Sunter (1969) gave record linkage its formal decision-theoretic foundation. Every pair of records is compared field by field, and the pattern of agreements is used to place the pair into one of three groups: a link, a possible link that needs a human to decide, or a non-link. They showed that the best rule is based on a ratio of how likely that agreement pattern is among true matches versus non-matches, and that this rule keeps the number of pairs sent for manual review as small as possible for the two error rates the user chooses.</w:t>
      </w:r>
    </w:p>
    <w:p>
      <w:r>
        <w:rPr>
          <w:b/>
        </w:rPr>
        <w:t xml:space="preserve">Relevance to the proposed study: </w:t>
      </w:r>
      <w:r>
        <w:t>It is the algorithm named in the proposed title, and it is what allows the system to attach chosen error rates to the beneficiary count instead of relying on an arbitrary similarity cutoff.</w:t>
      </w:r>
    </w:p>
    <w:p>
      <w:r>
        <w:rPr>
          <w:b/>
        </w:rPr>
        <w:t xml:space="preserve">Source link: </w:t>
      </w:r>
      <w:r>
        <w:t>https://doi.org/10.1080/01621459.1969.10501049</w:t>
      </w:r>
    </w:p>
    <w:p>
      <w:r>
        <w:rPr>
          <w:b/>
        </w:rPr>
        <w:t>Quality and Complexity Measures for Data Linkage and Deduplication</w:t>
      </w:r>
      <w:r>
        <w:rPr>
          <w:i/>
        </w:rPr>
        <w:t xml:space="preserve">  [Foreign]</w:t>
      </w:r>
    </w:p>
    <w:p>
      <w:r>
        <w:rPr>
          <w:b w:val="0"/>
          <w:i w:val="0"/>
        </w:rPr>
        <w:t>Christen and Goiser (2007) examined how the quality and the cost of linkage and deduplication should be measured. They discussed measures for blocking, such as how much the number of candidate pairs is reduced and how many true matches survive that reduction, and they warned that some common classification measures become misleading because non-matching pairs vastly outnumber matching ones.</w:t>
      </w:r>
    </w:p>
    <w:p>
      <w:r>
        <w:rPr>
          <w:b/>
        </w:rPr>
        <w:t xml:space="preserve">Relevance to the proposed study: </w:t>
      </w:r>
      <w:r>
        <w:t>It supplies the evaluation measures for the blocking and classification modules, so the system's results can be reported in the terms used by the record linkage field.</w:t>
      </w:r>
    </w:p>
    <w:p>
      <w:r>
        <w:rPr>
          <w:b/>
        </w:rPr>
        <w:t xml:space="preserve">Source link: </w:t>
      </w:r>
      <w:r>
        <w:t>https://doi.org/10.1007/978-3-540-44918-8_6</w:t>
      </w:r>
    </w:p>
    <w:p>
      <w:r>
        <w:rPr>
          <w:b/>
        </w:rPr>
        <w:t>(Almost) All of Entity Resolution</w:t>
      </w:r>
      <w:r>
        <w:rPr>
          <w:i/>
        </w:rPr>
        <w:t xml:space="preserve">  [Foreign]</w:t>
      </w:r>
    </w:p>
    <w:p>
      <w:r>
        <w:rPr>
          <w:b w:val="0"/>
          <w:i w:val="0"/>
        </w:rPr>
        <w:t>Binette and Steorts (2022) reviewed entity resolution, the task of finding which records refer to the same real-world entity when no shared unique identifier exists. The review walks through the stages of a typical pipeline, from blocking and comparison to classification and evaluation, and compares probabilistic, machine learning and Bayesian approaches.</w:t>
      </w:r>
    </w:p>
    <w:p>
      <w:r>
        <w:rPr>
          <w:b/>
        </w:rPr>
        <w:t xml:space="preserve">Relevance to the proposed study: </w:t>
      </w:r>
      <w:r>
        <w:t>It frames the proposed system within the wider entity resolution field and supports the design of the system as a pipeline of separate blocking, comparison and classification modules.</w:t>
      </w:r>
    </w:p>
    <w:p>
      <w:r>
        <w:rPr>
          <w:b/>
        </w:rPr>
        <w:t xml:space="preserve">Source link: </w:t>
      </w:r>
      <w:r>
        <w:t>https://doi.org/10.1126/sciadv.abi8021</w:t>
      </w:r>
    </w:p>
    <w:p>
      <w:r>
        <w:rPr>
          <w:b/>
        </w:rPr>
        <w:t>Republic Act No. 11055, the Philippine Identification System Act</w:t>
      </w:r>
      <w:r>
        <w:rPr>
          <w:i/>
        </w:rPr>
        <w:t xml:space="preserve">  [Local]</w:t>
      </w:r>
    </w:p>
    <w:p>
      <w:r>
        <w:rPr>
          <w:b w:val="0"/>
          <w:i w:val="0"/>
        </w:rPr>
        <w:t>The law established the Philippine Identification System, a single national identification system for citizens and resident aliens with a unique PhilSys Number for each registered person. It recognises that fragmented identification across many agencies creates inefficiency, and it includes provisions protecting registered information from unauthorised disclosure.</w:t>
      </w:r>
    </w:p>
    <w:p>
      <w:r>
        <w:rPr>
          <w:b/>
        </w:rPr>
        <w:t xml:space="preserve">Relevance to the proposed study: </w:t>
      </w:r>
      <w:r>
        <w:t>It shows that the lack of a common identifier across records is a recognised Philippine problem. It also explains why the proposed study will not request PhilSys numbers, and will instead build the link from the fields the Foundation already keeps.</w:t>
      </w:r>
    </w:p>
    <w:p>
      <w:r>
        <w:rPr>
          <w:b/>
        </w:rPr>
        <w:t xml:space="preserve">Source link: </w:t>
      </w:r>
      <w:r>
        <w:t>https://lawphil.net/statutes/repacts/ra2018/ra_11055_2018.html</w:t>
      </w:r>
    </w:p>
    <w:p>
      <w:r>
        <w:rPr>
          <w:b/>
        </w:rPr>
        <w:t>Challenges in Administrative Data Linkage for Research</w:t>
      </w:r>
      <w:r>
        <w:rPr>
          <w:i/>
        </w:rPr>
        <w:t xml:space="preserve">  [Foreign]</w:t>
      </w:r>
    </w:p>
    <w:p>
      <w:r>
        <w:rPr>
          <w:b w:val="0"/>
          <w:i w:val="0"/>
        </w:rPr>
        <w:t>Harron et al. (2017) discussed the problems that arise when administrative records are linked for research. A central concern is bias from linkage errors, where records that belong together are missed or records that do not belong together are joined, and the authors argue for transparent reporting of linkage quality alongside the results.</w:t>
      </w:r>
    </w:p>
    <w:p>
      <w:r>
        <w:rPr>
          <w:b/>
        </w:rPr>
        <w:t xml:space="preserve">Relevance to the proposed study: </w:t>
      </w:r>
      <w:r>
        <w:t>It supports the system's requirement to report its beneficiary count with a stated uncertainty and a linkage quality report, instead of presenting a single number as exact.</w:t>
      </w:r>
    </w:p>
    <w:p>
      <w:r>
        <w:rPr>
          <w:b/>
        </w:rPr>
        <w:t xml:space="preserve">Source link: </w:t>
      </w:r>
      <w:r>
        <w:t>https://doi.org/10.1177/2053951717745678</w:t>
      </w:r>
    </w:p>
    <w:p>
      <w:r>
        <w:rPr>
          <w:b/>
          <w:i w:val="0"/>
        </w:rPr>
        <w:t>Review of Related Studies</w:t>
      </w:r>
    </w:p>
    <w:p>
      <w:r>
        <w:rPr>
          <w:b w:val="0"/>
          <w:i w:val="0"/>
        </w:rPr>
        <w:t>The RRS presents applied work on probabilistic record linkage, how it handles missing data, how it should be evaluated, and Philippine efforts to reduce duplicate records.</w:t>
      </w:r>
    </w:p>
    <w:p>
      <w:r>
        <w:rPr>
          <w:b/>
        </w:rPr>
        <w:t>Using a Probabilistic Model to Assist Merging of Large-Scale Administrative Records</w:t>
      </w:r>
      <w:r>
        <w:rPr>
          <w:i/>
        </w:rPr>
        <w:t xml:space="preserve">  [Foreign]</w:t>
      </w:r>
    </w:p>
    <w:p>
      <w:r>
        <w:rPr>
          <w:b w:val="0"/>
          <w:i w:val="0"/>
        </w:rPr>
        <w:t>Enamorado, Fifield and Imai (2019) developed fastLink, a fast and scalable implementation of the Fellegi-Sunter model. It handles millions of records while accounting for missing data and measurement error, and it carries uncertainty about the merge into later analysis. They tested it through simulations and applied it to campaign contribution records, survey data and nationwide voter files.</w:t>
      </w:r>
    </w:p>
    <w:p>
      <w:r>
        <w:rPr>
          <w:b/>
        </w:rPr>
        <w:t xml:space="preserve">Relevance to the proposed study: </w:t>
      </w:r>
      <w:r>
        <w:t>It shows the Fellegi-Sunter model working at a scale larger than the KSK records and gives the study an open-source reference implementation to compare against.</w:t>
      </w:r>
    </w:p>
    <w:p>
      <w:r>
        <w:rPr>
          <w:b/>
        </w:rPr>
        <w:t xml:space="preserve">Source link: </w:t>
      </w:r>
      <w:r>
        <w:t>https://doi.org/10.1017/S0003055418000783</w:t>
      </w:r>
    </w:p>
    <w:p>
      <w:r>
        <w:rPr>
          <w:b/>
        </w:rPr>
        <w:t>The Data-Adaptive Fellegi-Sunter Model for Probabilistic Record Linkage</w:t>
      </w:r>
      <w:r>
        <w:rPr>
          <w:i/>
        </w:rPr>
        <w:t xml:space="preserve">  [Foreign]</w:t>
      </w:r>
    </w:p>
    <w:p>
      <w:r>
        <w:rPr>
          <w:b w:val="0"/>
          <w:i w:val="0"/>
        </w:rPr>
        <w:t>Li, Xu and Grannis (2022) tested ways of handling missing fields in the Fellegi-Sunter model. Treating missing values as missing at random maintained or improved F1-scores in all four of their use cases, and combining that assumption with data-driven selection of matching fields gave the best overall performance. They noted this is especially useful in privacy-preserving linkage.</w:t>
      </w:r>
    </w:p>
    <w:p>
      <w:r>
        <w:rPr>
          <w:b/>
        </w:rPr>
        <w:t xml:space="preserve">Relevance to the proposed study: </w:t>
      </w:r>
      <w:r>
        <w:t>Programme records gathered across many sites and years will have gaps, and the study will link on hashed keys. This gives the study a tested way to handle missing fields instead of discarding those record pairs.</w:t>
      </w:r>
    </w:p>
    <w:p>
      <w:r>
        <w:rPr>
          <w:b/>
        </w:rPr>
        <w:t xml:space="preserve">Source link: </w:t>
      </w:r>
      <w:r>
        <w:t>https://doi.org/10.2196/33775</w:t>
      </w:r>
    </w:p>
    <w:p>
      <w:r>
        <w:rPr>
          <w:b/>
        </w:rPr>
        <w:t>A Note on Using the F-Measure for Evaluating Record Linkage Algorithms</w:t>
      </w:r>
      <w:r>
        <w:rPr>
          <w:i/>
        </w:rPr>
        <w:t xml:space="preserve">  [Foreign]</w:t>
      </w:r>
    </w:p>
    <w:p>
      <w:r>
        <w:rPr>
          <w:b w:val="0"/>
          <w:i w:val="0"/>
        </w:rPr>
        <w:t>Hand and Christen (2018) showed that the F-measure is a poor basis for comparing record linkage methods. The relative weight it places on precision and recall depends on the number of pairs each method predicts as matches, so two methods end up being judged on different scales.</w:t>
      </w:r>
    </w:p>
    <w:p>
      <w:r>
        <w:rPr>
          <w:b/>
        </w:rPr>
        <w:t xml:space="preserve">Relevance to the proposed study: </w:t>
      </w:r>
      <w:r>
        <w:t>It is the reason the proposed study will report precision and recall separately, and show how they trade off as the thresholds move, instead of relying on a single F-score.</w:t>
      </w:r>
    </w:p>
    <w:p>
      <w:r>
        <w:rPr>
          <w:b/>
        </w:rPr>
        <w:t xml:space="preserve">Source link: </w:t>
      </w:r>
      <w:r>
        <w:t>https://doi.org/10.1007/s11222-017-9746-6</w:t>
      </w:r>
    </w:p>
    <w:p>
      <w:r>
        <w:rPr>
          <w:b/>
        </w:rPr>
        <w:t>Enhancing CRVS Data Quality and Inclusivity through Integration with PhilSys</w:t>
      </w:r>
      <w:r>
        <w:rPr>
          <w:i/>
        </w:rPr>
        <w:t xml:space="preserve">  [Local]</w:t>
      </w:r>
    </w:p>
    <w:p>
      <w:r>
        <w:rPr>
          <w:b w:val="0"/>
          <w:i w:val="0"/>
        </w:rPr>
        <w:t>Du (2026), writing from the Philippine Statistics Authority, assessed early efforts to integrate civil registration with the Philippine Identification System in selected local government units. The paper identifies duplicate records as a persistent data quality problem and describes how PhilSys numbers and authentication can support record verification and reduce duplication. It found that structured verification, coordination between agencies and capacity-building were the key enablers.</w:t>
      </w:r>
    </w:p>
    <w:p>
      <w:r>
        <w:rPr>
          <w:b/>
        </w:rPr>
        <w:t xml:space="preserve">Relevance to the proposed study: </w:t>
      </w:r>
      <w:r>
        <w:t>It is Philippine evidence that duplicate records are a recognised national data quality problem. The proposed study addresses the same problem for a programme where no shared identifier exists.</w:t>
      </w:r>
    </w:p>
    <w:p>
      <w:r>
        <w:rPr>
          <w:b/>
        </w:rPr>
        <w:t xml:space="preserve">Source link: </w:t>
      </w:r>
      <w:r>
        <w:t>https://getinthepicture.org/system/files/sites/default/files/B1_Session%203.2_102_Du_Paper_0.pdf</w:t>
      </w:r>
    </w:p>
    <w:p>
      <w:r>
        <w:rPr>
          <w:b/>
        </w:rPr>
        <w:t>Development and Implementation of an Interoperable Local Health Information Exchange Platform for the Attainment of Universal Health Coverage in the Philippines</w:t>
      </w:r>
      <w:r>
        <w:rPr>
          <w:i/>
        </w:rPr>
        <w:t xml:space="preserve">  [Local]</w:t>
      </w:r>
    </w:p>
    <w:p>
      <w:r>
        <w:rPr>
          <w:b w:val="0"/>
          <w:i w:val="0"/>
        </w:rPr>
        <w:t>Zuniga, Carpio and Tayam (2026) described SMILHIS, an open-source health information exchange deployed in three Philippine local government units using the HL7 FHIR standard. It includes a client registry that serves as a central identity record for patients, and the authors propose PhilSys as the primary registry so that patient records can be deduplicated across facilities.</w:t>
      </w:r>
    </w:p>
    <w:p>
      <w:r>
        <w:rPr>
          <w:b/>
        </w:rPr>
        <w:t xml:space="preserve">Relevance to the proposed study: </w:t>
      </w:r>
      <w:r>
        <w:t>It shows a Philippine system that needed a single identity record to stop the same person being counted in several places. The proposed study builds that kind of record for a programme through probabilistic linkage.</w:t>
      </w:r>
    </w:p>
    <w:p>
      <w:r>
        <w:rPr>
          <w:b/>
        </w:rPr>
        <w:t xml:space="preserve">Source link: </w:t>
      </w:r>
      <w:r>
        <w:t>https://doi.org/10.3389/fdgth.2025.1650273</w:t>
      </w:r>
    </w:p>
    <w:p>
      <w:r>
        <w:br w:type="page"/>
      </w:r>
    </w:p>
    <w:p>
      <w:r>
        <w:rPr>
          <w:b/>
        </w:rPr>
        <w:t xml:space="preserve">Proposed for Title 6: </w:t>
      </w:r>
      <w:r>
        <w:rPr>
          <w:b/>
        </w:rPr>
        <w:t>A Personal Data Detection and Redaction Governance System for Contact Centers Using Conditional Random Fields</w:t>
      </w:r>
    </w:p>
    <w:p>
      <w:r>
        <w:rPr>
          <w:b w:val="0"/>
          <w:i w:val="0"/>
        </w:rPr>
        <w:t>The proposed system will help a contact center's data protection and quality assurance staff find personal data that agents type into free-text case notes and chat records. It will detect names, Philippine mobile numbers, addresses, dates of birth, card and account numbers, and government identifiers such as TIN, SSS and PhilHealth numbers, using token-level and character-level Conditional Random Fields combined with a rule layer for strongly patterned identifiers. Detected spans will be redacted with placeholders that keep the note readable, low-confidence spans will be sent to a review queue, and every action will be kept in an audit trail. The system will be built and evaluated on public de-identification corpora and synthetic Philippine-context notes, so the group will never hold live customer data. It will not monitor or score agents.</w:t>
      </w:r>
    </w:p>
    <w:p>
      <w:r>
        <w:rPr>
          <w:b/>
          <w:i w:val="0"/>
        </w:rPr>
        <w:t>Review of Related Literature</w:t>
      </w:r>
    </w:p>
    <w:p>
      <w:r>
        <w:rPr>
          <w:b w:val="0"/>
          <w:i w:val="0"/>
        </w:rPr>
        <w:t>The RRL establishes the Philippine legal duties around personal data, the concepts behind automatic de-identification of free text, and the language resources available for Filipino text. The following summaries focus on their relevance to the proposed system.</w:t>
      </w:r>
    </w:p>
    <w:p>
      <w:r>
        <w:rPr>
          <w:b/>
        </w:rPr>
        <w:t>Republic Act No. 10173, the Data Privacy Act of 2012</w:t>
      </w:r>
      <w:r>
        <w:rPr>
          <w:i/>
        </w:rPr>
        <w:t xml:space="preserve">  [Local]</w:t>
      </w:r>
    </w:p>
    <w:p>
      <w:r>
        <w:rPr>
          <w:b w:val="0"/>
          <w:i w:val="0"/>
        </w:rPr>
        <w:t>The law protects personal information processed by government and private organisations. It classifies identifiers issued by government agencies, such as social security numbers, as sensitive personal information. Section 20 requires reasonable organisational, physical and technical security measures, and the law keeps an organisation accountable for personal data even when processing is outsourced.</w:t>
      </w:r>
    </w:p>
    <w:p>
      <w:r>
        <w:rPr>
          <w:b/>
        </w:rPr>
        <w:t xml:space="preserve">Relevance to the proposed study: </w:t>
      </w:r>
      <w:r>
        <w:t>Customer identifiers typed into case notes are personal data under this law, and several are sensitive personal information. That is the legal reason a contact center needs to know where that data sits in its records.</w:t>
      </w:r>
    </w:p>
    <w:p>
      <w:r>
        <w:rPr>
          <w:b/>
        </w:rPr>
        <w:t xml:space="preserve">Source link: </w:t>
      </w:r>
      <w:r>
        <w:t>https://lawphil.net/statutes/repacts/ra2012/ra_10173_2012.html</w:t>
      </w:r>
    </w:p>
    <w:p>
      <w:r>
        <w:rPr>
          <w:b/>
        </w:rPr>
        <w:t>NPC Circular No. 16-03, Personal Data Breach Management</w:t>
      </w:r>
      <w:r>
        <w:rPr>
          <w:i/>
        </w:rPr>
        <w:t xml:space="preserve">  [Local]</w:t>
      </w:r>
    </w:p>
    <w:p>
      <w:r>
        <w:rPr>
          <w:b w:val="0"/>
          <w:i w:val="0"/>
        </w:rPr>
        <w:t>This National Privacy Commission circular sets out how organisations must prepare for and respond to personal data breaches. It requires a security incident management policy and a data breach response team, and it requires notifying the Commission within 72 hours of knowing about a breach, with a full report to follow.</w:t>
      </w:r>
    </w:p>
    <w:p>
      <w:r>
        <w:rPr>
          <w:b/>
        </w:rPr>
        <w:t xml:space="preserve">Relevance to the proposed study: </w:t>
      </w:r>
      <w:r>
        <w:t>A detector that finds exposed personal data in notes lets an organisation act before an exposure becomes a breach. The system's audit trail also supports the documentation this circular expects.</w:t>
      </w:r>
    </w:p>
    <w:p>
      <w:r>
        <w:rPr>
          <w:b/>
        </w:rPr>
        <w:t xml:space="preserve">Source link: </w:t>
      </w:r>
      <w:r>
        <w:t>https://privacy.gov.ph/wp-content/uploads/2022/01/sgd-npc-circular-16-03-personal-data-breach-management.pdf</w:t>
      </w:r>
    </w:p>
    <w:p>
      <w:r>
        <w:rPr>
          <w:b/>
        </w:rPr>
        <w:t>Automatic De-identification of Textual Documents in the Electronic Health Record: A Review of Recent Research</w:t>
      </w:r>
      <w:r>
        <w:rPr>
          <w:i/>
        </w:rPr>
        <w:t xml:space="preserve">  [Foreign]</w:t>
      </w:r>
    </w:p>
    <w:p>
      <w:r>
        <w:rPr>
          <w:b w:val="0"/>
          <w:i w:val="0"/>
        </w:rPr>
        <w:t>Meystre et al. (2010) reviewed research since 1995 on automatically removing identifying information from free-text health records. They noted that manual de-identification is costly and slow, and compared the pattern-matching and machine learning approaches researchers have used and how those approaches were evaluated.</w:t>
      </w:r>
    </w:p>
    <w:p>
      <w:r>
        <w:rPr>
          <w:b/>
        </w:rPr>
        <w:t xml:space="preserve">Relevance to the proposed study: </w:t>
      </w:r>
      <w:r>
        <w:t>It shows that automatic de-identification of free text is an established research area with known methods, which the proposed study transfers from health records to contact center notes.</w:t>
      </w:r>
    </w:p>
    <w:p>
      <w:r>
        <w:rPr>
          <w:b/>
        </w:rPr>
        <w:t xml:space="preserve">Source link: </w:t>
      </w:r>
      <w:r>
        <w:t>https://doi.org/10.1186/1471-2288-10-70</w:t>
      </w:r>
    </w:p>
    <w:p>
      <w:r>
        <w:rPr>
          <w:b/>
        </w:rPr>
        <w:t>Annotating Longitudinal Clinical Narratives for De-identification: The 2014 i2b2/UTHealth Corpus</w:t>
      </w:r>
      <w:r>
        <w:rPr>
          <w:i/>
        </w:rPr>
        <w:t xml:space="preserve">  [Foreign]</w:t>
      </w:r>
    </w:p>
    <w:p>
      <w:r>
        <w:rPr>
          <w:b w:val="0"/>
          <w:i w:val="0"/>
        </w:rPr>
        <w:t>Stubbs and Uzuner (2015) described how the corpus for the 2014 i2b2/UTHealth de-identification task was built and annotated, including which categories of identifying information were marked and the guidelines the annotators followed.</w:t>
      </w:r>
    </w:p>
    <w:p>
      <w:r>
        <w:rPr>
          <w:b/>
        </w:rPr>
        <w:t xml:space="preserve">Relevance to the proposed study: </w:t>
      </w:r>
      <w:r>
        <w:t>It is a model for the annotation schema and guidelines the group will write for its synthetic Philippine-context corpus, and it is the corpus behind the benchmark the system will be compared against.</w:t>
      </w:r>
    </w:p>
    <w:p>
      <w:r>
        <w:rPr>
          <w:b/>
        </w:rPr>
        <w:t xml:space="preserve">Source link: </w:t>
      </w:r>
      <w:r>
        <w:t>https://doi.org/10.1016/j.jbi.2015.07.020</w:t>
      </w:r>
    </w:p>
    <w:p>
      <w:r>
        <w:rPr>
          <w:b/>
        </w:rPr>
        <w:t>calamanCy: A Tagalog Natural Language Processing Toolkit</w:t>
      </w:r>
      <w:r>
        <w:rPr>
          <w:i/>
        </w:rPr>
        <w:t xml:space="preserve">  [Local]</w:t>
      </w:r>
    </w:p>
    <w:p>
      <w:r>
        <w:rPr>
          <w:b w:val="0"/>
          <w:i w:val="0"/>
        </w:rPr>
        <w:t>Miranda (2023) introduced calamanCy, an open-source toolkit for building natural language processing pipelines for Tagalog on top of spaCy. It brings scattered Tagalog resources into one framework and provides ready models for part-of-speech tagging, dependency parsing and named entity recognition.</w:t>
      </w:r>
    </w:p>
    <w:p>
      <w:r>
        <w:rPr>
          <w:b/>
        </w:rPr>
        <w:t xml:space="preserve">Relevance to the proposed study: </w:t>
      </w:r>
      <w:r>
        <w:t>Agent notes in the Philippines are often written in Taglish. This toolkit gives the study Tagalog-aware tokenisation and entity features to use alongside the Conditional Random Fields.</w:t>
      </w:r>
    </w:p>
    <w:p>
      <w:r>
        <w:rPr>
          <w:b/>
        </w:rPr>
        <w:t xml:space="preserve">Source link: </w:t>
      </w:r>
      <w:r>
        <w:t>https://arxiv.org/abs/2311.07171</w:t>
      </w:r>
    </w:p>
    <w:p>
      <w:r>
        <w:rPr>
          <w:b/>
          <w:i w:val="0"/>
        </w:rPr>
        <w:t>Review of Related Studies</w:t>
      </w:r>
    </w:p>
    <w:p>
      <w:r>
        <w:rPr>
          <w:b w:val="0"/>
          <w:i w:val="0"/>
        </w:rPr>
        <w:t>The RRS presents measured results for automatic de-identification, which set the benchmark the proposed system will be compared against, together with Philippine work on recognising entities in Filipino text.</w:t>
      </w:r>
    </w:p>
    <w:p>
      <w:r>
        <w:rPr>
          <w:b/>
        </w:rPr>
        <w:t>Automated Systems for the De-identification of Longitudinal Clinical Narratives: Overview of 2014 i2b2/UTHealth Shared Task Track 1</w:t>
      </w:r>
      <w:r>
        <w:rPr>
          <w:i/>
        </w:rPr>
        <w:t xml:space="preserve">  [Foreign]</w:t>
      </w:r>
    </w:p>
    <w:p>
      <w:r>
        <w:rPr>
          <w:b w:val="0"/>
          <w:i w:val="0"/>
        </w:rPr>
        <w:t>Stubbs, Kotfila and Uzuner (2015) reported the results of a shared task where ten teams submitted 22 systems for finding identifying information in clinical narratives, covering more categories than United States health privacy law requires. Three systems scored an F1 above 0.90, and the most successful systems combined Conditional Random Fields with hand-written rules.</w:t>
      </w:r>
    </w:p>
    <w:p>
      <w:r>
        <w:rPr>
          <w:b/>
        </w:rPr>
        <w:t xml:space="preserve">Relevance to the proposed study: </w:t>
      </w:r>
      <w:r>
        <w:t>It supports the proposed design of Conditional Random Fields plus a rule layer, and provides the published benchmark the system's results will be compared against.</w:t>
      </w:r>
    </w:p>
    <w:p>
      <w:r>
        <w:rPr>
          <w:b/>
        </w:rPr>
        <w:t xml:space="preserve">Source link: </w:t>
      </w:r>
      <w:r>
        <w:t>https://doi.org/10.1016/j.jbi.2015.06.007</w:t>
      </w:r>
    </w:p>
    <w:p>
      <w:r>
        <w:rPr>
          <w:b/>
        </w:rPr>
        <w:t>Automatic De-identification of Electronic Medical Records Using Token-Level and Character-Level Conditional Random Fields</w:t>
      </w:r>
      <w:r>
        <w:rPr>
          <w:i/>
        </w:rPr>
        <w:t xml:space="preserve">  [Foreign]</w:t>
      </w:r>
    </w:p>
    <w:p>
      <w:r>
        <w:rPr>
          <w:b w:val="0"/>
          <w:i w:val="0"/>
        </w:rPr>
        <w:t>Liu et al. (2015) built a hybrid system in which a token-level Conditional Random Field, a character-level Conditional Random Field and a rule-based classifier each find identifying information, and their outputs are merged by rules. On the 2014 i2b2 corpus it reached micro F-scores of 94.64 percent, 91.24 percent and 91.63 percent under the token, strict and relaxed criteria, which rose slightly after refined location dictionaries were added.</w:t>
      </w:r>
    </w:p>
    <w:p>
      <w:r>
        <w:rPr>
          <w:b/>
        </w:rPr>
        <w:t xml:space="preserve">Relevance to the proposed study: </w:t>
      </w:r>
      <w:r>
        <w:t>This is the closest template for the proposed detector. The gain from location dictionaries also supports adding Philippine place names, such as barangays, to the system's features.</w:t>
      </w:r>
    </w:p>
    <w:p>
      <w:r>
        <w:rPr>
          <w:b/>
        </w:rPr>
        <w:t xml:space="preserve">Source link: </w:t>
      </w:r>
      <w:r>
        <w:t>https://doi.org/10.1016/j.jbi.2015.06.009</w:t>
      </w:r>
    </w:p>
    <w:p>
      <w:r>
        <w:rPr>
          <w:b/>
        </w:rPr>
        <w:t>De-identification of Patient Notes with Recurrent Neural Networks</w:t>
      </w:r>
      <w:r>
        <w:rPr>
          <w:i/>
        </w:rPr>
        <w:t xml:space="preserve">  [Foreign]</w:t>
      </w:r>
    </w:p>
    <w:p>
      <w:r>
        <w:rPr>
          <w:b w:val="0"/>
          <w:i w:val="0"/>
        </w:rPr>
        <w:t>Dernoncourt et al. (2017) built the first de-identification system based on artificial neural networks, requiring no hand-crafted features or rules. It reached an F1-score of 97.85 on the 2014 i2b2 dataset and 99.23 on the MIMIC de-identification dataset, outperforming earlier systems.</w:t>
      </w:r>
    </w:p>
    <w:p>
      <w:r>
        <w:rPr>
          <w:b/>
        </w:rPr>
        <w:t xml:space="preserve">Relevance to the proposed study: </w:t>
      </w:r>
      <w:r>
        <w:t>It shows that a stronger neural baseline exists. The proposed study uses Conditional Random Fields because they run without a GPU, give consistent and auditable output and keep text local, and it will report that trade-off honestly.</w:t>
      </w:r>
    </w:p>
    <w:p>
      <w:r>
        <w:rPr>
          <w:b/>
        </w:rPr>
        <w:t xml:space="preserve">Source link: </w:t>
      </w:r>
      <w:r>
        <w:t>https://doi.org/10.1093/jamia/ocw156</w:t>
      </w:r>
    </w:p>
    <w:p>
      <w:r>
        <w:rPr>
          <w:b/>
        </w:rPr>
        <w:t>Can Zero-Shot Commercial APIs Deliver Regulatory-Grade Clinical Text De-Identification?</w:t>
      </w:r>
      <w:r>
        <w:rPr>
          <w:i/>
        </w:rPr>
        <w:t xml:space="preserve">  [Foreign]</w:t>
      </w:r>
    </w:p>
    <w:p>
      <w:r>
        <w:rPr>
          <w:b w:val="0"/>
          <w:i w:val="0"/>
        </w:rPr>
        <w:t>Kocaman et al. (2025) compared four de-identification services on 48 clinical documents annotated by medical experts. John Snow Labs scored an F1 of 96 percent, Azure 91 percent, AWS 83 percent and GPT-4o 79 percent. The authors are from John Snow Labs, so the comparison should be read with that interest in mind.</w:t>
      </w:r>
    </w:p>
    <w:p>
      <w:r>
        <w:rPr>
          <w:b/>
        </w:rPr>
        <w:t xml:space="preserve">Relevance to the proposed study: </w:t>
      </w:r>
      <w:r>
        <w:t>It answers the likely question of why the study does not simply use a large language model. General commercial models did not reach the accuracy of specialised tools, and each one would require sending sensitive text to an outside service.</w:t>
      </w:r>
    </w:p>
    <w:p>
      <w:r>
        <w:rPr>
          <w:b/>
        </w:rPr>
        <w:t xml:space="preserve">Source link: </w:t>
      </w:r>
      <w:r>
        <w:t>https://arxiv.org/abs/2503.20794</w:t>
      </w:r>
    </w:p>
    <w:p>
      <w:r>
        <w:rPr>
          <w:b/>
        </w:rPr>
        <w:t>Developing a Named Entity Recognition Dataset for Tagalog</w:t>
      </w:r>
      <w:r>
        <w:rPr>
          <w:i/>
        </w:rPr>
        <w:t xml:space="preserve">  [Local]</w:t>
      </w:r>
    </w:p>
    <w:p>
      <w:r>
        <w:rPr>
          <w:b w:val="0"/>
          <w:i w:val="0"/>
        </w:rPr>
        <w:t>Miranda (2023) built a Tagalog named entity recognition dataset of about 7,800 news documents labelled by native speakers for persons, organisations and locations. Annotator agreement, measured by Cohen's kappa, was 0.81, and the author evaluated current methods under supervised and transfer learning settings.</w:t>
      </w:r>
    </w:p>
    <w:p>
      <w:r>
        <w:rPr>
          <w:b/>
        </w:rPr>
        <w:t xml:space="preserve">Relevance to the proposed study: </w:t>
      </w:r>
      <w:r>
        <w:t>It is a Philippine-language resource for recognising names and places in Filipino text. It also shows how to measure labelling agreement, which the group should apply to its own synthetic corpus.</w:t>
      </w:r>
    </w:p>
    <w:p>
      <w:r>
        <w:rPr>
          <w:b/>
        </w:rPr>
        <w:t xml:space="preserve">Source link: </w:t>
      </w:r>
      <w:r>
        <w:t>https://arxiv.org/abs/2311.07161</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