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B073E" w14:textId="77777777" w:rsidR="00F525D1" w:rsidRDefault="00F525D1">
      <w:pPr>
        <w:spacing w:after="40"/>
        <w:jc w:val="center"/>
        <w:rPr>
          <w:b/>
          <w:sz w:val="60"/>
          <w:szCs w:val="60"/>
        </w:rPr>
      </w:pPr>
    </w:p>
    <w:p w14:paraId="318EEB9D" w14:textId="267488A6" w:rsidR="00706138" w:rsidRPr="00F525D1" w:rsidRDefault="00000000">
      <w:pPr>
        <w:spacing w:after="40"/>
        <w:jc w:val="center"/>
        <w:rPr>
          <w:sz w:val="60"/>
          <w:szCs w:val="60"/>
        </w:rPr>
      </w:pPr>
      <w:r w:rsidRPr="00F525D1">
        <w:rPr>
          <w:b/>
          <w:sz w:val="60"/>
          <w:szCs w:val="60"/>
        </w:rPr>
        <w:t>COMPUTER SCIENCE DEPARTMENT</w:t>
      </w:r>
    </w:p>
    <w:p w14:paraId="59442E2D" w14:textId="77777777" w:rsidR="00F525D1" w:rsidRPr="00F525D1" w:rsidRDefault="00F525D1">
      <w:pPr>
        <w:spacing w:after="40"/>
        <w:jc w:val="center"/>
        <w:rPr>
          <w:sz w:val="60"/>
          <w:szCs w:val="60"/>
        </w:rPr>
      </w:pPr>
    </w:p>
    <w:p w14:paraId="1D63BCAE" w14:textId="77777777" w:rsidR="00706138" w:rsidRPr="00F525D1" w:rsidRDefault="00000000">
      <w:pPr>
        <w:spacing w:after="40"/>
        <w:jc w:val="center"/>
        <w:rPr>
          <w:sz w:val="60"/>
          <w:szCs w:val="60"/>
        </w:rPr>
      </w:pPr>
      <w:r w:rsidRPr="00F525D1">
        <w:rPr>
          <w:b/>
          <w:sz w:val="60"/>
          <w:szCs w:val="60"/>
        </w:rPr>
        <w:t>CS0025</w:t>
      </w:r>
    </w:p>
    <w:p w14:paraId="164A30E3" w14:textId="77777777" w:rsidR="00706138" w:rsidRPr="00F525D1" w:rsidRDefault="00000000">
      <w:pPr>
        <w:spacing w:after="40"/>
        <w:jc w:val="center"/>
        <w:rPr>
          <w:sz w:val="60"/>
          <w:szCs w:val="60"/>
        </w:rPr>
      </w:pPr>
      <w:r w:rsidRPr="00F525D1">
        <w:rPr>
          <w:b/>
          <w:sz w:val="60"/>
          <w:szCs w:val="60"/>
        </w:rPr>
        <w:t>(SOFTWARE ENGINEERING 1)</w:t>
      </w:r>
    </w:p>
    <w:p w14:paraId="3742277E" w14:textId="77777777" w:rsidR="00706138" w:rsidRDefault="00706138">
      <w:pPr>
        <w:pBdr>
          <w:top w:val="single" w:sz="8" w:space="4" w:color="000000"/>
        </w:pBdr>
        <w:spacing w:after="40"/>
        <w:jc w:val="center"/>
      </w:pPr>
    </w:p>
    <w:p w14:paraId="7FF1DAFF" w14:textId="77777777" w:rsidR="00706138" w:rsidRPr="00F525D1" w:rsidRDefault="00000000">
      <w:pPr>
        <w:spacing w:after="40"/>
        <w:jc w:val="center"/>
        <w:rPr>
          <w:sz w:val="60"/>
          <w:szCs w:val="60"/>
        </w:rPr>
      </w:pPr>
      <w:r w:rsidRPr="00F525D1">
        <w:rPr>
          <w:b/>
          <w:sz w:val="60"/>
          <w:szCs w:val="60"/>
        </w:rPr>
        <w:t>ACTIVITY</w:t>
      </w:r>
    </w:p>
    <w:p w14:paraId="7C6B5AC0" w14:textId="77777777" w:rsidR="00706138" w:rsidRPr="00F525D1" w:rsidRDefault="00000000">
      <w:pPr>
        <w:spacing w:after="40"/>
        <w:jc w:val="center"/>
        <w:rPr>
          <w:sz w:val="60"/>
          <w:szCs w:val="60"/>
        </w:rPr>
      </w:pPr>
      <w:r w:rsidRPr="00F525D1">
        <w:rPr>
          <w:b/>
          <w:sz w:val="60"/>
          <w:szCs w:val="60"/>
        </w:rPr>
        <w:t xml:space="preserve">2</w:t>
      </w:r>
    </w:p>
    <w:p w14:paraId="3D856A2A" w14:textId="77777777" w:rsidR="00706138" w:rsidRPr="00F525D1" w:rsidRDefault="00000000">
      <w:pPr>
        <w:pBdr>
          <w:bottom w:val="single" w:sz="8" w:space="4" w:color="000000"/>
        </w:pBdr>
        <w:spacing w:after="40"/>
        <w:jc w:val="center"/>
        <w:rPr>
          <w:sz w:val="60"/>
          <w:szCs w:val="60"/>
        </w:rPr>
      </w:pPr>
      <w:r w:rsidRPr="00F525D1">
        <w:rPr>
          <w:b/>
          <w:sz w:val="60"/>
          <w:szCs w:val="60"/>
        </w:rPr>
        <w:t>[AI – ASSISTED]</w:t>
      </w:r>
    </w:p>
    <w:p w14:paraId="4246B52F" w14:textId="77777777" w:rsidR="00706138" w:rsidRDefault="00706138">
      <w:pPr>
        <w:spacing w:after="40"/>
        <w:jc w:val="center"/>
      </w:pPr>
    </w:p>
    <w:p w14:paraId="2DA1A371" w14:textId="77777777" w:rsidR="00706138" w:rsidRPr="00F525D1" w:rsidRDefault="00000000">
      <w:pPr>
        <w:spacing w:after="40"/>
        <w:jc w:val="center"/>
        <w:rPr>
          <w:sz w:val="40"/>
          <w:szCs w:val="40"/>
        </w:rPr>
      </w:pPr>
      <w:r w:rsidRPr="00F525D1">
        <w:rPr>
          <w:b/>
          <w:sz w:val="40"/>
          <w:szCs w:val="40"/>
          <w:u w:val="single"/>
        </w:rPr>
        <w:t xml:space="preserve">RRL AND RRS</w:t>
      </w:r>
    </w:p>
    <w:p w14:paraId="2D07F7F3" w14:textId="77777777" w:rsidR="00706138" w:rsidRDefault="00706138">
      <w:pPr>
        <w:spacing w:after="40"/>
        <w:jc w:val="center"/>
      </w:pPr>
    </w:p>
    <w:tbl>
      <w:tblPr>
        <w:tblStyle w:val="TableGrid"/>
        <w:tblW w:w="0" w:type="auto"/>
        <w:tblLook w:val="04A0" w:firstRow="1" w:lastRow="0" w:firstColumn="1" w:lastColumn="0" w:noHBand="0" w:noVBand="1"/>
      </w:tblPr>
      <w:tblGrid>
        <w:gridCol w:w="2448"/>
        <w:gridCol w:w="7776"/>
      </w:tblGrid>
      <w:tr w:rsidR="00706138" w14:paraId="32922590" w14:textId="77777777">
        <w:tc>
          <w:tcPr>
            <w:tcW w:w="2448" w:type="dxa"/>
          </w:tcPr>
          <w:p w14:paraId="25BFED36" w14:textId="77777777" w:rsidR="00706138" w:rsidRDefault="00000000">
            <w:pPr>
              <w:spacing w:before="40" w:after="40"/>
            </w:pPr>
            <w:r>
              <w:rPr>
                <w:b/>
                <w:sz w:val="18"/>
              </w:rPr>
              <w:t>Group Name:</w:t>
            </w:r>
          </w:p>
        </w:tc>
        <w:tc>
          <w:tcPr>
            <w:tcW w:w="7776" w:type="dxa"/>
          </w:tcPr>
          <w:p w14:paraId="4EFBF27B" w14:textId="77777777" w:rsidR="00706138" w:rsidRDefault="00000000">
            <w:pPr>
              <w:spacing w:before="40" w:after="40"/>
            </w:pPr>
            <w:r>
              <w:rPr>
                <w:sz w:val="18"/>
              </w:rPr>
              <w:t>Statisfied (Section TS31)</w:t>
            </w:r>
          </w:p>
        </w:tc>
      </w:tr>
      <w:tr w:rsidR="00706138" w14:paraId="3C60B524" w14:textId="77777777">
        <w:tc>
          <w:tcPr>
            <w:tcW w:w="2448" w:type="dxa"/>
          </w:tcPr>
          <w:p w14:paraId="2BB7C6BA" w14:textId="77777777" w:rsidR="00706138" w:rsidRDefault="00000000">
            <w:pPr>
              <w:spacing w:before="40" w:after="40"/>
            </w:pPr>
            <w:r>
              <w:rPr>
                <w:b/>
                <w:sz w:val="18"/>
              </w:rPr>
              <w:t>Group Member/s:</w:t>
            </w:r>
          </w:p>
        </w:tc>
        <w:tc>
          <w:tcPr>
            <w:tcW w:w="7776" w:type="dxa"/>
          </w:tcPr>
          <w:p w14:paraId="444F9700" w14:textId="77777777" w:rsidR="00706138" w:rsidRDefault="00000000">
            <w:pPr>
              <w:spacing w:before="40" w:after="40"/>
            </w:pPr>
            <w:r>
              <w:rPr>
                <w:sz w:val="18"/>
              </w:rPr>
              <w:t>Dawn Andrei Pamesa (Leader)</w:t>
            </w:r>
            <w:r>
              <w:rPr>
                <w:sz w:val="18"/>
              </w:rPr>
              <w:br/>
              <w:t>Rogelio Porras</w:t>
            </w:r>
            <w:r>
              <w:rPr>
                <w:sz w:val="18"/>
              </w:rPr>
              <w:br/>
              <w:t>John Ashley Alba</w:t>
            </w:r>
            <w:r>
              <w:rPr>
                <w:sz w:val="18"/>
              </w:rPr>
              <w:br/>
              <w:t>Ralph Blanco</w:t>
            </w:r>
          </w:p>
        </w:tc>
      </w:tr>
      <w:tr w:rsidR="00706138" w14:paraId="3FBEFC9C" w14:textId="77777777">
        <w:tc>
          <w:tcPr>
            <w:tcW w:w="2448" w:type="dxa"/>
          </w:tcPr>
          <w:p w14:paraId="6511ED42" w14:textId="77777777" w:rsidR="00706138" w:rsidRDefault="00000000">
            <w:pPr>
              <w:spacing w:before="40" w:after="40"/>
            </w:pPr>
            <w:r>
              <w:rPr>
                <w:b/>
                <w:sz w:val="18"/>
              </w:rPr>
              <w:t>Professor:</w:t>
            </w:r>
          </w:p>
        </w:tc>
        <w:tc>
          <w:tcPr>
            <w:tcW w:w="7776" w:type="dxa"/>
          </w:tcPr>
          <w:p w14:paraId="7BC7EC3E" w14:textId="77777777" w:rsidR="00706138" w:rsidRDefault="00000000">
            <w:pPr>
              <w:spacing w:before="40" w:after="40"/>
            </w:pPr>
            <w:r>
              <w:rPr>
                <w:sz w:val="18"/>
              </w:rPr>
              <w:t>Doc Beau Gray Habal</w:t>
            </w:r>
          </w:p>
        </w:tc>
      </w:tr>
      <w:tr w:rsidR="00706138" w14:paraId="583961DC" w14:textId="77777777">
        <w:tc>
          <w:tcPr>
            <w:tcW w:w="2448" w:type="dxa"/>
          </w:tcPr>
          <w:p w14:paraId="1CEDD0B4" w14:textId="77777777" w:rsidR="00706138" w:rsidRDefault="00000000">
            <w:pPr>
              <w:spacing w:before="40" w:after="40"/>
            </w:pPr>
            <w:r>
              <w:rPr>
                <w:b/>
                <w:sz w:val="18"/>
              </w:rPr>
              <w:t>Date Performed:</w:t>
            </w:r>
          </w:p>
        </w:tc>
        <w:tc>
          <w:tcPr>
            <w:tcW w:w="7776" w:type="dxa"/>
          </w:tcPr>
          <w:p w14:paraId="6A6C4FAC" w14:textId="77954B2C" w:rsidR="00706138" w:rsidRDefault="00000000">
            <w:pPr>
              <w:spacing w:before="40" w:after="40"/>
            </w:pPr>
            <w:r>
              <w:rPr>
                <w:sz w:val="18"/>
              </w:rPr>
              <w:t xml:space="preserve">September 21 to 24, 2026</w:t>
            </w:r>
          </w:p>
        </w:tc>
      </w:tr>
      <w:tr w:rsidR="00706138" w14:paraId="69A27B8E" w14:textId="77777777">
        <w:tc>
          <w:tcPr>
            <w:tcW w:w="2448" w:type="dxa"/>
          </w:tcPr>
          <w:p w14:paraId="2C6C0FBD" w14:textId="77777777" w:rsidR="00706138" w:rsidRDefault="00000000">
            <w:pPr>
              <w:spacing w:before="40" w:after="40"/>
            </w:pPr>
            <w:r>
              <w:rPr>
                <w:b/>
                <w:sz w:val="18"/>
              </w:rPr>
              <w:t>Date Submitted:</w:t>
            </w:r>
          </w:p>
        </w:tc>
        <w:tc>
          <w:tcPr>
            <w:tcW w:w="7776" w:type="dxa"/>
          </w:tcPr>
          <w:p w14:paraId="48A47ED5" w14:textId="691470DD" w:rsidR="00706138" w:rsidRDefault="00F525D1">
            <w:pPr>
              <w:spacing w:before="40" w:after="40"/>
            </w:pPr>
            <w:r>
              <w:rPr>
                <w:highlight w:val="yellow"/>
              </w:rPr>
              <w:t xml:space="preserve">September 24, 2026</w:t>
            </w:r>
          </w:p>
        </w:tc>
      </w:tr>
    </w:tbl>
    <w:p w14:paraId="196AF00C" w14:textId="77777777" w:rsidR="00706138" w:rsidRDefault="00000000">
      <w:pPr>
        <w:spacing w:after="40"/>
        <w:jc w:val="center"/>
      </w:pPr>
      <w:r>
        <w:rPr>
          <w:b/>
          <w:sz w:val="28"/>
        </w:rPr>
        <w:br w:type="page"/>
      </w:r>
    </w:p>
    <w:p>
      <w:pPr>
        <w:keepNext/>
        <w:spacing w:before="160" w:after="80"/>
      </w:pPr>
      <w:r>
        <w:rPr>
          <w:b/>
          <w:sz w:val="22"/>
        </w:rPr>
        <w:t>Assessment Purpose</w:t>
      </w:r>
    </w:p>
    <w:p>
      <w:pPr>
        <w:spacing w:after="120"/>
        <w:jc w:val="both"/>
      </w:pPr>
      <w:r>
        <w:t>To revise the feasibility study of each target thesis title from Technical Assessment 1 and support each one with a review of related literature and studies, following the Technical Assessment 2 form: five local literatures, five foreign literatures, five local studies, and five foreign studies per title, each summarised in the group's own words with its relevance, followed by the research and system gap and the refined title. The titles are then compared and ranked by the group, and a primary title and a backup title are identified.</w:t>
      </w:r>
    </w:p>
    <w:p>
      <w:pPr>
        <w:keepNext/>
        <w:spacing w:before="160" w:after="80"/>
      </w:pPr>
      <w:r>
        <w:rPr>
          <w:b/>
          <w:sz w:val="22"/>
        </w:rPr>
        <w:t>What Changed Since Technical Assessment 1</w:t>
      </w:r>
    </w:p>
    <w:p>
      <w:pPr>
        <w:spacing w:after="60"/>
        <w:ind w:left="432"/>
        <w:jc w:val="both"/>
      </w:pPr>
      <w:r>
        <w:t>•  The Luzon grid title was dropped, since another group is working on something similar.</w:t>
      </w:r>
    </w:p>
    <w:p>
      <w:pPr>
        <w:spacing w:after="60"/>
        <w:ind w:left="432"/>
        <w:jc w:val="both"/>
      </w:pPr>
      <w:r>
        <w:t>•  The Barangay Tatalon title was replaced by a child immunization records title at a Mandaluyong City barangay health center.</w:t>
      </w:r>
    </w:p>
    <w:p>
      <w:pPr>
        <w:spacing w:after="60"/>
        <w:ind w:left="432"/>
        <w:jc w:val="both"/>
      </w:pPr>
      <w:r>
        <w:t>•  Three new partner-based titles were added: SM Foundation, Quezon City ITDD (carried over and strengthened), and the National Transmission Corporation.</w:t>
      </w:r>
    </w:p>
    <w:p>
      <w:pPr>
        <w:spacing w:after="60"/>
        <w:ind w:left="432"/>
        <w:jc w:val="both"/>
      </w:pPr>
      <w:r>
        <w:t>•  The retail title was narrowed to milk products with limited shelf life.</w:t>
      </w:r>
    </w:p>
    <w:p>
      <w:pPr>
        <w:spacing w:after="60"/>
        <w:ind w:left="432"/>
        <w:jc w:val="both"/>
      </w:pPr>
      <w:r>
        <w:t>•  The BAPTC title was kept and its data section updated to the latest reply from BAPTC.</w:t>
      </w:r>
    </w:p>
    <w:p>
      <w:pPr>
        <w:keepNext/>
        <w:spacing w:before="160" w:after="80"/>
      </w:pPr>
      <w:r>
        <w:rPr>
          <w:b/>
          <w:sz w:val="22"/>
        </w:rPr>
        <w:t>Titles Under Assessment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432"/>
            <w:shd w:val="clear" w:color="auto" w:fill="EDEDED"/>
          </w:tcPr>
          <w:p>
            <w:r>
              <w:rPr>
                <w:b/>
                <w:sz w:val="18"/>
              </w:rPr>
              <w:t>#</w:t>
            </w:r>
          </w:p>
        </w:tc>
        <w:tc>
          <w:tcPr>
            <w:tcW w:type="dxa" w:w="5616"/>
            <w:shd w:val="clear" w:color="auto" w:fill="EDEDED"/>
          </w:tcPr>
          <w:p>
            <w:r>
              <w:rPr>
                <w:b/>
                <w:sz w:val="18"/>
              </w:rPr>
              <w:t>Target Thesis Title</w:t>
            </w:r>
          </w:p>
        </w:tc>
        <w:tc>
          <w:tcPr>
            <w:tcW w:type="dxa" w:w="2160"/>
            <w:shd w:val="clear" w:color="auto" w:fill="EDEDED"/>
          </w:tcPr>
          <w:p>
            <w:r>
              <w:rPr>
                <w:b/>
                <w:sz w:val="18"/>
              </w:rPr>
              <w:t>Partner</w:t>
            </w:r>
          </w:p>
        </w:tc>
        <w:tc>
          <w:tcPr>
            <w:tcW w:type="dxa" w:w="2016"/>
            <w:shd w:val="clear" w:color="auto" w:fill="EDEDED"/>
          </w:tcPr>
          <w:p>
            <w:r>
              <w:rPr>
                <w:b/>
                <w:sz w:val="18"/>
              </w:rPr>
              <w:t>Primary Technique</w:t>
            </w:r>
          </w:p>
        </w:tc>
      </w:tr>
      <w:tr>
        <w:tc>
          <w:tcPr>
            <w:tcW w:type="dxa" w:w="432"/>
          </w:tcPr>
          <w:p>
            <w:r>
              <w:rPr>
                <w:sz w:val="18"/>
              </w:rPr>
              <w:t>1</w:t>
            </w:r>
          </w:p>
        </w:tc>
        <w:tc>
          <w:tcPr>
            <w:tcW w:type="dxa" w:w="5616"/>
          </w:tcPr>
          <w:p>
            <w:r>
              <w:rPr>
                <w:sz w:val="18"/>
              </w:rPr>
              <w:t>Highland Vegetable Price and Supply Glut Forecasting at the Benguet Agri-Pinoy Trading Center Using XGBoost</w:t>
            </w:r>
          </w:p>
        </w:tc>
        <w:tc>
          <w:tcPr>
            <w:tcW w:type="dxa" w:w="2160"/>
          </w:tcPr>
          <w:p>
            <w:r>
              <w:rPr>
                <w:sz w:val="18"/>
              </w:rPr>
              <w:t>BAPTC and DA-CAR</w:t>
            </w:r>
          </w:p>
        </w:tc>
        <w:tc>
          <w:tcPr>
            <w:tcW w:type="dxa" w:w="2016"/>
          </w:tcPr>
          <w:p>
            <w:r>
              <w:rPr>
                <w:sz w:val="18"/>
              </w:rPr>
              <w:t>Predictive Analytics</w:t>
            </w:r>
          </w:p>
        </w:tc>
      </w:tr>
      <w:tr>
        <w:tc>
          <w:tcPr>
            <w:tcW w:type="dxa" w:w="432"/>
          </w:tcPr>
          <w:p>
            <w:r>
              <w:rPr>
                <w:sz w:val="18"/>
              </w:rPr>
              <w:t>2</w:t>
            </w:r>
          </w:p>
        </w:tc>
        <w:tc>
          <w:tcPr>
            <w:tcW w:type="dxa" w:w="5616"/>
          </w:tcPr>
          <w:p>
            <w:r>
              <w:rPr>
                <w:sz w:val="18"/>
              </w:rPr>
              <w:t>A Data Governance System for Verifiable CSR Impact Reporting Using Fellegi-Sunter Record Linkage</w:t>
            </w:r>
          </w:p>
        </w:tc>
        <w:tc>
          <w:tcPr>
            <w:tcW w:type="dxa" w:w="2160"/>
          </w:tcPr>
          <w:p>
            <w:r>
              <w:rPr>
                <w:sz w:val="18"/>
              </w:rPr>
              <w:t>SM Foundation</w:t>
            </w:r>
          </w:p>
        </w:tc>
        <w:tc>
          <w:tcPr>
            <w:tcW w:type="dxa" w:w="2016"/>
          </w:tcPr>
          <w:p>
            <w:r>
              <w:rPr>
                <w:sz w:val="18"/>
              </w:rPr>
              <w:t>Data Governance and Ethics</w:t>
            </w:r>
          </w:p>
        </w:tc>
      </w:tr>
      <w:tr>
        <w:tc>
          <w:tcPr>
            <w:tcW w:type="dxa" w:w="432"/>
          </w:tcPr>
          <w:p>
            <w:r>
              <w:rPr>
                <w:sz w:val="18"/>
              </w:rPr>
              <w:t>3</w:t>
            </w:r>
          </w:p>
        </w:tc>
        <w:tc>
          <w:tcPr>
            <w:tcW w:type="dxa" w:w="5616"/>
          </w:tcPr>
          <w:p>
            <w:r>
              <w:rPr>
                <w:sz w:val="18"/>
              </w:rPr>
              <w:t>A Data Governance System for Privacy Release Readiness of Quezon City Open Data Using Mondrian k-Anonymity</w:t>
            </w:r>
          </w:p>
        </w:tc>
        <w:tc>
          <w:tcPr>
            <w:tcW w:type="dxa" w:w="2160"/>
          </w:tcPr>
          <w:p>
            <w:r>
              <w:rPr>
                <w:sz w:val="18"/>
              </w:rPr>
              <w:t>Quezon City ITDD</w:t>
            </w:r>
          </w:p>
        </w:tc>
        <w:tc>
          <w:tcPr>
            <w:tcW w:type="dxa" w:w="2016"/>
          </w:tcPr>
          <w:p>
            <w:r>
              <w:rPr>
                <w:sz w:val="18"/>
              </w:rPr>
              <w:t>Data Governance and Ethics</w:t>
            </w:r>
          </w:p>
        </w:tc>
      </w:tr>
      <w:tr>
        <w:tc>
          <w:tcPr>
            <w:tcW w:type="dxa" w:w="432"/>
          </w:tcPr>
          <w:p>
            <w:r>
              <w:rPr>
                <w:sz w:val="18"/>
              </w:rPr>
              <w:t>4</w:t>
            </w:r>
          </w:p>
        </w:tc>
        <w:tc>
          <w:tcPr>
            <w:tcW w:type="dxa" w:w="5616"/>
          </w:tcPr>
          <w:p>
            <w:r>
              <w:rPr>
                <w:sz w:val="18"/>
              </w:rPr>
              <w:t>Development of a Fuzzy Matching and Data Quality Scoring Model for Detecting Potential Duplicate and Incomplete Child Immunization Records at a Barangay Health Center in Mandaluyong City</w:t>
            </w:r>
          </w:p>
        </w:tc>
        <w:tc>
          <w:tcPr>
            <w:tcW w:type="dxa" w:w="2160"/>
          </w:tcPr>
          <w:p>
            <w:r>
              <w:rPr>
                <w:sz w:val="18"/>
              </w:rPr>
              <w:t>Barangay health center, Mandaluyong City</w:t>
            </w:r>
          </w:p>
        </w:tc>
        <w:tc>
          <w:tcPr>
            <w:tcW w:type="dxa" w:w="2016"/>
          </w:tcPr>
          <w:p>
            <w:r>
              <w:rPr>
                <w:sz w:val="18"/>
              </w:rPr>
              <w:t>Data Governance and Ethics</w:t>
            </w:r>
          </w:p>
        </w:tc>
      </w:tr>
      <w:tr>
        <w:tc>
          <w:tcPr>
            <w:tcW w:type="dxa" w:w="432"/>
          </w:tcPr>
          <w:p>
            <w:r>
              <w:rPr>
                <w:sz w:val="18"/>
              </w:rPr>
              <w:t>5</w:t>
            </w:r>
          </w:p>
        </w:tc>
        <w:tc>
          <w:tcPr>
            <w:tcW w:type="dxa" w:w="5616"/>
          </w:tcPr>
          <w:p>
            <w:r>
              <w:rPr>
                <w:sz w:val="18"/>
              </w:rPr>
              <w:t>Demand Forecasting and Dynamic Price Optimization for Milk Retail Products Considering Remaining Shelf Life Using XGBoost</w:t>
            </w:r>
          </w:p>
        </w:tc>
        <w:tc>
          <w:tcPr>
            <w:tcW w:type="dxa" w:w="2160"/>
          </w:tcPr>
          <w:p>
            <w:r>
              <w:rPr>
                <w:sz w:val="18"/>
              </w:rPr>
              <w:t>Partner retailer to be confirmed</w:t>
            </w:r>
          </w:p>
        </w:tc>
        <w:tc>
          <w:tcPr>
            <w:tcW w:type="dxa" w:w="2016"/>
          </w:tcPr>
          <w:p>
            <w:r>
              <w:rPr>
                <w:sz w:val="18"/>
              </w:rPr>
              <w:t>Predictive Analytics</w:t>
            </w:r>
          </w:p>
        </w:tc>
      </w:tr>
      <w:tr>
        <w:tc>
          <w:tcPr>
            <w:tcW w:type="dxa" w:w="432"/>
          </w:tcPr>
          <w:p>
            <w:r>
              <w:rPr>
                <w:sz w:val="18"/>
              </w:rPr>
              <w:t>6</w:t>
            </w:r>
          </w:p>
        </w:tc>
        <w:tc>
          <w:tcPr>
            <w:tcW w:type="dxa" w:w="5616"/>
          </w:tcPr>
          <w:p>
            <w:r>
              <w:rPr>
                <w:sz w:val="18"/>
              </w:rPr>
              <w:t>Personal Data Detection and Redaction for National Transmission Corporation Records Using Conditional Random Fields</w:t>
            </w:r>
          </w:p>
        </w:tc>
        <w:tc>
          <w:tcPr>
            <w:tcW w:type="dxa" w:w="2160"/>
          </w:tcPr>
          <w:p>
            <w:r>
              <w:rPr>
                <w:sz w:val="18"/>
              </w:rPr>
              <w:t>National Transmission Corporation</w:t>
            </w:r>
          </w:p>
        </w:tc>
        <w:tc>
          <w:tcPr>
            <w:tcW w:type="dxa" w:w="2016"/>
          </w:tcPr>
          <w:p>
            <w:r>
              <w:rPr>
                <w:sz w:val="18"/>
              </w:rPr>
              <w:t>Data Governance and Ethics</w:t>
            </w:r>
          </w:p>
        </w:tc>
      </w:tr>
    </w:tbl>
    <w:p>
      <w:pPr>
        <w:spacing w:after="0" w:before="0" w:line="20" w:lineRule="exact"/>
      </w:pPr>
      <w:r>
        <w:rPr>
          <w:sz w:val="2"/>
        </w:rPr>
        <w:br w:type="page"/>
      </w:r>
    </w:p>
    <w:tbl>
      <w:tblPr>
        <w:tblStyle w:val="TableGrid"/>
        <w:tblW w:w="0" w:type="auto"/>
        <w:tblLook w:val="04A0" w:firstRow="1" w:lastRow="0" w:firstColumn="1" w:lastColumn="0" w:noHBand="0" w:noVBand="1"/>
      </w:tblPr>
      <w:tblGrid>
        <w:gridCol w:w="10224"/>
      </w:tblGrid>
      <w:tr w:rsidR="00706138" w14:paraId="4C2516CE" w14:textId="77777777">
        <w:tc>
          <w:tcPr>
            <w:tcW w:w="10224" w:type="dxa"/>
            <w:shd w:val="clear" w:color="auto" w:fill="404040"/>
          </w:tcPr>
          <w:p w14:paraId="50FFDEED" w14:textId="77777777" w:rsidR="00706138" w:rsidRDefault="00000000">
            <w:pPr>
              <w:spacing w:before="60" w:after="60"/>
            </w:pPr>
            <w:r>
              <w:rPr>
                <w:b/>
                <w:color w:val="FFFFFF"/>
                <w:sz w:val="26"/>
              </w:rPr>
              <w:t xml:space="preserve">TARGET TITLE 1 OF 6</w:t>
            </w:r>
          </w:p>
          <w:p w14:paraId="03180930" w14:textId="77777777" w:rsidR="00706138" w:rsidRDefault="00000000">
            <w:pPr>
              <w:spacing w:after="60"/>
            </w:pPr>
            <w:r>
              <w:rPr>
                <w:color w:val="E0E0E0"/>
                <w:sz w:val="18"/>
              </w:rPr>
              <w:t>Highland Vegetable Price and Supply Glut Forecasting at the Benguet Agri-Pinoy Trading Center Using XGBoost</w:t>
            </w:r>
          </w:p>
        </w:tc>
      </w:tr>
    </w:tbl>
    <w:p w14:paraId="45E8C8A9" w14:textId="77777777" w:rsidR="00706138" w:rsidRDefault="00706138">
      <w:pPr>
        <w:spacing w:after="80"/>
      </w:pPr>
    </w:p>
    <w:tbl>
      <w:tblPr>
        <w:tblStyle w:val="TableGrid"/>
        <w:tblW w:w="0" w:type="auto"/>
        <w:jc w:val="center"/>
        <w:tblLook w:val="04A0" w:firstRow="1" w:lastRow="0" w:firstColumn="1" w:lastColumn="0" w:noHBand="0" w:noVBand="1"/>
      </w:tblPr>
      <w:tblGrid>
        <w:gridCol w:w="10224"/>
      </w:tblGrid>
      <w:tr w:rsidR="00706138" w14:paraId="19F271C4" w14:textId="77777777">
        <w:trPr>
          <w:jc w:val="center"/>
        </w:trPr>
        <w:tc>
          <w:tcPr>
            <w:tcW w:w="10224" w:type="dxa"/>
            <w:shd w:val="clear" w:color="auto" w:fill="4EA72E"/>
          </w:tcPr>
          <w:p w14:paraId="0E66D47D" w14:textId="77777777" w:rsidR="00706138" w:rsidRDefault="00000000">
            <w:pPr>
              <w:spacing w:before="40" w:after="40"/>
            </w:pPr>
            <w:r>
              <w:rPr>
                <w:b/>
                <w:sz w:val="22"/>
              </w:rPr>
              <w:t>1. Target Thesis Title</w:t>
            </w:r>
          </w:p>
        </w:tc>
      </w:tr>
    </w:tbl>
    <w:p w14:paraId="05032215" w14:textId="77777777" w:rsidR="00706138" w:rsidRDefault="00706138">
      <w:pPr>
        <w:spacing w:after="40"/>
      </w:pPr>
    </w:p>
    <w:p w14:paraId="643F23BE" w14:textId="77777777" w:rsidR="00706138" w:rsidRDefault="00000000">
      <w:pPr>
        <w:jc w:val="both"/>
      </w:pPr>
      <w:r>
        <w:rPr>
          <w:b/>
        </w:rPr>
        <w:t>Highland Vegetable Price and Supply Glut Forecasting at the Benguet Agri-Pinoy Trading Center Using XGBoost</w:t>
      </w:r>
    </w:p>
    <w:p w14:paraId="654B1EFE" w14:textId="77777777" w:rsidR="00706138" w:rsidRDefault="00000000">
      <w:pPr>
        <w:spacing w:after="40"/>
      </w:pPr>
      <w:r>
        <w:t>Thesis specialization: Data Science</w:t>
      </w:r>
    </w:p>
    <w:p w14:paraId="0DF0D07E" w14:textId="77777777" w:rsidR="00706138" w:rsidRDefault="00000000">
      <w:pPr>
        <w:spacing w:after="40"/>
      </w:pPr>
      <w:r>
        <w:t>Primary technique: Predictive Analytics, from the approved Data Science technique list</w:t>
      </w:r>
    </w:p>
    <w:p w14:paraId="6A7B198F" w14:textId="77777777" w:rsidR="00706138" w:rsidRDefault="00000000">
      <w:pPr>
        <w:spacing w:after="40"/>
      </w:pPr>
      <w:r>
        <w:t>Research domain: Agricultural market forecasting and decision support</w:t>
      </w:r>
    </w:p>
    <w:p w14:paraId="0F906E1A" w14:textId="77777777" w:rsidR="00706138" w:rsidRDefault="00000000">
      <w:pPr>
        <w:spacing w:after="40"/>
      </w:pPr>
      <w:r>
        <w:t>Proponents: Dawn Andrei Pamesa (Leader), Rogelio Porras, John Ashley Alba, Ralph Blanco</w:t>
      </w:r>
    </w:p>
    <w:tbl>
      <w:tblPr>
        <w:tblStyle w:val="TableGrid"/>
        <w:tblW w:w="0" w:type="auto"/>
        <w:jc w:val="center"/>
        <w:tblLook w:val="04A0" w:firstRow="1" w:lastRow="0" w:firstColumn="1" w:lastColumn="0" w:noHBand="0" w:noVBand="1"/>
      </w:tblPr>
      <w:tblGrid>
        <w:gridCol w:w="10224"/>
      </w:tblGrid>
      <w:tr w:rsidR="00706138" w14:paraId="58D73A62" w14:textId="77777777">
        <w:trPr>
          <w:jc w:val="center"/>
        </w:trPr>
        <w:tc>
          <w:tcPr>
            <w:tcW w:w="10224" w:type="dxa"/>
            <w:shd w:val="clear" w:color="auto" w:fill="4EA72E"/>
          </w:tcPr>
          <w:p w14:paraId="50EE1638" w14:textId="77777777" w:rsidR="00706138" w:rsidRDefault="00000000">
            <w:pPr>
              <w:spacing w:before="40" w:after="40"/>
            </w:pPr>
            <w:r>
              <w:rPr>
                <w:b/>
                <w:sz w:val="22"/>
              </w:rPr>
              <w:t>2. Project Overview</w:t>
            </w:r>
          </w:p>
        </w:tc>
      </w:tr>
    </w:tbl>
    <w:p w14:paraId="53E7ABD9" w14:textId="77777777" w:rsidR="00706138" w:rsidRDefault="00706138">
      <w:pPr>
        <w:spacing w:after="40"/>
      </w:pPr>
    </w:p>
    <w:p w14:paraId="79B89366" w14:textId="77777777" w:rsidR="00706138" w:rsidRDefault="00000000">
      <w:pPr>
        <w:jc w:val="both"/>
      </w:pPr>
      <w:r>
        <w:t>Background of the problem. Benguet's highland farms supply temperate vegetables through the Benguet Agri-Pinoy Trading Center in La Trinidad. BAPTC brings farmers and traders together, but its publicly visible price information is fragmented and mainly backward-looking. Farmers therefore lack a reliable signal for planning harvests before overlapping supply causes sharp price declines.</w:t>
      </w:r>
    </w:p>
    <w:p w14:paraId="38FB9BA7" w14:textId="77777777" w:rsidR="00706138" w:rsidRDefault="00000000">
      <w:pPr>
        <w:jc w:val="both"/>
      </w:pPr>
      <w:r>
        <w:t>Specific problem. There is no accessible short-term forecast of wholesale price movement or supply-glut risk by commodity for this market. Planting and harvest decisions are made without any forward indicator, and when many farmers harvest the same commodity in the same window, the resulting oversupply drives prices below recovery cost.</w:t>
      </w:r>
    </w:p>
    <w:p w14:paraId="278F2937" w14:textId="77777777" w:rsidR="00706138" w:rsidRDefault="00000000">
      <w:pPr>
        <w:jc w:val="both"/>
      </w:pPr>
      <w:r>
        <w:t>Target users and beneficiaries. The primary users are BAPTC and Department of Agriculture Cordillera Administrative Region staff. Farmers and traders are the intended beneficiaries, reached through existing DA-CAR communication channels rather than through individual accounts in the system.</w:t>
      </w:r>
    </w:p>
    <w:p w14:paraId="3A2CEAC3" w14:textId="77777777" w:rsidR="00706138" w:rsidRDefault="00000000">
      <w:pPr>
        <w:jc w:val="both"/>
      </w:pPr>
      <w:r>
        <w:t>Proposed solution. A predictive analytics system that forecasts short-term wholesale price movement and supply-glut risk by commodity, delivered as a web dashboard presenting forecasts, risk alerts, model performance, and downloadable summaries.</w:t>
      </w:r>
    </w:p>
    <w:p w14:paraId="68371520" w14:textId="77777777" w:rsidR="00706138" w:rsidRDefault="00000000">
      <w:pPr>
        <w:spacing w:after="40"/>
      </w:pPr>
      <w:r>
        <w:t>Main objectives.</w:t>
      </w:r>
    </w:p>
    <w:p w14:paraId="2432681C" w14:textId="77777777" w:rsidR="00706138" w:rsidRDefault="00000000">
      <w:pPr>
        <w:spacing w:after="60"/>
        <w:ind w:left="432"/>
      </w:pPr>
      <w:r>
        <w:t>•  Confirm and obtain structured historical BAPTC price and trading-volume records.</w:t>
      </w:r>
    </w:p>
    <w:p w14:paraId="3CD0BAD6" w14:textId="77777777" w:rsidR="00706138" w:rsidRDefault="00000000">
      <w:pPr>
        <w:spacing w:after="60"/>
        <w:ind w:left="432"/>
      </w:pPr>
      <w:r>
        <w:t>•  Use DA Bantay Presyo bulletins as an independent secondary signal for cross-validation.</w:t>
      </w:r>
    </w:p>
    <w:p w14:paraId="2E9C7437" w14:textId="77777777" w:rsidR="00706138" w:rsidRDefault="00000000">
      <w:pPr>
        <w:spacing w:after="60"/>
        <w:ind w:left="432"/>
      </w:pPr>
      <w:r>
        <w:t xml:space="preserve">•  Engineer commodity, seasonal, lagged-price, lagged-volume, rolling-trend, and weather features.</w:t>
      </w:r>
    </w:p>
    <w:p w14:paraId="43233EF7" w14:textId="77777777" w:rsidR="00706138" w:rsidRDefault="00000000">
      <w:pPr>
        <w:spacing w:after="60"/>
        <w:ind w:left="432"/>
      </w:pPr>
      <w:r>
        <w:t>•  Compare time-series and machine-learning models for price forecasting and glut-risk classification.</w:t>
      </w:r>
    </w:p>
    <w:p w14:paraId="3A337388" w14:textId="77777777" w:rsidR="00706138" w:rsidRDefault="00000000">
      <w:pPr>
        <w:spacing w:after="60"/>
        <w:ind w:left="432"/>
      </w:pPr>
      <w:r>
        <w:t>•  Provide an early-warning dashboard for staff decision support.</w:t>
      </w:r>
    </w:p>
    <w:p w14:paraId="62E3EE2A" w14:textId="77777777" w:rsidR="00706138" w:rsidRDefault="00000000">
      <w:pPr>
        <w:jc w:val="both"/>
      </w:pPr>
      <w:r>
        <w:t>Expected output. A cleaned historical price and volume dataset, evaluated forecasting and classification models, a web dashboard with forecasts and risk alerts, and a documented model performance report by commodity.</w:t>
      </w:r>
    </w:p>
    <w:p w14:paraId="5D349F37" w14:textId="77777777" w:rsidR="00706138" w:rsidRDefault="00000000">
      <w:pPr>
        <w:jc w:val="both"/>
      </w:pPr>
      <w:r>
        <w:t>Intended contribution. An evaluated forecasting method for a Philippine highland-vegetable market that has not yet been modelled in a publicly identified study. The contribution depends on confirming access to suitable BAPTC records.</w:t>
      </w:r>
    </w:p>
    <w:tbl>
      <w:tblPr>
        <w:tblStyle w:val="TableGrid"/>
        <w:tblW w:w="0" w:type="auto"/>
        <w:jc w:val="center"/>
        <w:tblLook w:val="04A0" w:firstRow="1" w:lastRow="0" w:firstColumn="1" w:lastColumn="0" w:noHBand="0" w:noVBand="1"/>
      </w:tblPr>
      <w:tblGrid>
        <w:gridCol w:w="10224"/>
      </w:tblGrid>
      <w:tr w:rsidR="00706138" w14:paraId="406B887D" w14:textId="77777777">
        <w:trPr>
          <w:jc w:val="center"/>
        </w:trPr>
        <w:tc>
          <w:tcPr>
            <w:tcW w:w="10224" w:type="dxa"/>
            <w:shd w:val="clear" w:color="auto" w:fill="4EA72E"/>
          </w:tcPr>
          <w:p w14:paraId="46CCF8A4" w14:textId="77777777" w:rsidR="00706138" w:rsidRDefault="00000000">
            <w:pPr>
              <w:spacing w:before="40" w:after="40"/>
            </w:pPr>
            <w:r>
              <w:rPr>
                <w:b/>
                <w:sz w:val="22"/>
              </w:rPr>
              <w:t>3. Technical and Technology Feasibility</w:t>
            </w:r>
          </w:p>
        </w:tc>
      </w:tr>
    </w:tbl>
    <w:p w14:paraId="7860063D" w14:textId="77777777" w:rsidR="00706138" w:rsidRDefault="00706138">
      <w:pPr>
        <w:spacing w:after="40"/>
      </w:pPr>
    </w:p>
    <w:tbl>
      <w:tblPr>
        <w:tblStyle w:val="TableGrid"/>
        <w:tblW w:w="0" w:type="auto"/>
        <w:tblLook w:val="04A0" w:firstRow="1" w:lastRow="0" w:firstColumn="1" w:lastColumn="0" w:noHBand="0" w:noVBand="1"/>
      </w:tblPr>
      <w:tblGrid>
        <w:gridCol w:w="1944"/>
        <w:gridCol w:w="4032"/>
        <w:gridCol w:w="4248"/>
      </w:tblGrid>
      <w:tr w:rsidR="00706138" w14:paraId="45889802" w14:textId="77777777">
        <w:tc>
          <w:tcPr>
            <w:tcW w:w="1944" w:type="dxa"/>
            <w:shd w:val="clear" w:color="auto" w:fill="EDEDED"/>
          </w:tcPr>
          <w:p w14:paraId="16DC4268" w14:textId="77777777" w:rsidR="00706138" w:rsidRDefault="00000000">
            <w:pPr>
              <w:spacing w:before="40" w:after="40"/>
            </w:pPr>
            <w:r>
              <w:rPr>
                <w:b/>
                <w:sz w:val="18"/>
              </w:rPr>
              <w:t>Area</w:t>
            </w:r>
          </w:p>
        </w:tc>
        <w:tc>
          <w:tcPr>
            <w:tcW w:w="4032" w:type="dxa"/>
            <w:shd w:val="clear" w:color="auto" w:fill="EDEDED"/>
          </w:tcPr>
          <w:p w14:paraId="1AEC4728" w14:textId="77777777" w:rsidR="00706138" w:rsidRDefault="00000000">
            <w:pPr>
              <w:spacing w:before="40" w:after="40"/>
            </w:pPr>
            <w:r>
              <w:rPr>
                <w:b/>
                <w:sz w:val="18"/>
              </w:rPr>
              <w:t>Proposed Choice</w:t>
            </w:r>
          </w:p>
        </w:tc>
        <w:tc>
          <w:tcPr>
            <w:tcW w:w="4248" w:type="dxa"/>
            <w:shd w:val="clear" w:color="auto" w:fill="EDEDED"/>
          </w:tcPr>
          <w:p w14:paraId="757285EC" w14:textId="77777777" w:rsidR="00706138" w:rsidRDefault="00000000">
            <w:pPr>
              <w:spacing w:before="40" w:after="40"/>
            </w:pPr>
            <w:r>
              <w:rPr>
                <w:b/>
                <w:sz w:val="18"/>
              </w:rPr>
              <w:t>Feasibility and Alternative</w:t>
            </w:r>
          </w:p>
        </w:tc>
      </w:tr>
      <w:tr w:rsidR="00706138" w14:paraId="505891ED" w14:textId="77777777">
        <w:tc>
          <w:tcPr>
            <w:tcW w:w="1944" w:type="dxa"/>
          </w:tcPr>
          <w:p w14:paraId="243C6683" w14:textId="77777777" w:rsidR="00706138" w:rsidRDefault="00000000">
            <w:pPr>
              <w:spacing w:before="40" w:after="40"/>
            </w:pPr>
            <w:r>
              <w:rPr>
                <w:sz w:val="18"/>
              </w:rPr>
              <w:lastRenderedPageBreak/>
              <w:t>Programming languages</w:t>
            </w:r>
          </w:p>
        </w:tc>
        <w:tc>
          <w:tcPr>
            <w:tcW w:w="4032" w:type="dxa"/>
          </w:tcPr>
          <w:p w14:paraId="3C3564A4" w14:textId="77777777" w:rsidR="00706138" w:rsidRDefault="00000000">
            <w:pPr>
              <w:spacing w:before="40" w:after="40"/>
            </w:pPr>
            <w:r>
              <w:rPr>
                <w:sz w:val="18"/>
              </w:rPr>
              <w:t>Python; SQL; JavaScript only if required</w:t>
            </w:r>
          </w:p>
        </w:tc>
        <w:tc>
          <w:tcPr>
            <w:tcW w:w="4248" w:type="dxa"/>
          </w:tcPr>
          <w:p w14:paraId="6762B221" w14:textId="77777777" w:rsidR="00706138" w:rsidRDefault="00000000">
            <w:pPr>
              <w:spacing w:before="40" w:after="40"/>
            </w:pPr>
            <w:r>
              <w:rPr>
                <w:sz w:val="18"/>
              </w:rPr>
              <w:t>Python supports data preparation, forecasting, evaluation, and dashboard services in one stack.</w:t>
            </w:r>
          </w:p>
        </w:tc>
      </w:tr>
      <w:tr w:rsidR="00706138" w14:paraId="0A104827" w14:textId="77777777">
        <w:tc>
          <w:tcPr>
            <w:tcW w:w="1944" w:type="dxa"/>
          </w:tcPr>
          <w:p w14:paraId="70E30730" w14:textId="77777777" w:rsidR="00706138" w:rsidRDefault="00000000">
            <w:pPr>
              <w:spacing w:before="40" w:after="40"/>
            </w:pPr>
            <w:r>
              <w:rPr>
                <w:sz w:val="18"/>
              </w:rPr>
              <w:t>Frameworks and libraries</w:t>
            </w:r>
          </w:p>
        </w:tc>
        <w:tc>
          <w:tcPr>
            <w:tcW w:w="4032" w:type="dxa"/>
          </w:tcPr>
          <w:p w14:paraId="5097B153" w14:textId="77777777" w:rsidR="00706138" w:rsidRDefault="00000000">
            <w:pPr>
              <w:spacing w:before="40" w:after="40"/>
            </w:pPr>
            <w:r>
              <w:rPr>
                <w:sz w:val="18"/>
              </w:rPr>
              <w:t>pandas, NumPy, statsmodels, scikit-learn, XGBoost or LightGBM</w:t>
            </w:r>
          </w:p>
        </w:tc>
        <w:tc>
          <w:tcPr>
            <w:tcW w:w="4248" w:type="dxa"/>
          </w:tcPr>
          <w:p w14:paraId="667AA4C7" w14:textId="77777777" w:rsidR="00706138" w:rsidRDefault="00000000">
            <w:pPr>
              <w:spacing w:before="40" w:after="40"/>
            </w:pPr>
            <w:r>
              <w:rPr>
                <w:sz w:val="18"/>
              </w:rPr>
              <w:t>All are widely used and open source. Simpler scikit-learn models can replace the boosted libraries if tuning proves difficult.</w:t>
            </w:r>
          </w:p>
        </w:tc>
      </w:tr>
      <w:tr w:rsidR="00706138" w14:paraId="6BE05CF0" w14:textId="77777777">
        <w:tc>
          <w:tcPr>
            <w:tcW w:w="1944" w:type="dxa"/>
          </w:tcPr>
          <w:p w14:paraId="2DACBC30" w14:textId="77777777" w:rsidR="00706138" w:rsidRDefault="00000000">
            <w:pPr>
              <w:spacing w:before="40" w:after="40"/>
            </w:pPr>
            <w:r>
              <w:rPr>
                <w:sz w:val="18"/>
              </w:rPr>
              <w:t>Database and storage</w:t>
            </w:r>
          </w:p>
        </w:tc>
        <w:tc>
          <w:tcPr>
            <w:tcW w:w="4032" w:type="dxa"/>
          </w:tcPr>
          <w:p w14:paraId="56BC43DE" w14:textId="77777777" w:rsidR="00706138" w:rsidRDefault="00000000">
            <w:pPr>
              <w:spacing w:before="40" w:after="40"/>
            </w:pPr>
            <w:r>
              <w:rPr>
                <w:sz w:val="18"/>
              </w:rPr>
              <w:t>PostgreSQL or SQLite, with CSV and XLSX import</w:t>
            </w:r>
          </w:p>
        </w:tc>
        <w:tc>
          <w:tcPr>
            <w:tcW w:w="4248" w:type="dxa"/>
          </w:tcPr>
          <w:p w14:paraId="0F8491F7" w14:textId="77777777" w:rsidR="00706138" w:rsidRDefault="00000000">
            <w:pPr>
              <w:spacing w:before="40" w:after="40"/>
            </w:pPr>
            <w:r>
              <w:rPr>
                <w:sz w:val="18"/>
              </w:rPr>
              <w:t>PostgreSQL fits a shared deployment; SQLite supports an offline prototype with no server administration.</w:t>
            </w:r>
          </w:p>
        </w:tc>
      </w:tr>
      <w:tr w:rsidR="00706138" w14:paraId="7F4C4010" w14:textId="77777777">
        <w:tc>
          <w:tcPr>
            <w:tcW w:w="1944" w:type="dxa"/>
          </w:tcPr>
          <w:p w14:paraId="195A4379" w14:textId="77777777" w:rsidR="00706138" w:rsidRDefault="00000000">
            <w:pPr>
              <w:spacing w:before="40" w:after="40"/>
            </w:pPr>
            <w:r>
              <w:rPr>
                <w:sz w:val="18"/>
              </w:rPr>
              <w:t>APIs and third-party services</w:t>
            </w:r>
          </w:p>
        </w:tc>
        <w:tc>
          <w:tcPr>
            <w:tcW w:w="4032" w:type="dxa"/>
          </w:tcPr>
          <w:p w14:paraId="36DB3C2B" w14:textId="77777777" w:rsidR="00706138" w:rsidRDefault="00000000">
            <w:pPr>
              <w:spacing w:before="40" w:after="40"/>
            </w:pPr>
            <w:r>
              <w:rPr>
                <w:sz w:val="18"/>
              </w:rPr>
              <w:t>None on the critical path. An API connection is used only if BAPTC exposes one.</w:t>
            </w:r>
          </w:p>
        </w:tc>
        <w:tc>
          <w:tcPr>
            <w:tcW w:w="4248" w:type="dxa"/>
          </w:tcPr>
          <w:p w14:paraId="13A014D7" w14:textId="77777777" w:rsidR="00706138" w:rsidRDefault="00000000">
            <w:pPr>
              <w:spacing w:before="40" w:after="40"/>
            </w:pPr>
            <w:r>
              <w:rPr>
                <w:sz w:val="18"/>
              </w:rPr>
              <w:t>This deliberately avoids making an undocumented API a critical dependency.</w:t>
            </w:r>
          </w:p>
        </w:tc>
      </w:tr>
      <w:tr w:rsidR="00706138" w14:paraId="7892034D" w14:textId="77777777">
        <w:tc>
          <w:tcPr>
            <w:tcW w:w="1944" w:type="dxa"/>
          </w:tcPr>
          <w:p w14:paraId="2B429C5A" w14:textId="77777777" w:rsidR="00706138" w:rsidRDefault="00000000">
            <w:pPr>
              <w:spacing w:before="40" w:after="40"/>
            </w:pPr>
            <w:r>
              <w:rPr>
                <w:sz w:val="18"/>
              </w:rPr>
              <w:t>Platform</w:t>
            </w:r>
          </w:p>
        </w:tc>
        <w:tc>
          <w:tcPr>
            <w:tcW w:w="4032" w:type="dxa"/>
          </w:tcPr>
          <w:p w14:paraId="3574E9F5" w14:textId="77777777" w:rsidR="00706138" w:rsidRDefault="00000000">
            <w:pPr>
              <w:spacing w:before="40" w:after="40"/>
            </w:pPr>
            <w:r>
              <w:rPr>
                <w:sz w:val="18"/>
              </w:rPr>
              <w:t>Streamlit, or a FastAPI web service with a browser dashboard</w:t>
            </w:r>
          </w:p>
        </w:tc>
        <w:tc>
          <w:tcPr>
            <w:tcW w:w="4248" w:type="dxa"/>
          </w:tcPr>
          <w:p w14:paraId="61403DDC" w14:textId="77777777" w:rsidR="00706138" w:rsidRDefault="00000000">
            <w:pPr>
              <w:spacing w:before="40" w:after="40"/>
            </w:pPr>
            <w:r>
              <w:rPr>
                <w:sz w:val="18"/>
              </w:rPr>
              <w:t>A Streamlit prototype reduces development time; FastAPI offers more control if integration is later required.</w:t>
            </w:r>
          </w:p>
        </w:tc>
      </w:tr>
      <w:tr w:rsidR="00706138" w14:paraId="40E664F6" w14:textId="77777777">
        <w:tc>
          <w:tcPr>
            <w:tcW w:w="1944" w:type="dxa"/>
          </w:tcPr>
          <w:p w14:paraId="14958DC6" w14:textId="77777777" w:rsidR="00706138" w:rsidRDefault="00000000">
            <w:pPr>
              <w:spacing w:before="40" w:after="40"/>
            </w:pPr>
            <w:r>
              <w:rPr>
                <w:sz w:val="18"/>
              </w:rPr>
              <w:t>Hardware and equipment</w:t>
            </w:r>
          </w:p>
        </w:tc>
        <w:tc>
          <w:tcPr>
            <w:tcW w:w="4032" w:type="dxa"/>
          </w:tcPr>
          <w:p w14:paraId="486C8E84" w14:textId="77777777" w:rsidR="00706138" w:rsidRDefault="00000000">
            <w:pPr>
              <w:spacing w:before="40" w:after="40"/>
            </w:pPr>
            <w:r>
              <w:rPr>
                <w:sz w:val="18"/>
              </w:rPr>
              <w:t>Development laptops, with optional free-tier cloud hosting</w:t>
            </w:r>
          </w:p>
        </w:tc>
        <w:tc>
          <w:tcPr>
            <w:tcW w:w="4248" w:type="dxa"/>
          </w:tcPr>
          <w:p w14:paraId="07A43087" w14:textId="77777777" w:rsidR="00706138" w:rsidRDefault="00000000">
            <w:pPr>
              <w:spacing w:before="40" w:after="40"/>
            </w:pPr>
            <w:r>
              <w:rPr>
                <w:sz w:val="18"/>
              </w:rPr>
              <w:t>No sensors or specialised equipment are required. Gradient boosting at this data scale runs comfortably on a student laptop.</w:t>
            </w:r>
          </w:p>
        </w:tc>
      </w:tr>
      <w:tr w:rsidR="00706138" w14:paraId="11975604" w14:textId="77777777">
        <w:tc>
          <w:tcPr>
            <w:tcW w:w="1944" w:type="dxa"/>
          </w:tcPr>
          <w:p w14:paraId="61BC1ADD" w14:textId="77777777" w:rsidR="00706138" w:rsidRDefault="00000000">
            <w:pPr>
              <w:spacing w:before="40" w:after="40"/>
            </w:pPr>
            <w:r>
              <w:rPr>
                <w:sz w:val="18"/>
              </w:rPr>
              <w:t>Architecture and integration</w:t>
            </w:r>
          </w:p>
        </w:tc>
        <w:tc>
          <w:tcPr>
            <w:tcW w:w="4032" w:type="dxa"/>
          </w:tcPr>
          <w:p w14:paraId="085F86E6" w14:textId="77777777" w:rsidR="00706138" w:rsidRDefault="00000000">
            <w:pPr>
              <w:spacing w:before="40" w:after="40"/>
            </w:pPr>
            <w:r>
              <w:rPr>
                <w:sz w:val="18"/>
              </w:rPr>
              <w:t>File-based import first, then staging database, then feature engineering, then model training and evaluation, then dashboard</w:t>
            </w:r>
          </w:p>
        </w:tc>
        <w:tc>
          <w:tcPr>
            <w:tcW w:w="4248" w:type="dxa"/>
          </w:tcPr>
          <w:p w14:paraId="53C6EDA3" w14:textId="77777777" w:rsidR="00706138" w:rsidRDefault="00000000">
            <w:pPr>
              <w:spacing w:before="40" w:after="40"/>
            </w:pPr>
            <w:r>
              <w:rPr>
                <w:sz w:val="18"/>
              </w:rPr>
              <w:t>File import keeps the pipeline working regardless of whether BAPTC ever publishes a machine-readable feed.</w:t>
            </w:r>
          </w:p>
        </w:tc>
      </w:tr>
      <w:tr w:rsidR="00706138" w14:paraId="4521808E" w14:textId="77777777">
        <w:tc>
          <w:tcPr>
            <w:tcW w:w="1944" w:type="dxa"/>
          </w:tcPr>
          <w:p w14:paraId="75CB9C16" w14:textId="77777777" w:rsidR="00706138" w:rsidRDefault="00000000">
            <w:pPr>
              <w:spacing w:before="40" w:after="40"/>
            </w:pPr>
            <w:r>
              <w:rPr>
                <w:sz w:val="18"/>
              </w:rPr>
              <w:t>Security and maintenance</w:t>
            </w:r>
          </w:p>
        </w:tc>
        <w:tc>
          <w:tcPr>
            <w:tcW w:w="4032" w:type="dxa"/>
          </w:tcPr>
          <w:p w14:paraId="1F2FE085" w14:textId="77777777" w:rsidR="00706138" w:rsidRDefault="00000000">
            <w:pPr>
              <w:spacing w:before="40" w:after="40"/>
            </w:pPr>
            <w:r>
              <w:rPr>
                <w:sz w:val="18"/>
              </w:rPr>
              <w:t>Role-based access, encrypted transport, validated uploads, database backups, and audit logs. Commodity-level public outputs are kept separate from any restricted raw extract.</w:t>
            </w:r>
          </w:p>
        </w:tc>
        <w:tc>
          <w:tcPr>
            <w:tcW w:w="4248" w:type="dxa"/>
          </w:tcPr>
          <w:p w14:paraId="0AC510C8" w14:textId="77777777" w:rsidR="00706138" w:rsidRDefault="00000000">
            <w:pPr>
              <w:spacing w:before="40" w:after="40"/>
            </w:pPr>
            <w:r>
              <w:rPr>
                <w:sz w:val="18"/>
              </w:rPr>
              <w:t>If the group's web-development capacity is thin, the first version uses Streamlit, SQLite, and scheduled file imports instead of a custom service.</w:t>
            </w:r>
          </w:p>
        </w:tc>
      </w:tr>
      <w:tr w:rsidR="00706138" w14:paraId="55EDF73A" w14:textId="77777777">
        <w:tc>
          <w:tcPr>
            <w:tcW w:w="1944" w:type="dxa"/>
          </w:tcPr>
          <w:p w14:paraId="314D8E65" w14:textId="77777777" w:rsidR="00706138" w:rsidRDefault="00000000">
            <w:pPr>
              <w:spacing w:before="40" w:after="40"/>
            </w:pPr>
            <w:r>
              <w:rPr>
                <w:sz w:val="18"/>
              </w:rPr>
              <w:t>Technical expertise</w:t>
            </w:r>
          </w:p>
        </w:tc>
        <w:tc>
          <w:tcPr>
            <w:tcW w:w="4032" w:type="dxa"/>
          </w:tcPr>
          <w:p w14:paraId="075C851F" w14:textId="77777777" w:rsidR="00706138" w:rsidRDefault="00000000">
            <w:pPr>
              <w:spacing w:before="40" w:after="40"/>
            </w:pPr>
            <w:r>
              <w:rPr>
                <w:sz w:val="18"/>
              </w:rPr>
              <w:t>Python, pandas, and dashboard work are all in hand. Time-series validation discipline is the least familiar area.</w:t>
            </w:r>
          </w:p>
        </w:tc>
        <w:tc>
          <w:tcPr>
            <w:tcW w:w="4248" w:type="dxa"/>
          </w:tcPr>
          <w:p w14:paraId="036BB43B" w14:textId="77777777" w:rsidR="00706138" w:rsidRDefault="00000000">
            <w:pPr>
              <w:spacing w:before="40" w:after="40"/>
            </w:pPr>
            <w:r>
              <w:rPr>
                <w:sz w:val="18"/>
              </w:rPr>
              <w:t>Rolling-origin validation is a procedural requirement rather than an advanced technique, and is documented in standard forecasting references.</w:t>
            </w:r>
          </w:p>
        </w:tc>
      </w:tr>
      <w:tr w:rsidR="00706138" w14:paraId="0C117BE2" w14:textId="77777777">
        <w:tc>
          <w:tcPr>
            <w:tcW w:w="1944" w:type="dxa"/>
          </w:tcPr>
          <w:p w14:paraId="253243F7" w14:textId="77777777" w:rsidR="00706138" w:rsidRDefault="00000000">
            <w:pPr>
              <w:spacing w:before="40" w:after="40"/>
            </w:pPr>
            <w:r>
              <w:rPr>
                <w:sz w:val="18"/>
              </w:rPr>
              <w:t>Limitations and alternatives</w:t>
            </w:r>
          </w:p>
        </w:tc>
        <w:tc>
          <w:tcPr>
            <w:tcW w:w="4032" w:type="dxa"/>
          </w:tcPr>
          <w:p w14:paraId="146610AF" w14:textId="77777777" w:rsidR="00706138" w:rsidRDefault="00000000">
            <w:pPr>
              <w:spacing w:before="40" w:after="40"/>
            </w:pPr>
            <w:r>
              <w:rPr>
                <w:sz w:val="18"/>
              </w:rPr>
              <w:t>The application stack is not the constraint. Historical data availability and consistency are.</w:t>
            </w:r>
          </w:p>
        </w:tc>
        <w:tc>
          <w:tcPr>
            <w:tcW w:w="4248" w:type="dxa"/>
          </w:tcPr>
          <w:p w14:paraId="2A9AB4A9" w14:textId="77777777" w:rsidR="00706138" w:rsidRDefault="00000000">
            <w:pPr>
              <w:spacing w:before="40" w:after="40"/>
            </w:pPr>
            <w:r>
              <w:rPr>
                <w:sz w:val="18"/>
              </w:rPr>
              <w:t>DA Bantay Presyo retail bulletins provide an independently available secondary series if BAPTC records are delayed.</w:t>
            </w:r>
          </w:p>
        </w:tc>
      </w:tr>
    </w:tbl>
    <w:p w14:paraId="15CA4154" w14:textId="77777777" w:rsidR="00706138" w:rsidRDefault="00706138">
      <w:pPr>
        <w:spacing w:after="40"/>
      </w:pPr>
    </w:p>
    <w:p w14:paraId="0B38FE26" w14:textId="77777777" w:rsidR="00706138" w:rsidRDefault="00000000">
      <w:pPr>
        <w:jc w:val="both"/>
      </w:pPr>
      <w:r>
        <w:t>Technical finding. The software stack is feasible with open-source tools and the group has the required skills. The main technical constraint is not the application stack but the availability and consistency of the historical data, treated in section 4.</w:t>
      </w:r>
    </w:p>
    <w:tbl>
      <w:tblPr>
        <w:tblStyle w:val="TableGrid"/>
        <w:tblW w:w="0" w:type="auto"/>
        <w:jc w:val="center"/>
        <w:tblLook w:val="04A0" w:firstRow="1" w:lastRow="0" w:firstColumn="1" w:lastColumn="0" w:noHBand="0" w:noVBand="1"/>
      </w:tblPr>
      <w:tblGrid>
        <w:gridCol w:w="10224"/>
      </w:tblGrid>
      <w:tr w:rsidR="00706138" w14:paraId="108B4086" w14:textId="77777777">
        <w:trPr>
          <w:jc w:val="center"/>
        </w:trPr>
        <w:tc>
          <w:tcPr>
            <w:tcW w:w="10224" w:type="dxa"/>
            <w:shd w:val="clear" w:color="auto" w:fill="4EA72E"/>
          </w:tcPr>
          <w:p w14:paraId="247AA7FC" w14:textId="77777777" w:rsidR="00706138" w:rsidRDefault="00000000">
            <w:pPr>
              <w:spacing w:before="40" w:after="40"/>
            </w:pPr>
            <w:r>
              <w:rPr>
                <w:b/>
                <w:sz w:val="22"/>
              </w:rPr>
              <w:t>4. Dataset and Data Feasibility</w:t>
            </w:r>
          </w:p>
        </w:tc>
      </w:tr>
    </w:tbl>
    <w:p w14:paraId="4936FD37" w14:textId="77777777" w:rsidR="00706138" w:rsidRDefault="00706138">
      <w:pPr>
        <w:spacing w:after="40"/>
      </w:pPr>
    </w:p>
    <w:tbl>
      <w:tblPr>
        <w:tblStyle w:val="TableGrid"/>
        <w:tblW w:w="0" w:type="auto"/>
        <w:tblLook w:val="04A0" w:firstRow="1" w:lastRow="0" w:firstColumn="1" w:lastColumn="0" w:noHBand="0" w:noVBand="1"/>
      </w:tblPr>
      <w:tblGrid>
        <w:gridCol w:w="2304"/>
        <w:gridCol w:w="7920"/>
      </w:tblGrid>
      <w:tr w:rsidR="00706138" w14:paraId="7A11E6C6" w14:textId="77777777">
        <w:tc>
          <w:tcPr>
            <w:tcW w:w="2304" w:type="dxa"/>
            <w:shd w:val="clear" w:color="auto" w:fill="EDEDED"/>
          </w:tcPr>
          <w:p w14:paraId="5D9D0B15" w14:textId="77777777" w:rsidR="00706138" w:rsidRDefault="00000000">
            <w:pPr>
              <w:spacing w:before="40" w:after="40"/>
            </w:pPr>
            <w:r>
              <w:rPr>
                <w:b/>
                <w:sz w:val="18"/>
              </w:rPr>
              <w:t>Requirement</w:t>
            </w:r>
          </w:p>
        </w:tc>
        <w:tc>
          <w:tcPr>
            <w:tcW w:w="7920" w:type="dxa"/>
            <w:shd w:val="clear" w:color="auto" w:fill="EDEDED"/>
          </w:tcPr>
          <w:p w14:paraId="6CBF183E" w14:textId="77777777" w:rsidR="00706138" w:rsidRDefault="00000000">
            <w:pPr>
              <w:spacing w:before="40" w:after="40"/>
            </w:pPr>
            <w:r>
              <w:rPr>
                <w:b/>
                <w:sz w:val="18"/>
              </w:rPr>
              <w:t>Current Assessment</w:t>
            </w:r>
          </w:p>
        </w:tc>
      </w:tr>
      <w:tr w:rsidR="00706138" w14:paraId="50557141" w14:textId="77777777">
        <w:tc>
          <w:tcPr>
            <w:tcW w:w="2304" w:type="dxa"/>
          </w:tcPr>
          <w:p w14:paraId="1BCF3BA2" w14:textId="77777777" w:rsidR="00706138" w:rsidRDefault="00000000">
            <w:pPr>
              <w:spacing w:before="40" w:after="40"/>
            </w:pPr>
            <w:r>
              <w:rPr>
                <w:sz w:val="18"/>
              </w:rPr>
              <w:t>Dataset name and description</w:t>
            </w:r>
          </w:p>
        </w:tc>
        <w:tc>
          <w:tcPr>
            <w:tcW w:w="7920" w:type="dxa"/>
          </w:tcPr>
          <w:p w14:paraId="782F7982" w14:textId="77777777" w:rsidR="00706138" w:rsidRDefault="00000000">
            <w:pPr>
              <w:spacing w:before="40" w:after="40"/>
            </w:pPr>
            <w:r>
              <w:rPr>
                <w:sz w:val="18"/>
              </w:rPr>
              <w:t>BAPTC aggregate daily or weekly wholesale price and trading volume by commodity.</w:t>
            </w:r>
          </w:p>
        </w:tc>
      </w:tr>
      <w:tr w:rsidR="00706138" w14:paraId="7B2CA3E8" w14:textId="77777777">
        <w:tc>
          <w:tcPr>
            <w:tcW w:w="2304" w:type="dxa"/>
          </w:tcPr>
          <w:p w14:paraId="78E69C5B" w14:textId="77777777" w:rsidR="00706138" w:rsidRDefault="00000000">
            <w:pPr>
              <w:spacing w:before="40" w:after="40"/>
            </w:pPr>
            <w:r>
              <w:rPr>
                <w:sz w:val="18"/>
              </w:rPr>
              <w:t>Source, owner, and provider</w:t>
            </w:r>
          </w:p>
        </w:tc>
        <w:tc>
          <w:tcPr>
            <w:tcW w:w="7920" w:type="dxa"/>
          </w:tcPr>
          <w:p w14:paraId="420955C8" w14:textId="77777777" w:rsidR="00706138" w:rsidRDefault="00000000">
            <w:pPr>
              <w:spacing w:before="40" w:after="40"/>
            </w:pPr>
            <w:r>
              <w:rPr>
                <w:sz w:val="18"/>
              </w:rPr>
              <w:t xml:space="preserve">BAPTC and DA-CAR. On September 10, 2026 the BAPTC price page directed the group to send a formal request to baptc.center@bsu.edu.ph, addressed to Dr. Ruth C. Diego, General Manager, and the request was sent. On September 14, 2026 the Office of the General Manager replied that BAPTC does not release raw or source files, and pointed the group to its published price posts, its 2024 and 2025 Annual Accomplishment Reports, and to DA and PSA. BAPTC has acknowledged the request and the group is waiting for further updates, so whether an aggregate extract can be released is still open.</w:t>
            </w:r>
          </w:p>
        </w:tc>
      </w:tr>
      <w:tr w:rsidR="00706138" w14:paraId="61F98AB8" w14:textId="77777777">
        <w:tc>
          <w:tcPr>
            <w:tcW w:w="2304" w:type="dxa"/>
          </w:tcPr>
          <w:p w14:paraId="7A98FBB5" w14:textId="77777777" w:rsidR="00706138" w:rsidRDefault="00000000">
            <w:pPr>
              <w:spacing w:before="40" w:after="40"/>
            </w:pPr>
            <w:r>
              <w:rPr>
                <w:sz w:val="18"/>
              </w:rPr>
              <w:t>Public link</w:t>
            </w:r>
          </w:p>
        </w:tc>
        <w:tc>
          <w:tcPr>
            <w:tcW w:w="7920" w:type="dxa"/>
          </w:tcPr>
          <w:p w14:paraId="59FD357B" w14:textId="77777777" w:rsidR="00706138" w:rsidRDefault="00000000">
            <w:pPr>
              <w:spacing w:before="40" w:after="40"/>
            </w:pPr>
            <w:r>
              <w:rPr>
                <w:sz w:val="18"/>
              </w:rPr>
              <w:t xml:space="preserve">No downloadable BAPTC dataset or API is confirmed. BAPTC's daily price posts and its Annual Accomplishment Reports are public reference points, not the planned acquisition method.</w:t>
            </w:r>
          </w:p>
        </w:tc>
      </w:tr>
      <w:tr w:rsidR="00706138" w14:paraId="09B49E77" w14:textId="77777777">
        <w:tc>
          <w:tcPr>
            <w:tcW w:w="2304" w:type="dxa"/>
          </w:tcPr>
          <w:p w14:paraId="3D4BA948" w14:textId="77777777" w:rsidR="00706138" w:rsidRDefault="00000000">
            <w:pPr>
              <w:spacing w:before="40" w:after="40"/>
            </w:pPr>
            <w:r>
              <w:rPr>
                <w:sz w:val="18"/>
              </w:rPr>
              <w:t>Data type and file format</w:t>
            </w:r>
          </w:p>
        </w:tc>
        <w:tc>
          <w:tcPr>
            <w:tcW w:w="7920" w:type="dxa"/>
          </w:tcPr>
          <w:p w14:paraId="1AAA1357" w14:textId="77777777" w:rsidR="00706138" w:rsidRDefault="00000000">
            <w:pPr>
              <w:spacing w:before="40" w:after="40"/>
            </w:pPr>
            <w:r>
              <w:rPr>
                <w:sz w:val="18"/>
              </w:rPr>
              <w:t>Unknown until the data inventory. Preferred formats are CSV, XLSX, or a database export.</w:t>
            </w:r>
          </w:p>
        </w:tc>
      </w:tr>
      <w:tr w:rsidR="00706138" w14:paraId="68D858F3" w14:textId="77777777">
        <w:tc>
          <w:tcPr>
            <w:tcW w:w="2304" w:type="dxa"/>
          </w:tcPr>
          <w:p w14:paraId="712FF4FF" w14:textId="77777777" w:rsidR="00706138" w:rsidRDefault="00000000">
            <w:pPr>
              <w:spacing w:before="40" w:after="40"/>
            </w:pPr>
            <w:r>
              <w:rPr>
                <w:sz w:val="18"/>
              </w:rPr>
              <w:t>Estimated size</w:t>
            </w:r>
          </w:p>
        </w:tc>
        <w:tc>
          <w:tcPr>
            <w:tcW w:w="7920" w:type="dxa"/>
          </w:tcPr>
          <w:p w14:paraId="57D6DC90" w14:textId="77777777" w:rsidR="00706138" w:rsidRDefault="00000000">
            <w:pPr>
              <w:spacing w:before="40" w:after="40"/>
            </w:pPr>
            <w:r>
              <w:rPr>
                <w:sz w:val="18"/>
              </w:rPr>
              <w:t>Depends on coverage and reporting frequency. The record count must clear the 10,000-row course floor and is unverified.</w:t>
            </w:r>
          </w:p>
        </w:tc>
      </w:tr>
      <w:tr w:rsidR="00706138" w14:paraId="5635731E" w14:textId="77777777">
        <w:tc>
          <w:tcPr>
            <w:tcW w:w="2304" w:type="dxa"/>
          </w:tcPr>
          <w:p w14:paraId="4ED95DE9" w14:textId="77777777" w:rsidR="00706138" w:rsidRDefault="00000000">
            <w:pPr>
              <w:spacing w:before="40" w:after="40"/>
            </w:pPr>
            <w:r>
              <w:rPr>
                <w:sz w:val="18"/>
              </w:rPr>
              <w:t>Features and attributes</w:t>
            </w:r>
          </w:p>
        </w:tc>
        <w:tc>
          <w:tcPr>
            <w:tcW w:w="7920" w:type="dxa"/>
          </w:tcPr>
          <w:p w14:paraId="03F48240" w14:textId="77777777" w:rsidR="00706138" w:rsidRDefault="00000000">
            <w:pPr>
              <w:spacing w:before="40" w:after="40"/>
            </w:pPr>
            <w:r>
              <w:rPr>
                <w:sz w:val="18"/>
              </w:rPr>
              <w:t xml:space="preserve">Commodity, date, unit, wholesale price, trading volume, month or season, lagged values, rolling statistics, and daily rainfall and temperature from the PAGASA-BSU agrometeorological station in La Trinidad.</w:t>
            </w:r>
          </w:p>
        </w:tc>
      </w:tr>
      <w:tr w:rsidR="00706138" w14:paraId="6B2A8395" w14:textId="77777777">
        <w:tc>
          <w:tcPr>
            <w:tcW w:w="2304" w:type="dxa"/>
          </w:tcPr>
          <w:p w14:paraId="5B8E23A2" w14:textId="77777777" w:rsidR="00706138" w:rsidRDefault="00000000">
            <w:pPr>
              <w:spacing w:before="40" w:after="40"/>
            </w:pPr>
            <w:r>
              <w:rPr>
                <w:sz w:val="18"/>
              </w:rPr>
              <w:lastRenderedPageBreak/>
              <w:t>Labels and target variables</w:t>
            </w:r>
          </w:p>
        </w:tc>
        <w:tc>
          <w:tcPr>
            <w:tcW w:w="7920" w:type="dxa"/>
          </w:tcPr>
          <w:p w14:paraId="76F9E09B" w14:textId="77777777" w:rsidR="00706138" w:rsidRDefault="00000000">
            <w:pPr>
              <w:spacing w:before="40" w:after="40"/>
            </w:pPr>
            <w:r>
              <w:rPr>
                <w:sz w:val="18"/>
              </w:rPr>
              <w:t>Short-term price or price change for the regression task, plus a glut-risk label defined by an adviser-approved price-drop threshold for the classification task.</w:t>
            </w:r>
          </w:p>
        </w:tc>
      </w:tr>
      <w:tr w:rsidR="00706138" w14:paraId="31C303E0" w14:textId="77777777">
        <w:tc>
          <w:tcPr>
            <w:tcW w:w="2304" w:type="dxa"/>
          </w:tcPr>
          <w:p w14:paraId="5906CCE9" w14:textId="77777777" w:rsidR="00706138" w:rsidRDefault="00000000">
            <w:pPr>
              <w:spacing w:before="40" w:after="40"/>
            </w:pPr>
            <w:r>
              <w:rPr>
                <w:sz w:val="18"/>
              </w:rPr>
              <w:t>Accessibility and collection</w:t>
            </w:r>
          </w:p>
        </w:tc>
        <w:tc>
          <w:tcPr>
            <w:tcW w:w="7920" w:type="dxa"/>
          </w:tcPr>
          <w:p w14:paraId="74EFE221" w14:textId="77777777" w:rsidR="00706138" w:rsidRDefault="00000000">
            <w:pPr>
              <w:spacing w:before="40" w:after="40"/>
            </w:pPr>
            <w:r>
              <w:rPr>
                <w:sz w:val="18"/>
              </w:rPr>
              <w:t xml:space="preserve">The formal aggregate-data request to the BAPTC General Manager was sent and acknowledged. DA-CAR AMAD (amad@car.da.gov.ph) is a parallel channel and has replied that its concerned section will respond. Weather data is requested from PAGASA through its standard public data request.</w:t>
            </w:r>
          </w:p>
        </w:tc>
      </w:tr>
      <w:tr w:rsidR="00706138" w14:paraId="1ACEFA0D" w14:textId="77777777">
        <w:tc>
          <w:tcPr>
            <w:tcW w:w="2304" w:type="dxa"/>
          </w:tcPr>
          <w:p w14:paraId="217873D4" w14:textId="77777777" w:rsidR="00706138" w:rsidRDefault="00000000">
            <w:pPr>
              <w:spacing w:before="40" w:after="40"/>
            </w:pPr>
            <w:r>
              <w:rPr>
                <w:sz w:val="18"/>
              </w:rPr>
              <w:t>Permission and licensing</w:t>
            </w:r>
          </w:p>
        </w:tc>
        <w:tc>
          <w:tcPr>
            <w:tcW w:w="7920" w:type="dxa"/>
          </w:tcPr>
          <w:p w14:paraId="2500627C" w14:textId="77777777" w:rsidR="00706138" w:rsidRDefault="00000000">
            <w:pPr>
              <w:spacing w:before="40" w:after="40"/>
            </w:pPr>
            <w:r>
              <w:rPr>
                <w:sz w:val="18"/>
              </w:rPr>
              <w:t>Document data ownership, allowed uses, retention, publication limits, and whether a data-sharing agreement is required, before any transfer.</w:t>
            </w:r>
          </w:p>
        </w:tc>
      </w:tr>
      <w:tr w:rsidR="00706138" w14:paraId="053CB7E4" w14:textId="77777777">
        <w:tc>
          <w:tcPr>
            <w:tcW w:w="2304" w:type="dxa"/>
          </w:tcPr>
          <w:p w14:paraId="115B97BF" w14:textId="77777777" w:rsidR="00706138" w:rsidRDefault="00000000">
            <w:pPr>
              <w:spacing w:before="40" w:after="40"/>
            </w:pPr>
            <w:r>
              <w:rPr>
                <w:sz w:val="18"/>
              </w:rPr>
              <w:t>Quality, completeness, and bias</w:t>
            </w:r>
          </w:p>
        </w:tc>
        <w:tc>
          <w:tcPr>
            <w:tcW w:w="7920" w:type="dxa"/>
          </w:tcPr>
          <w:p w14:paraId="01D937C2" w14:textId="77777777" w:rsidR="00706138" w:rsidRDefault="00000000">
            <w:pPr>
              <w:spacing w:before="40" w:after="40"/>
            </w:pPr>
            <w:r>
              <w:rPr>
                <w:sz w:val="18"/>
              </w:rPr>
              <w:t>Expected issues include missing dates, inconsistent commodity names or units, incomplete volume records, later revisions, and bias toward commodities or periods with better record-keeping.</w:t>
            </w:r>
          </w:p>
        </w:tc>
      </w:tr>
      <w:tr w:rsidR="00706138" w14:paraId="5497D425" w14:textId="77777777">
        <w:tc>
          <w:tcPr>
            <w:tcW w:w="2304" w:type="dxa"/>
          </w:tcPr>
          <w:p w14:paraId="056751F8" w14:textId="77777777" w:rsidR="00706138" w:rsidRDefault="00000000">
            <w:pPr>
              <w:spacing w:before="40" w:after="40"/>
            </w:pPr>
            <w:r>
              <w:rPr>
                <w:sz w:val="18"/>
              </w:rPr>
              <w:t>Preprocessing and storage</w:t>
            </w:r>
          </w:p>
        </w:tc>
        <w:tc>
          <w:tcPr>
            <w:tcW w:w="7920" w:type="dxa"/>
          </w:tcPr>
          <w:p w14:paraId="67C03AAC" w14:textId="77777777" w:rsidR="00706138" w:rsidRDefault="00000000">
            <w:pPr>
              <w:spacing w:before="40" w:after="40"/>
            </w:pPr>
            <w:r>
              <w:rPr>
                <w:sz w:val="18"/>
              </w:rPr>
              <w:t>Standardise dates, commodities, units, missing-value rules, outliers, and duplicates. Keep raw extracts outside the public repository, record checksums and provenance, restrict access, and publish only approved aggregate outputs.</w:t>
            </w:r>
          </w:p>
        </w:tc>
      </w:tr>
      <w:tr w:rsidR="00706138" w14:paraId="2D5445FC" w14:textId="77777777">
        <w:tc>
          <w:tcPr>
            <w:tcW w:w="2304" w:type="dxa"/>
          </w:tcPr>
          <w:p w14:paraId="5FB26575" w14:textId="77777777" w:rsidR="00706138" w:rsidRDefault="00000000">
            <w:pPr>
              <w:spacing w:before="40" w:after="40"/>
            </w:pPr>
            <w:r>
              <w:rPr>
                <w:sz w:val="18"/>
              </w:rPr>
              <w:t>Training, validation, testing</w:t>
            </w:r>
          </w:p>
        </w:tc>
        <w:tc>
          <w:tcPr>
            <w:tcW w:w="7920" w:type="dxa"/>
          </w:tcPr>
          <w:p w14:paraId="59EB276C" w14:textId="77777777" w:rsidR="00706138" w:rsidRDefault="00000000">
            <w:pPr>
              <w:spacing w:before="40" w:after="40"/>
            </w:pPr>
            <w:r>
              <w:rPr>
                <w:sz w:val="18"/>
              </w:rPr>
              <w:t>Chronological rolling-origin validation, never random splitting. A final holdout period stays untouched until model selection is complete.</w:t>
            </w:r>
          </w:p>
        </w:tc>
      </w:tr>
      <w:tr w:rsidR="00706138" w14:paraId="6568F86E" w14:textId="77777777">
        <w:tc>
          <w:tcPr>
            <w:tcW w:w="2304" w:type="dxa"/>
          </w:tcPr>
          <w:p w14:paraId="150D8FAB" w14:textId="77777777" w:rsidR="00706138" w:rsidRDefault="00000000">
            <w:pPr>
              <w:spacing w:before="40" w:after="40"/>
            </w:pPr>
            <w:r>
              <w:rPr>
                <w:sz w:val="18"/>
              </w:rPr>
              <w:t>Alternative data plan</w:t>
            </w:r>
          </w:p>
        </w:tc>
        <w:tc>
          <w:tcPr>
            <w:tcW w:w="7920" w:type="dxa"/>
          </w:tcPr>
          <w:p w14:paraId="444D52A9" w14:textId="77777777" w:rsidR="00706138" w:rsidRDefault="00000000">
            <w:pPr>
              <w:spacing w:before="40" w:after="40"/>
            </w:pPr>
            <w:r>
              <w:rPr>
                <w:sz w:val="18"/>
              </w:rPr>
              <w:t xml:space="preserve">Compile DA Bantay Presyo bulletins as an independently available secondary series, joined with PAGASA-BSU weather records, which are public and do not depend on BAPTC. This supports cross-validation and a narrower price-only study, but cannot replace BAPTC volume data for supply-glut forecasting. Direct Facebook scraping is a last resort requiring adviser approval and a terms-of-service and ethics review.</w:t>
            </w:r>
          </w:p>
        </w:tc>
      </w:tr>
    </w:tbl>
    <w:p w14:paraId="070F8867" w14:textId="77777777" w:rsidR="00706138" w:rsidRDefault="00706138">
      <w:pPr>
        <w:spacing w:after="40"/>
      </w:pPr>
    </w:p>
    <w:p w14:paraId="79F0953B" w14:textId="77777777" w:rsidR="00706138" w:rsidRDefault="00000000">
      <w:pPr>
        <w:jc w:val="both"/>
      </w:pPr>
      <w:r>
        <w:t xml:space="preserve">Dataset finding. Feasibility is conditional. The request reached the right office and was acknowledged, but BAPTC has stated that it does not release raw or source files, so the study depends on BAPTC agreeing to release an aggregate extract instead. No structured record has yet been received. The title should not proceed unchanged unless structured BAPTC records, adequate historical coverage, and permission for research use are all confirmed early in the term; otherwise it narrows to price forecasting on Bantay Presyo and weather data.</w:t>
      </w:r>
    </w:p>
    <w:tbl>
      <w:tblPr>
        <w:tblStyle w:val="TableGrid"/>
        <w:tblW w:w="0" w:type="auto"/>
        <w:jc w:val="center"/>
        <w:tblLook w:val="04A0" w:firstRow="1" w:lastRow="0" w:firstColumn="1" w:lastColumn="0" w:noHBand="0" w:noVBand="1"/>
      </w:tblPr>
      <w:tblGrid>
        <w:gridCol w:w="10224"/>
      </w:tblGrid>
      <w:tr w:rsidR="00706138" w14:paraId="360CC096" w14:textId="77777777">
        <w:trPr>
          <w:jc w:val="center"/>
        </w:trPr>
        <w:tc>
          <w:tcPr>
            <w:tcW w:w="10224" w:type="dxa"/>
            <w:shd w:val="clear" w:color="auto" w:fill="4EA72E"/>
          </w:tcPr>
          <w:p w14:paraId="1D99F305" w14:textId="77777777" w:rsidR="00706138" w:rsidRDefault="00000000">
            <w:pPr>
              <w:spacing w:before="40" w:after="40"/>
            </w:pPr>
            <w:r>
              <w:rPr>
                <w:b/>
                <w:sz w:val="22"/>
              </w:rPr>
              <w:t>5. Algorithm or Model Feasibility</w:t>
            </w:r>
          </w:p>
        </w:tc>
      </w:tr>
    </w:tbl>
    <w:p w14:paraId="2245160F" w14:textId="77777777" w:rsidR="00706138" w:rsidRDefault="00706138">
      <w:pPr>
        <w:spacing w:after="40"/>
      </w:pPr>
    </w:p>
    <w:tbl>
      <w:tblPr>
        <w:tblStyle w:val="TableGrid"/>
        <w:tblW w:w="0" w:type="auto"/>
        <w:tblLook w:val="04A0" w:firstRow="1" w:lastRow="0" w:firstColumn="1" w:lastColumn="0" w:noHBand="0" w:noVBand="1"/>
      </w:tblPr>
      <w:tblGrid>
        <w:gridCol w:w="1872"/>
        <w:gridCol w:w="2808"/>
        <w:gridCol w:w="2808"/>
        <w:gridCol w:w="2808"/>
      </w:tblGrid>
      <w:tr w:rsidR="00706138" w14:paraId="3A37166B" w14:textId="77777777">
        <w:tc>
          <w:tcPr>
            <w:tcW w:w="1872" w:type="dxa"/>
            <w:shd w:val="clear" w:color="auto" w:fill="EDEDED"/>
          </w:tcPr>
          <w:p w14:paraId="4F6BEF93" w14:textId="77777777" w:rsidR="00706138" w:rsidRDefault="00000000">
            <w:pPr>
              <w:spacing w:before="40" w:after="40"/>
            </w:pPr>
            <w:r>
              <w:rPr>
                <w:b/>
                <w:sz w:val="18"/>
              </w:rPr>
              <w:t>Evaluation Area</w:t>
            </w:r>
          </w:p>
        </w:tc>
        <w:tc>
          <w:tcPr>
            <w:tcW w:w="2808" w:type="dxa"/>
            <w:shd w:val="clear" w:color="auto" w:fill="EDEDED"/>
          </w:tcPr>
          <w:p w14:paraId="7AD2C818" w14:textId="77777777" w:rsidR="00706138" w:rsidRDefault="00000000">
            <w:pPr>
              <w:spacing w:before="40" w:after="40"/>
            </w:pPr>
            <w:r>
              <w:rPr>
                <w:b/>
                <w:sz w:val="18"/>
              </w:rPr>
              <w:t>Approach 1</w:t>
            </w:r>
          </w:p>
        </w:tc>
        <w:tc>
          <w:tcPr>
            <w:tcW w:w="2808" w:type="dxa"/>
            <w:shd w:val="clear" w:color="auto" w:fill="EDEDED"/>
          </w:tcPr>
          <w:p w14:paraId="03533DEE" w14:textId="77777777" w:rsidR="00706138" w:rsidRDefault="00000000">
            <w:pPr>
              <w:spacing w:before="40" w:after="40"/>
            </w:pPr>
            <w:r>
              <w:rPr>
                <w:b/>
                <w:sz w:val="18"/>
              </w:rPr>
              <w:t>Approach 2</w:t>
            </w:r>
          </w:p>
        </w:tc>
        <w:tc>
          <w:tcPr>
            <w:tcW w:w="2808" w:type="dxa"/>
            <w:shd w:val="clear" w:color="auto" w:fill="EDEDED"/>
          </w:tcPr>
          <w:p w14:paraId="2B7B74A8" w14:textId="77777777" w:rsidR="00706138" w:rsidRDefault="00000000">
            <w:pPr>
              <w:spacing w:before="40" w:after="40"/>
            </w:pPr>
            <w:r>
              <w:rPr>
                <w:b/>
                <w:sz w:val="18"/>
              </w:rPr>
              <w:t>Approach 3</w:t>
            </w:r>
          </w:p>
        </w:tc>
      </w:tr>
      <w:tr w:rsidR="00706138" w14:paraId="3497C02B" w14:textId="77777777">
        <w:tc>
          <w:tcPr>
            <w:tcW w:w="1872" w:type="dxa"/>
          </w:tcPr>
          <w:p w14:paraId="6E63D8FD" w14:textId="77777777" w:rsidR="00706138" w:rsidRDefault="00000000">
            <w:pPr>
              <w:spacing w:before="40" w:after="40"/>
            </w:pPr>
            <w:r>
              <w:rPr>
                <w:sz w:val="18"/>
              </w:rPr>
              <w:t>Name of algorithm or approach</w:t>
            </w:r>
          </w:p>
        </w:tc>
        <w:tc>
          <w:tcPr>
            <w:tcW w:w="2808" w:type="dxa"/>
          </w:tcPr>
          <w:p w14:paraId="0788651D" w14:textId="77777777" w:rsidR="00706138" w:rsidRDefault="00000000">
            <w:pPr>
              <w:spacing w:before="40" w:after="40"/>
            </w:pPr>
            <w:r>
              <w:rPr>
                <w:sz w:val="18"/>
              </w:rPr>
              <w:t>SARIMA</w:t>
            </w:r>
          </w:p>
        </w:tc>
        <w:tc>
          <w:tcPr>
            <w:tcW w:w="2808" w:type="dxa"/>
          </w:tcPr>
          <w:p w14:paraId="169BBF1D" w14:textId="77777777" w:rsidR="00706138" w:rsidRDefault="00000000">
            <w:pPr>
              <w:spacing w:before="40" w:after="40"/>
            </w:pPr>
            <w:r>
              <w:rPr>
                <w:sz w:val="18"/>
              </w:rPr>
              <w:t>Prophet</w:t>
            </w:r>
          </w:p>
        </w:tc>
        <w:tc>
          <w:tcPr>
            <w:tcW w:w="2808" w:type="dxa"/>
          </w:tcPr>
          <w:p w14:paraId="6FFF6A23" w14:textId="77777777" w:rsidR="00706138" w:rsidRDefault="00000000">
            <w:pPr>
              <w:spacing w:before="40" w:after="40"/>
            </w:pPr>
            <w:r>
              <w:rPr>
                <w:sz w:val="18"/>
              </w:rPr>
              <w:t>XGBoost gradient-boosted trees</w:t>
            </w:r>
          </w:p>
        </w:tc>
      </w:tr>
      <w:tr w:rsidR="00706138" w14:paraId="7CE25CDD" w14:textId="77777777">
        <w:tc>
          <w:tcPr>
            <w:tcW w:w="1872" w:type="dxa"/>
          </w:tcPr>
          <w:p w14:paraId="3CB40A69" w14:textId="77777777" w:rsidR="00706138" w:rsidRDefault="00000000">
            <w:pPr>
              <w:spacing w:before="40" w:after="40"/>
            </w:pPr>
            <w:r>
              <w:rPr>
                <w:sz w:val="18"/>
              </w:rPr>
              <w:t>Purpose in the proposed project</w:t>
            </w:r>
          </w:p>
        </w:tc>
        <w:tc>
          <w:tcPr>
            <w:tcW w:w="2808" w:type="dxa"/>
          </w:tcPr>
          <w:p w14:paraId="62004159" w14:textId="77777777" w:rsidR="00706138" w:rsidRDefault="00000000">
            <w:pPr>
              <w:spacing w:before="40" w:after="40"/>
            </w:pPr>
            <w:r>
              <w:rPr>
                <w:sz w:val="18"/>
              </w:rPr>
              <w:t>Transparent seasonal price baseline</w:t>
            </w:r>
          </w:p>
        </w:tc>
        <w:tc>
          <w:tcPr>
            <w:tcW w:w="2808" w:type="dxa"/>
          </w:tcPr>
          <w:p w14:paraId="3ED7E00E" w14:textId="77777777" w:rsidR="00706138" w:rsidRDefault="00000000">
            <w:pPr>
              <w:spacing w:before="40" w:after="40"/>
            </w:pPr>
            <w:r>
              <w:rPr>
                <w:sz w:val="18"/>
              </w:rPr>
              <w:t>Trend and seasonal forecast with interpretable components</w:t>
            </w:r>
          </w:p>
        </w:tc>
        <w:tc>
          <w:tcPr>
            <w:tcW w:w="2808" w:type="dxa"/>
          </w:tcPr>
          <w:p w14:paraId="7ABB4210" w14:textId="77777777" w:rsidR="00706138" w:rsidRDefault="00000000">
            <w:pPr>
              <w:spacing w:before="40" w:after="40"/>
            </w:pPr>
            <w:r>
              <w:rPr>
                <w:sz w:val="18"/>
              </w:rPr>
              <w:t>Multivariate price regression and glut-risk classification</w:t>
            </w:r>
          </w:p>
        </w:tc>
      </w:tr>
      <w:tr w:rsidR="00706138" w14:paraId="294FF636" w14:textId="77777777">
        <w:tc>
          <w:tcPr>
            <w:tcW w:w="1872" w:type="dxa"/>
          </w:tcPr>
          <w:p w14:paraId="131190A2" w14:textId="77777777" w:rsidR="00706138" w:rsidRDefault="00000000">
            <w:pPr>
              <w:spacing w:before="40" w:after="40"/>
            </w:pPr>
            <w:r>
              <w:rPr>
                <w:sz w:val="18"/>
              </w:rPr>
              <w:t>Dataset requirements</w:t>
            </w:r>
          </w:p>
        </w:tc>
        <w:tc>
          <w:tcPr>
            <w:tcW w:w="2808" w:type="dxa"/>
          </w:tcPr>
          <w:p w14:paraId="23E6648E" w14:textId="77777777" w:rsidR="00706138" w:rsidRDefault="00000000">
            <w:pPr>
              <w:spacing w:before="40" w:after="40"/>
            </w:pPr>
            <w:r>
              <w:rPr>
                <w:sz w:val="18"/>
              </w:rPr>
              <w:t>Regular, sufficiently long univariate series</w:t>
            </w:r>
          </w:p>
        </w:tc>
        <w:tc>
          <w:tcPr>
            <w:tcW w:w="2808" w:type="dxa"/>
          </w:tcPr>
          <w:p w14:paraId="58AC5CEC" w14:textId="77777777" w:rsidR="00706138" w:rsidRDefault="00000000">
            <w:pPr>
              <w:spacing w:before="40" w:after="40"/>
            </w:pPr>
            <w:r>
              <w:rPr>
                <w:sz w:val="18"/>
              </w:rPr>
              <w:t>Regular series; tolerates some missing observations</w:t>
            </w:r>
          </w:p>
        </w:tc>
        <w:tc>
          <w:tcPr>
            <w:tcW w:w="2808" w:type="dxa"/>
          </w:tcPr>
          <w:p w14:paraId="6775B28F" w14:textId="77777777" w:rsidR="00706138" w:rsidRDefault="00000000">
            <w:pPr>
              <w:spacing w:before="40" w:after="40"/>
            </w:pPr>
            <w:r>
              <w:rPr>
                <w:sz w:val="18"/>
              </w:rPr>
              <w:t>Lagged price and volume plus calendar and commodity features</w:t>
            </w:r>
          </w:p>
        </w:tc>
      </w:tr>
      <w:tr w:rsidR="00706138" w14:paraId="22CC907F" w14:textId="77777777">
        <w:tc>
          <w:tcPr>
            <w:tcW w:w="1872" w:type="dxa"/>
          </w:tcPr>
          <w:p w14:paraId="7BA53C6C" w14:textId="77777777" w:rsidR="00706138" w:rsidRDefault="00000000">
            <w:pPr>
              <w:spacing w:before="40" w:after="40"/>
            </w:pPr>
            <w:r>
              <w:rPr>
                <w:sz w:val="18"/>
              </w:rPr>
              <w:t>Expected performance</w:t>
            </w:r>
          </w:p>
        </w:tc>
        <w:tc>
          <w:tcPr>
            <w:tcW w:w="2808" w:type="dxa"/>
          </w:tcPr>
          <w:p w14:paraId="0D0BEE07" w14:textId="77777777" w:rsidR="00706138" w:rsidRDefault="00000000">
            <w:pPr>
              <w:spacing w:before="40" w:after="40"/>
            </w:pPr>
            <w:r>
              <w:rPr>
                <w:sz w:val="18"/>
              </w:rPr>
              <w:t>Strong when seasonality is stable</w:t>
            </w:r>
          </w:p>
        </w:tc>
        <w:tc>
          <w:tcPr>
            <w:tcW w:w="2808" w:type="dxa"/>
          </w:tcPr>
          <w:p w14:paraId="1DB74083" w14:textId="77777777" w:rsidR="00706138" w:rsidRDefault="00000000">
            <w:pPr>
              <w:spacing w:before="40" w:after="40"/>
            </w:pPr>
            <w:r>
              <w:rPr>
                <w:sz w:val="18"/>
              </w:rPr>
              <w:t>Useful baseline; components are easy to explain</w:t>
            </w:r>
          </w:p>
        </w:tc>
        <w:tc>
          <w:tcPr>
            <w:tcW w:w="2808" w:type="dxa"/>
          </w:tcPr>
          <w:p w14:paraId="1A329D63" w14:textId="77777777" w:rsidR="00706138" w:rsidRDefault="00000000">
            <w:pPr>
              <w:spacing w:before="40" w:after="40"/>
            </w:pPr>
            <w:r>
              <w:rPr>
                <w:sz w:val="18"/>
              </w:rPr>
              <w:t>Potentially strongest where nonlinear interactions and volume signals matter</w:t>
            </w:r>
          </w:p>
        </w:tc>
      </w:tr>
      <w:tr w:rsidR="00706138" w14:paraId="2FBB77DE" w14:textId="77777777">
        <w:tc>
          <w:tcPr>
            <w:tcW w:w="1872" w:type="dxa"/>
          </w:tcPr>
          <w:p w14:paraId="1CD00E16" w14:textId="77777777" w:rsidR="00706138" w:rsidRDefault="00000000">
            <w:pPr>
              <w:spacing w:before="40" w:after="40"/>
            </w:pPr>
            <w:r>
              <w:rPr>
                <w:sz w:val="18"/>
              </w:rPr>
              <w:t>Computational requirements</w:t>
            </w:r>
          </w:p>
        </w:tc>
        <w:tc>
          <w:tcPr>
            <w:tcW w:w="2808" w:type="dxa"/>
          </w:tcPr>
          <w:p w14:paraId="74B93370" w14:textId="77777777" w:rsidR="00706138" w:rsidRDefault="00000000">
            <w:pPr>
              <w:spacing w:before="40" w:after="40"/>
            </w:pPr>
            <w:r>
              <w:rPr>
                <w:sz w:val="18"/>
              </w:rPr>
              <w:t>Low</w:t>
            </w:r>
          </w:p>
        </w:tc>
        <w:tc>
          <w:tcPr>
            <w:tcW w:w="2808" w:type="dxa"/>
          </w:tcPr>
          <w:p w14:paraId="7FF73A88" w14:textId="77777777" w:rsidR="00706138" w:rsidRDefault="00000000">
            <w:pPr>
              <w:spacing w:before="40" w:after="40"/>
            </w:pPr>
            <w:r>
              <w:rPr>
                <w:sz w:val="18"/>
              </w:rPr>
              <w:t>Low to moderate</w:t>
            </w:r>
          </w:p>
        </w:tc>
        <w:tc>
          <w:tcPr>
            <w:tcW w:w="2808" w:type="dxa"/>
          </w:tcPr>
          <w:p w14:paraId="4A8D7482" w14:textId="77777777" w:rsidR="00706138" w:rsidRDefault="00000000">
            <w:pPr>
              <w:spacing w:before="40" w:after="40"/>
            </w:pPr>
            <w:r>
              <w:rPr>
                <w:sz w:val="18"/>
              </w:rPr>
              <w:t>Moderate; comfortably feasible on student laptops</w:t>
            </w:r>
          </w:p>
        </w:tc>
      </w:tr>
      <w:tr w:rsidR="00706138" w14:paraId="4EFD573D" w14:textId="77777777">
        <w:tc>
          <w:tcPr>
            <w:tcW w:w="1872" w:type="dxa"/>
          </w:tcPr>
          <w:p w14:paraId="45F254EB" w14:textId="77777777" w:rsidR="00706138" w:rsidRDefault="00000000">
            <w:pPr>
              <w:spacing w:before="40" w:after="40"/>
            </w:pPr>
            <w:r>
              <w:rPr>
                <w:sz w:val="18"/>
              </w:rPr>
              <w:t>Advantages</w:t>
            </w:r>
          </w:p>
        </w:tc>
        <w:tc>
          <w:tcPr>
            <w:tcW w:w="2808" w:type="dxa"/>
          </w:tcPr>
          <w:p w14:paraId="7CB089F8" w14:textId="77777777" w:rsidR="00706138" w:rsidRDefault="00000000">
            <w:pPr>
              <w:spacing w:before="40" w:after="40"/>
            </w:pPr>
            <w:r>
              <w:rPr>
                <w:sz w:val="18"/>
              </w:rPr>
              <w:t>Interpretable with established diagnostics</w:t>
            </w:r>
          </w:p>
        </w:tc>
        <w:tc>
          <w:tcPr>
            <w:tcW w:w="2808" w:type="dxa"/>
          </w:tcPr>
          <w:p w14:paraId="1BA9DDB1" w14:textId="77777777" w:rsidR="00706138" w:rsidRDefault="00000000">
            <w:pPr>
              <w:spacing w:before="40" w:after="40"/>
            </w:pPr>
            <w:r>
              <w:rPr>
                <w:sz w:val="18"/>
              </w:rPr>
              <w:t>Fast setup; handles multiple seasonal effects</w:t>
            </w:r>
          </w:p>
        </w:tc>
        <w:tc>
          <w:tcPr>
            <w:tcW w:w="2808" w:type="dxa"/>
          </w:tcPr>
          <w:p w14:paraId="5EAA86AC" w14:textId="77777777" w:rsidR="00706138" w:rsidRDefault="00000000">
            <w:pPr>
              <w:spacing w:before="40" w:after="40"/>
            </w:pPr>
            <w:r>
              <w:rPr>
                <w:sz w:val="18"/>
              </w:rPr>
              <w:t>Flexible; supports mixed features and both regression and classification in one model family</w:t>
            </w:r>
          </w:p>
        </w:tc>
      </w:tr>
      <w:tr w:rsidR="00706138" w14:paraId="7A5585B5" w14:textId="77777777">
        <w:tc>
          <w:tcPr>
            <w:tcW w:w="1872" w:type="dxa"/>
          </w:tcPr>
          <w:p w14:paraId="6808A86F" w14:textId="77777777" w:rsidR="00706138" w:rsidRDefault="00000000">
            <w:pPr>
              <w:spacing w:before="40" w:after="40"/>
            </w:pPr>
            <w:r>
              <w:rPr>
                <w:sz w:val="18"/>
              </w:rPr>
              <w:t>Limitations</w:t>
            </w:r>
          </w:p>
        </w:tc>
        <w:tc>
          <w:tcPr>
            <w:tcW w:w="2808" w:type="dxa"/>
          </w:tcPr>
          <w:p w14:paraId="2F328C08" w14:textId="77777777" w:rsidR="00706138" w:rsidRDefault="00000000">
            <w:pPr>
              <w:spacing w:before="40" w:after="40"/>
            </w:pPr>
            <w:r>
              <w:rPr>
                <w:sz w:val="18"/>
              </w:rPr>
              <w:t>Weak against abrupt nonlinear shifts</w:t>
            </w:r>
          </w:p>
        </w:tc>
        <w:tc>
          <w:tcPr>
            <w:tcW w:w="2808" w:type="dxa"/>
          </w:tcPr>
          <w:p w14:paraId="4132E35A" w14:textId="77777777" w:rsidR="00706138" w:rsidRDefault="00000000">
            <w:pPr>
              <w:spacing w:before="40" w:after="40"/>
            </w:pPr>
            <w:r>
              <w:rPr>
                <w:sz w:val="18"/>
              </w:rPr>
              <w:t>Can smooth over shocks and is sensitive to tuning</w:t>
            </w:r>
          </w:p>
        </w:tc>
        <w:tc>
          <w:tcPr>
            <w:tcW w:w="2808" w:type="dxa"/>
          </w:tcPr>
          <w:p w14:paraId="5848C25E" w14:textId="77777777" w:rsidR="00706138" w:rsidRDefault="00000000">
            <w:pPr>
              <w:spacing w:before="40" w:after="40"/>
            </w:pPr>
            <w:r>
              <w:rPr>
                <w:sz w:val="18"/>
              </w:rPr>
              <w:t>Requires careful leakage control and additional work to explain</w:t>
            </w:r>
          </w:p>
        </w:tc>
      </w:tr>
      <w:tr w:rsidR="00706138" w14:paraId="430793AF" w14:textId="77777777">
        <w:tc>
          <w:tcPr>
            <w:tcW w:w="1872" w:type="dxa"/>
          </w:tcPr>
          <w:p w14:paraId="3DF770BB" w14:textId="77777777" w:rsidR="00706138" w:rsidRDefault="00000000">
            <w:pPr>
              <w:spacing w:before="40" w:after="40"/>
            </w:pPr>
            <w:r>
              <w:rPr>
                <w:sz w:val="18"/>
              </w:rPr>
              <w:t>Evaluation metrics</w:t>
            </w:r>
          </w:p>
        </w:tc>
        <w:tc>
          <w:tcPr>
            <w:tcW w:w="2808" w:type="dxa"/>
          </w:tcPr>
          <w:p w14:paraId="58AC9910" w14:textId="77777777" w:rsidR="00706138" w:rsidRDefault="00000000">
            <w:pPr>
              <w:spacing w:before="40" w:after="40"/>
            </w:pPr>
            <w:r>
              <w:rPr>
                <w:sz w:val="18"/>
              </w:rPr>
              <w:t>MAE, RMSE, MAPE or sMAPE</w:t>
            </w:r>
          </w:p>
        </w:tc>
        <w:tc>
          <w:tcPr>
            <w:tcW w:w="2808" w:type="dxa"/>
          </w:tcPr>
          <w:p w14:paraId="7078E090" w14:textId="77777777" w:rsidR="00706138" w:rsidRDefault="00000000">
            <w:pPr>
              <w:spacing w:before="40" w:after="40"/>
            </w:pPr>
            <w:r>
              <w:rPr>
                <w:sz w:val="18"/>
              </w:rPr>
              <w:t>MAE, RMSE, MAPE or sMAPE</w:t>
            </w:r>
          </w:p>
        </w:tc>
        <w:tc>
          <w:tcPr>
            <w:tcW w:w="2808" w:type="dxa"/>
          </w:tcPr>
          <w:p w14:paraId="684BE7C6" w14:textId="77777777" w:rsidR="00706138" w:rsidRDefault="00000000">
            <w:pPr>
              <w:spacing w:before="40" w:after="40"/>
            </w:pPr>
            <w:r>
              <w:rPr>
                <w:sz w:val="18"/>
              </w:rPr>
              <w:t>MAE and RMSE for price; precision, recall, F1, and PR-AUC for glut risk</w:t>
            </w:r>
          </w:p>
        </w:tc>
      </w:tr>
      <w:tr w:rsidR="00706138" w14:paraId="571BD1C9" w14:textId="77777777">
        <w:tc>
          <w:tcPr>
            <w:tcW w:w="1872" w:type="dxa"/>
          </w:tcPr>
          <w:p w14:paraId="14B98AFA" w14:textId="77777777" w:rsidR="00706138" w:rsidRDefault="00000000">
            <w:pPr>
              <w:spacing w:before="40" w:after="40"/>
            </w:pPr>
            <w:r>
              <w:rPr>
                <w:sz w:val="18"/>
              </w:rPr>
              <w:t>Implementation complexity</w:t>
            </w:r>
          </w:p>
        </w:tc>
        <w:tc>
          <w:tcPr>
            <w:tcW w:w="2808" w:type="dxa"/>
          </w:tcPr>
          <w:p w14:paraId="2D15499A" w14:textId="77777777" w:rsidR="00706138" w:rsidRDefault="00000000">
            <w:pPr>
              <w:spacing w:before="40" w:after="40"/>
            </w:pPr>
            <w:r>
              <w:rPr>
                <w:sz w:val="18"/>
              </w:rPr>
              <w:t>Moderate</w:t>
            </w:r>
          </w:p>
        </w:tc>
        <w:tc>
          <w:tcPr>
            <w:tcW w:w="2808" w:type="dxa"/>
          </w:tcPr>
          <w:p w14:paraId="24B555F0" w14:textId="77777777" w:rsidR="00706138" w:rsidRDefault="00000000">
            <w:pPr>
              <w:spacing w:before="40" w:after="40"/>
            </w:pPr>
            <w:r>
              <w:rPr>
                <w:sz w:val="18"/>
              </w:rPr>
              <w:t>Low to moderate</w:t>
            </w:r>
          </w:p>
        </w:tc>
        <w:tc>
          <w:tcPr>
            <w:tcW w:w="2808" w:type="dxa"/>
          </w:tcPr>
          <w:p w14:paraId="5BAEAC7B" w14:textId="77777777" w:rsidR="00706138" w:rsidRDefault="00000000">
            <w:pPr>
              <w:spacing w:before="40" w:after="40"/>
            </w:pPr>
            <w:r>
              <w:rPr>
                <w:sz w:val="18"/>
              </w:rPr>
              <w:t>Moderate</w:t>
            </w:r>
          </w:p>
        </w:tc>
      </w:tr>
    </w:tbl>
    <w:p w14:paraId="614BE376" w14:textId="77777777" w:rsidR="00706138" w:rsidRDefault="00706138">
      <w:pPr>
        <w:spacing w:after="40"/>
      </w:pPr>
    </w:p>
    <w:p w14:paraId="3761FEBC" w14:textId="77777777" w:rsidR="00706138" w:rsidRDefault="00000000">
      <w:pPr>
        <w:jc w:val="both"/>
      </w:pPr>
      <w:r>
        <w:lastRenderedPageBreak/>
        <w:t>Recommended approach. XGBoost is the primary model, because the study needs one method that handles both the price regression and the glut-risk classification while using lagged volume alongside price, which a univariate seasonal model cannot do. SARIMA is retained as the transparent seasonal baseline and Prophet as a secondary baseline. Model selection uses rolling-origin validation and every candidate is compared against a naive last-value and seasonal-naive forecast, so an apparently good error figure cannot pass unchallenged. If volume data proves unavailable, the study narrows to price forecasting rather than continuing to claim supply-glut prediction.</w:t>
      </w:r>
    </w:p>
    <w:tbl>
      <w:tblPr>
        <w:tblStyle w:val="TableGrid"/>
        <w:tblW w:w="0" w:type="auto"/>
        <w:jc w:val="center"/>
        <w:tblLook w:val="04A0" w:firstRow="1" w:lastRow="0" w:firstColumn="1" w:lastColumn="0" w:noHBand="0" w:noVBand="1"/>
      </w:tblPr>
      <w:tblGrid>
        <w:gridCol w:w="10224"/>
      </w:tblGrid>
      <w:tr w:rsidR="00706138" w14:paraId="63069268" w14:textId="77777777">
        <w:trPr>
          <w:jc w:val="center"/>
        </w:trPr>
        <w:tc>
          <w:tcPr>
            <w:tcW w:w="10224" w:type="dxa"/>
            <w:shd w:val="clear" w:color="auto" w:fill="4EA72E"/>
          </w:tcPr>
          <w:p w14:paraId="4576361B" w14:textId="77777777" w:rsidR="00706138" w:rsidRDefault="00000000">
            <w:pPr>
              <w:spacing w:before="40" w:after="40"/>
            </w:pPr>
            <w:r>
              <w:rPr>
                <w:b/>
                <w:sz w:val="22"/>
              </w:rPr>
              <w:t>6. Operational Feasibility</w:t>
            </w:r>
          </w:p>
        </w:tc>
      </w:tr>
    </w:tbl>
    <w:p w14:paraId="0E2B8F81" w14:textId="77777777" w:rsidR="00706138" w:rsidRDefault="00706138">
      <w:pPr>
        <w:spacing w:after="40"/>
      </w:pPr>
    </w:p>
    <w:tbl>
      <w:tblPr>
        <w:tblStyle w:val="TableGrid"/>
        <w:tblW w:w="0" w:type="auto"/>
        <w:tblLook w:val="04A0" w:firstRow="1" w:lastRow="0" w:firstColumn="1" w:lastColumn="0" w:noHBand="0" w:noVBand="1"/>
      </w:tblPr>
      <w:tblGrid>
        <w:gridCol w:w="2304"/>
        <w:gridCol w:w="7920"/>
      </w:tblGrid>
      <w:tr w:rsidR="00706138" w14:paraId="09234EEB" w14:textId="77777777">
        <w:tc>
          <w:tcPr>
            <w:tcW w:w="2304" w:type="dxa"/>
            <w:shd w:val="clear" w:color="auto" w:fill="EDEDED"/>
          </w:tcPr>
          <w:p w14:paraId="382CF4AC" w14:textId="77777777" w:rsidR="00706138" w:rsidRDefault="00000000">
            <w:pPr>
              <w:spacing w:before="40" w:after="40"/>
            </w:pPr>
            <w:r>
              <w:rPr>
                <w:b/>
                <w:sz w:val="18"/>
              </w:rPr>
              <w:t>Area</w:t>
            </w:r>
          </w:p>
        </w:tc>
        <w:tc>
          <w:tcPr>
            <w:tcW w:w="7920" w:type="dxa"/>
            <w:shd w:val="clear" w:color="auto" w:fill="EDEDED"/>
          </w:tcPr>
          <w:p w14:paraId="2FB335CA" w14:textId="77777777" w:rsidR="00706138" w:rsidRDefault="00000000">
            <w:pPr>
              <w:spacing w:before="40" w:after="40"/>
            </w:pPr>
            <w:r>
              <w:rPr>
                <w:b/>
                <w:sz w:val="18"/>
              </w:rPr>
              <w:t>Assessment</w:t>
            </w:r>
          </w:p>
        </w:tc>
      </w:tr>
      <w:tr w:rsidR="00706138" w14:paraId="282945E0" w14:textId="77777777">
        <w:tc>
          <w:tcPr>
            <w:tcW w:w="2304" w:type="dxa"/>
          </w:tcPr>
          <w:p w14:paraId="2A973A41" w14:textId="77777777" w:rsidR="00706138" w:rsidRDefault="00000000">
            <w:pPr>
              <w:spacing w:before="40" w:after="40"/>
            </w:pPr>
            <w:r>
              <w:rPr>
                <w:sz w:val="18"/>
              </w:rPr>
              <w:t>Target users and stakeholders</w:t>
            </w:r>
          </w:p>
        </w:tc>
        <w:tc>
          <w:tcPr>
            <w:tcW w:w="7920" w:type="dxa"/>
          </w:tcPr>
          <w:p w14:paraId="06A2A1E3" w14:textId="77777777" w:rsidR="00706138" w:rsidRDefault="00000000">
            <w:pPr>
              <w:spacing w:before="40" w:after="40"/>
            </w:pPr>
            <w:r>
              <w:rPr>
                <w:sz w:val="18"/>
              </w:rPr>
              <w:t>BAPTC and DA-CAR staff are the direct users and the data gatekeepers. Farmers and traders are beneficiaries rather than system users.</w:t>
            </w:r>
          </w:p>
        </w:tc>
      </w:tr>
      <w:tr w:rsidR="00706138" w14:paraId="28595A22" w14:textId="77777777">
        <w:tc>
          <w:tcPr>
            <w:tcW w:w="2304" w:type="dxa"/>
          </w:tcPr>
          <w:p w14:paraId="526A75FF" w14:textId="77777777" w:rsidR="00706138" w:rsidRDefault="00000000">
            <w:pPr>
              <w:spacing w:before="40" w:after="40"/>
            </w:pPr>
            <w:r>
              <w:rPr>
                <w:sz w:val="18"/>
              </w:rPr>
              <w:t>Intended operating environment</w:t>
            </w:r>
          </w:p>
        </w:tc>
        <w:tc>
          <w:tcPr>
            <w:tcW w:w="7920" w:type="dxa"/>
          </w:tcPr>
          <w:p w14:paraId="593D8663" w14:textId="77777777" w:rsidR="00706138" w:rsidRDefault="00000000">
            <w:pPr>
              <w:spacing w:before="40" w:after="40"/>
            </w:pPr>
            <w:r>
              <w:rPr>
                <w:sz w:val="18"/>
              </w:rPr>
              <w:t>Office or trading-centre use through a browser on standard computers with a stable internet connection. An offline or local-network deployment supports limited connectivity.</w:t>
            </w:r>
          </w:p>
        </w:tc>
      </w:tr>
      <w:tr w:rsidR="00706138" w14:paraId="4863A6B0" w14:textId="77777777">
        <w:tc>
          <w:tcPr>
            <w:tcW w:w="2304" w:type="dxa"/>
          </w:tcPr>
          <w:p w14:paraId="06E39FD9" w14:textId="77777777" w:rsidR="00706138" w:rsidRDefault="00000000">
            <w:pPr>
              <w:spacing w:before="40" w:after="40"/>
            </w:pPr>
            <w:r>
              <w:rPr>
                <w:sz w:val="18"/>
              </w:rPr>
              <w:t>Availability of participants</w:t>
            </w:r>
          </w:p>
        </w:tc>
        <w:tc>
          <w:tcPr>
            <w:tcW w:w="7920" w:type="dxa"/>
          </w:tcPr>
          <w:p w14:paraId="657804F9" w14:textId="77777777" w:rsidR="00706138" w:rsidRDefault="00000000">
            <w:pPr>
              <w:spacing w:before="40" w:after="40"/>
            </w:pPr>
            <w:r>
              <w:rPr>
                <w:sz w:val="18"/>
              </w:rPr>
              <w:t xml:space="preserve">A BAPTC or DA-CAR contact who can explain the records, authorise access, and review forecast interpretation must be confirmed. Both offices have acknowledged the group's requests, but no named participant has yet agreed.</w:t>
            </w:r>
          </w:p>
        </w:tc>
      </w:tr>
      <w:tr w:rsidR="00706138" w14:paraId="0DD1C9CC" w14:textId="77777777">
        <w:tc>
          <w:tcPr>
            <w:tcW w:w="2304" w:type="dxa"/>
          </w:tcPr>
          <w:p w14:paraId="31FE8CCC" w14:textId="77777777" w:rsidR="00706138" w:rsidRDefault="00000000">
            <w:pPr>
              <w:spacing w:before="40" w:after="40"/>
            </w:pPr>
            <w:r>
              <w:rPr>
                <w:sz w:val="18"/>
              </w:rPr>
              <w:t>User needs and benefits</w:t>
            </w:r>
          </w:p>
        </w:tc>
        <w:tc>
          <w:tcPr>
            <w:tcW w:w="7920" w:type="dxa"/>
          </w:tcPr>
          <w:p w14:paraId="0D6C464E" w14:textId="77777777" w:rsidR="00706138" w:rsidRDefault="00000000">
            <w:pPr>
              <w:spacing w:before="40" w:after="40"/>
            </w:pPr>
            <w:r>
              <w:rPr>
                <w:sz w:val="18"/>
              </w:rPr>
              <w:t>A forward indicator of price movement and oversupply risk by commodity, which does not currently exist for this market in any accessible form.</w:t>
            </w:r>
          </w:p>
        </w:tc>
      </w:tr>
      <w:tr w:rsidR="00706138" w14:paraId="54BB4EF7" w14:textId="77777777">
        <w:tc>
          <w:tcPr>
            <w:tcW w:w="2304" w:type="dxa"/>
          </w:tcPr>
          <w:p w14:paraId="44375813" w14:textId="77777777" w:rsidR="00706138" w:rsidRDefault="00000000">
            <w:pPr>
              <w:spacing w:before="40" w:after="40"/>
            </w:pPr>
            <w:r>
              <w:rPr>
                <w:sz w:val="18"/>
              </w:rPr>
              <w:t>Devices and facilities</w:t>
            </w:r>
          </w:p>
        </w:tc>
        <w:tc>
          <w:tcPr>
            <w:tcW w:w="7920" w:type="dxa"/>
          </w:tcPr>
          <w:p w14:paraId="1A3A96E3" w14:textId="77777777" w:rsidR="00706138" w:rsidRDefault="00000000">
            <w:pPr>
              <w:spacing w:before="40" w:after="40"/>
            </w:pPr>
            <w:r>
              <w:rPr>
                <w:sz w:val="18"/>
              </w:rPr>
              <w:t>Standard office computers and a browser. No procurement is required.</w:t>
            </w:r>
          </w:p>
        </w:tc>
      </w:tr>
      <w:tr w:rsidR="00706138" w14:paraId="4F2D3508" w14:textId="77777777">
        <w:tc>
          <w:tcPr>
            <w:tcW w:w="2304" w:type="dxa"/>
          </w:tcPr>
          <w:p w14:paraId="30D14507" w14:textId="77777777" w:rsidR="00706138" w:rsidRDefault="00000000">
            <w:pPr>
              <w:spacing w:before="40" w:after="40"/>
            </w:pPr>
            <w:r>
              <w:rPr>
                <w:sz w:val="18"/>
              </w:rPr>
              <w:t>Usability and accessibility</w:t>
            </w:r>
          </w:p>
        </w:tc>
        <w:tc>
          <w:tcPr>
            <w:tcW w:w="7920" w:type="dxa"/>
          </w:tcPr>
          <w:p w14:paraId="6751FB93" w14:textId="77777777" w:rsidR="00706138" w:rsidRDefault="00000000">
            <w:pPr>
              <w:spacing w:before="40" w:after="40"/>
            </w:pPr>
            <w:r>
              <w:rPr>
                <w:sz w:val="18"/>
              </w:rPr>
              <w:t>Dashboard terms, charts, colour contrast, keyboard access, and mobile readability tested with intended staff users.</w:t>
            </w:r>
          </w:p>
        </w:tc>
      </w:tr>
      <w:tr w:rsidR="00706138" w14:paraId="3536D05F" w14:textId="77777777">
        <w:tc>
          <w:tcPr>
            <w:tcW w:w="2304" w:type="dxa"/>
          </w:tcPr>
          <w:p w14:paraId="14584CB3" w14:textId="77777777" w:rsidR="00706138" w:rsidRDefault="00000000">
            <w:pPr>
              <w:spacing w:before="40" w:after="40"/>
            </w:pPr>
            <w:r>
              <w:rPr>
                <w:sz w:val="18"/>
              </w:rPr>
              <w:t>Training and support</w:t>
            </w:r>
          </w:p>
        </w:tc>
        <w:tc>
          <w:tcPr>
            <w:tcW w:w="7920" w:type="dxa"/>
          </w:tcPr>
          <w:p w14:paraId="1A832BDF" w14:textId="77777777" w:rsidR="00706138" w:rsidRDefault="00000000">
            <w:pPr>
              <w:spacing w:before="40" w:after="40"/>
            </w:pPr>
            <w:r>
              <w:rPr>
                <w:sz w:val="18"/>
              </w:rPr>
              <w:t>A short user guide and an administrator procedure for importing data, rerunning models, checking failures, and backing up records.</w:t>
            </w:r>
          </w:p>
        </w:tc>
      </w:tr>
      <w:tr w:rsidR="00706138" w14:paraId="6D6E8A23" w14:textId="77777777">
        <w:tc>
          <w:tcPr>
            <w:tcW w:w="2304" w:type="dxa"/>
          </w:tcPr>
          <w:p w14:paraId="12E4957F" w14:textId="77777777" w:rsidR="00706138" w:rsidRDefault="00000000">
            <w:pPr>
              <w:spacing w:before="40" w:after="40"/>
            </w:pPr>
            <w:r>
              <w:rPr>
                <w:sz w:val="18"/>
              </w:rPr>
              <w:t>Maintenance</w:t>
            </w:r>
          </w:p>
        </w:tc>
        <w:tc>
          <w:tcPr>
            <w:tcW w:w="7920" w:type="dxa"/>
          </w:tcPr>
          <w:p w14:paraId="6647D977" w14:textId="77777777" w:rsidR="00706138" w:rsidRDefault="00000000">
            <w:pPr>
              <w:spacing w:before="40" w:after="40"/>
            </w:pPr>
            <w:r>
              <w:rPr>
                <w:sz w:val="18"/>
              </w:rPr>
              <w:t>Scheduled model monitoring, because crop patterns, reporting practices, and market behaviour change over time and a model fitted once will drift.</w:t>
            </w:r>
          </w:p>
        </w:tc>
      </w:tr>
      <w:tr w:rsidR="00706138" w14:paraId="0E822040" w14:textId="77777777">
        <w:tc>
          <w:tcPr>
            <w:tcW w:w="2304" w:type="dxa"/>
          </w:tcPr>
          <w:p w14:paraId="44B64DBC" w14:textId="77777777" w:rsidR="00706138" w:rsidRDefault="00000000">
            <w:pPr>
              <w:spacing w:before="40" w:after="40"/>
            </w:pPr>
            <w:r>
              <w:rPr>
                <w:sz w:val="18"/>
              </w:rPr>
              <w:t>Adoption challenges</w:t>
            </w:r>
          </w:p>
        </w:tc>
        <w:tc>
          <w:tcPr>
            <w:tcW w:w="7920" w:type="dxa"/>
          </w:tcPr>
          <w:p w14:paraId="20D10A3A" w14:textId="77777777" w:rsidR="00706138" w:rsidRDefault="00000000">
            <w:pPr>
              <w:spacing w:before="40" w:after="40"/>
            </w:pPr>
            <w:r>
              <w:rPr>
                <w:sz w:val="18"/>
              </w:rPr>
              <w:t>The main risk is that forecasts are read as guarantees. Managed by displaying confidence ranges, last-update dates, data gaps, and model limitations rather than presenting single numbers as certainties.</w:t>
            </w:r>
          </w:p>
        </w:tc>
      </w:tr>
    </w:tbl>
    <w:p w14:paraId="311BEE2C" w14:textId="77777777" w:rsidR="00706138" w:rsidRDefault="00706138">
      <w:pPr>
        <w:spacing w:after="40"/>
      </w:pPr>
    </w:p>
    <w:p w14:paraId="178CED4C" w14:textId="77777777" w:rsidR="00706138" w:rsidRDefault="00000000">
      <w:pPr>
        <w:jc w:val="both"/>
      </w:pPr>
      <w:r>
        <w:t>Operational finding. A staff-facing dashboard is practical if BAPTC or DA-CAR participates in data clarification and user testing. Without a partner contact the project can still demonstrate a prototype, but operational validation would be considerably weaker.</w:t>
      </w:r>
    </w:p>
    <w:tbl>
      <w:tblPr>
        <w:tblStyle w:val="TableGrid"/>
        <w:tblW w:w="0" w:type="auto"/>
        <w:jc w:val="center"/>
        <w:tblLook w:val="04A0" w:firstRow="1" w:lastRow="0" w:firstColumn="1" w:lastColumn="0" w:noHBand="0" w:noVBand="1"/>
      </w:tblPr>
      <w:tblGrid>
        <w:gridCol w:w="10224"/>
      </w:tblGrid>
      <w:tr w:rsidR="00706138" w14:paraId="621E8A8F" w14:textId="77777777">
        <w:trPr>
          <w:jc w:val="center"/>
        </w:trPr>
        <w:tc>
          <w:tcPr>
            <w:tcW w:w="10224" w:type="dxa"/>
            <w:shd w:val="clear" w:color="auto" w:fill="4EA72E"/>
          </w:tcPr>
          <w:p w14:paraId="147831E3" w14:textId="77777777" w:rsidR="00706138" w:rsidRDefault="00000000">
            <w:pPr>
              <w:spacing w:before="40" w:after="40"/>
            </w:pPr>
            <w:r>
              <w:rPr>
                <w:b/>
                <w:sz w:val="22"/>
              </w:rPr>
              <w:t>7. Economic Feasibility</w:t>
            </w:r>
          </w:p>
        </w:tc>
      </w:tr>
    </w:tbl>
    <w:p w14:paraId="48B67986" w14:textId="77777777" w:rsidR="00706138" w:rsidRDefault="00706138">
      <w:pPr>
        <w:spacing w:after="40"/>
      </w:pPr>
    </w:p>
    <w:p w14:paraId="1B60E0E6" w14:textId="77777777" w:rsidR="00706138" w:rsidRDefault="00000000">
      <w:r>
        <w:rPr>
          <w:i/>
          <w:sz w:val="18"/>
        </w:rPr>
        <w:t>The amounts below are planning allowances, not supplier quotations. They assume the group already owns suitable laptops and uses open-source software throughout.</w:t>
      </w:r>
    </w:p>
    <w:tbl>
      <w:tblPr>
        <w:tblStyle w:val="TableGrid"/>
        <w:tblW w:w="0" w:type="auto"/>
        <w:tblLook w:val="04A0" w:firstRow="1" w:lastRow="0" w:firstColumn="1" w:lastColumn="0" w:noHBand="0" w:noVBand="1"/>
      </w:tblPr>
      <w:tblGrid>
        <w:gridCol w:w="2160"/>
        <w:gridCol w:w="1584"/>
        <w:gridCol w:w="3312"/>
        <w:gridCol w:w="3168"/>
      </w:tblGrid>
      <w:tr w:rsidR="00706138" w14:paraId="3D1BF131" w14:textId="77777777">
        <w:tc>
          <w:tcPr>
            <w:tcW w:w="2160" w:type="dxa"/>
            <w:shd w:val="clear" w:color="auto" w:fill="EDEDED"/>
          </w:tcPr>
          <w:p w14:paraId="6EA09B83" w14:textId="77777777" w:rsidR="00706138" w:rsidRDefault="00000000">
            <w:pPr>
              <w:spacing w:before="40" w:after="40"/>
            </w:pPr>
            <w:r>
              <w:rPr>
                <w:b/>
                <w:sz w:val="18"/>
              </w:rPr>
              <w:t>Expense</w:t>
            </w:r>
          </w:p>
        </w:tc>
        <w:tc>
          <w:tcPr>
            <w:tcW w:w="1584" w:type="dxa"/>
            <w:shd w:val="clear" w:color="auto" w:fill="EDEDED"/>
          </w:tcPr>
          <w:p w14:paraId="227AE721" w14:textId="77777777" w:rsidR="00706138" w:rsidRDefault="00000000">
            <w:pPr>
              <w:spacing w:before="40" w:after="40"/>
            </w:pPr>
            <w:r>
              <w:rPr>
                <w:b/>
                <w:sz w:val="18"/>
              </w:rPr>
              <w:t>Estimated Cost</w:t>
            </w:r>
          </w:p>
        </w:tc>
        <w:tc>
          <w:tcPr>
            <w:tcW w:w="3312" w:type="dxa"/>
            <w:shd w:val="clear" w:color="auto" w:fill="EDEDED"/>
          </w:tcPr>
          <w:p w14:paraId="60019E40" w14:textId="77777777" w:rsidR="00706138" w:rsidRDefault="00000000">
            <w:pPr>
              <w:spacing w:before="40" w:after="40"/>
            </w:pPr>
            <w:r>
              <w:rPr>
                <w:b/>
                <w:sz w:val="18"/>
              </w:rPr>
              <w:t>Purpose</w:t>
            </w:r>
          </w:p>
        </w:tc>
        <w:tc>
          <w:tcPr>
            <w:tcW w:w="3168" w:type="dxa"/>
            <w:shd w:val="clear" w:color="auto" w:fill="EDEDED"/>
          </w:tcPr>
          <w:p w14:paraId="3920DF1B" w14:textId="77777777" w:rsidR="00706138" w:rsidRDefault="00000000">
            <w:pPr>
              <w:spacing w:before="40" w:after="40"/>
            </w:pPr>
            <w:r>
              <w:rPr>
                <w:b/>
                <w:sz w:val="18"/>
              </w:rPr>
              <w:t>Possible Alternative</w:t>
            </w:r>
          </w:p>
        </w:tc>
      </w:tr>
      <w:tr w:rsidR="00706138" w14:paraId="61B073E8" w14:textId="77777777">
        <w:tc>
          <w:tcPr>
            <w:tcW w:w="2160" w:type="dxa"/>
          </w:tcPr>
          <w:p w14:paraId="7400AB3B" w14:textId="77777777" w:rsidR="00706138" w:rsidRDefault="00000000">
            <w:pPr>
              <w:spacing w:before="40" w:after="40"/>
            </w:pPr>
            <w:r>
              <w:rPr>
                <w:sz w:val="18"/>
              </w:rPr>
              <w:t>Software licences</w:t>
            </w:r>
          </w:p>
        </w:tc>
        <w:tc>
          <w:tcPr>
            <w:tcW w:w="1584" w:type="dxa"/>
          </w:tcPr>
          <w:p w14:paraId="58B5ECBF" w14:textId="77777777" w:rsidR="00706138" w:rsidRDefault="00000000">
            <w:pPr>
              <w:spacing w:before="40" w:after="40"/>
            </w:pPr>
            <w:r>
              <w:rPr>
                <w:sz w:val="18"/>
              </w:rPr>
              <w:t>PHP 0</w:t>
            </w:r>
          </w:p>
        </w:tc>
        <w:tc>
          <w:tcPr>
            <w:tcW w:w="3312" w:type="dxa"/>
          </w:tcPr>
          <w:p w14:paraId="56482E08" w14:textId="77777777" w:rsidR="00706138" w:rsidRDefault="00000000">
            <w:pPr>
              <w:spacing w:before="40" w:after="40"/>
            </w:pPr>
            <w:r>
              <w:rPr>
                <w:sz w:val="18"/>
              </w:rPr>
              <w:t>Development and analytics tools</w:t>
            </w:r>
          </w:p>
        </w:tc>
        <w:tc>
          <w:tcPr>
            <w:tcW w:w="3168" w:type="dxa"/>
          </w:tcPr>
          <w:p w14:paraId="2A1AD029" w14:textId="77777777" w:rsidR="00706138" w:rsidRDefault="00000000">
            <w:pPr>
              <w:spacing w:before="40" w:after="40"/>
            </w:pPr>
            <w:r>
              <w:rPr>
                <w:sz w:val="18"/>
              </w:rPr>
              <w:t>Use open-source software</w:t>
            </w:r>
          </w:p>
        </w:tc>
      </w:tr>
      <w:tr w:rsidR="00706138" w14:paraId="7768988B" w14:textId="77777777">
        <w:tc>
          <w:tcPr>
            <w:tcW w:w="2160" w:type="dxa"/>
          </w:tcPr>
          <w:p w14:paraId="495B8244" w14:textId="77777777" w:rsidR="00706138" w:rsidRDefault="00000000">
            <w:pPr>
              <w:spacing w:before="40" w:after="40"/>
            </w:pPr>
            <w:r>
              <w:rPr>
                <w:sz w:val="18"/>
              </w:rPr>
              <w:t>APIs and subscriptions</w:t>
            </w:r>
          </w:p>
        </w:tc>
        <w:tc>
          <w:tcPr>
            <w:tcW w:w="1584" w:type="dxa"/>
          </w:tcPr>
          <w:p w14:paraId="56A155A0" w14:textId="77777777" w:rsidR="00706138" w:rsidRDefault="00000000">
            <w:pPr>
              <w:spacing w:before="40" w:after="40"/>
            </w:pPr>
            <w:r>
              <w:rPr>
                <w:sz w:val="18"/>
              </w:rPr>
              <w:t>PHP 0 to 1,200</w:t>
            </w:r>
          </w:p>
        </w:tc>
        <w:tc>
          <w:tcPr>
            <w:tcW w:w="3312" w:type="dxa"/>
          </w:tcPr>
          <w:p w14:paraId="065EBCAF" w14:textId="77777777" w:rsidR="00706138" w:rsidRDefault="00000000">
            <w:pPr>
              <w:spacing w:before="40" w:after="40"/>
            </w:pPr>
            <w:r>
              <w:rPr>
                <w:sz w:val="18"/>
              </w:rPr>
              <w:t>Optional services or notifications</w:t>
            </w:r>
          </w:p>
        </w:tc>
        <w:tc>
          <w:tcPr>
            <w:tcW w:w="3168" w:type="dxa"/>
          </w:tcPr>
          <w:p w14:paraId="7B794C14" w14:textId="77777777" w:rsidR="00706138" w:rsidRDefault="00000000">
            <w:pPr>
              <w:spacing w:before="40" w:after="40"/>
            </w:pPr>
            <w:r>
              <w:rPr>
                <w:sz w:val="18"/>
              </w:rPr>
              <w:t>Use file imports and free tiers</w:t>
            </w:r>
          </w:p>
        </w:tc>
      </w:tr>
      <w:tr w:rsidR="00706138" w14:paraId="5E1A9A3F" w14:textId="77777777">
        <w:tc>
          <w:tcPr>
            <w:tcW w:w="2160" w:type="dxa"/>
          </w:tcPr>
          <w:p w14:paraId="02B10150" w14:textId="77777777" w:rsidR="00706138" w:rsidRDefault="00000000">
            <w:pPr>
              <w:spacing w:before="40" w:after="40"/>
            </w:pPr>
            <w:r>
              <w:rPr>
                <w:sz w:val="18"/>
              </w:rPr>
              <w:t>Cloud hosting and storage</w:t>
            </w:r>
          </w:p>
        </w:tc>
        <w:tc>
          <w:tcPr>
            <w:tcW w:w="1584" w:type="dxa"/>
          </w:tcPr>
          <w:p w14:paraId="5B8C146E" w14:textId="77777777" w:rsidR="00706138" w:rsidRDefault="00000000">
            <w:pPr>
              <w:spacing w:before="40" w:after="40"/>
            </w:pPr>
            <w:r>
              <w:rPr>
                <w:sz w:val="18"/>
              </w:rPr>
              <w:t>PHP 0 to 2,400</w:t>
            </w:r>
          </w:p>
        </w:tc>
        <w:tc>
          <w:tcPr>
            <w:tcW w:w="3312" w:type="dxa"/>
          </w:tcPr>
          <w:p w14:paraId="27F8ACE9" w14:textId="77777777" w:rsidR="00706138" w:rsidRDefault="00000000">
            <w:pPr>
              <w:spacing w:before="40" w:after="40"/>
            </w:pPr>
            <w:r>
              <w:rPr>
                <w:sz w:val="18"/>
              </w:rPr>
              <w:t>Pilot deployment and backups</w:t>
            </w:r>
          </w:p>
        </w:tc>
        <w:tc>
          <w:tcPr>
            <w:tcW w:w="3168" w:type="dxa"/>
          </w:tcPr>
          <w:p w14:paraId="0A0E352C" w14:textId="77777777" w:rsidR="00706138" w:rsidRDefault="00000000">
            <w:pPr>
              <w:spacing w:before="40" w:after="40"/>
            </w:pPr>
            <w:r>
              <w:rPr>
                <w:sz w:val="18"/>
              </w:rPr>
              <w:t>Local or school-hosted deployment</w:t>
            </w:r>
          </w:p>
        </w:tc>
      </w:tr>
      <w:tr w:rsidR="00706138" w14:paraId="72CABD07" w14:textId="77777777">
        <w:tc>
          <w:tcPr>
            <w:tcW w:w="2160" w:type="dxa"/>
          </w:tcPr>
          <w:p w14:paraId="3D9C44BE" w14:textId="77777777" w:rsidR="00706138" w:rsidRDefault="00000000">
            <w:pPr>
              <w:spacing w:before="40" w:after="40"/>
            </w:pPr>
            <w:r>
              <w:rPr>
                <w:sz w:val="18"/>
              </w:rPr>
              <w:t>Dataset acquisition or annotation</w:t>
            </w:r>
          </w:p>
        </w:tc>
        <w:tc>
          <w:tcPr>
            <w:tcW w:w="1584" w:type="dxa"/>
          </w:tcPr>
          <w:p w14:paraId="2F060F68" w14:textId="77777777" w:rsidR="00706138" w:rsidRDefault="00000000">
            <w:pPr>
              <w:spacing w:before="40" w:after="40"/>
            </w:pPr>
            <w:r>
              <w:rPr>
                <w:sz w:val="18"/>
              </w:rPr>
              <w:t>PHP 0</w:t>
            </w:r>
          </w:p>
        </w:tc>
        <w:tc>
          <w:tcPr>
            <w:tcW w:w="3312" w:type="dxa"/>
          </w:tcPr>
          <w:p w14:paraId="1689CF37" w14:textId="77777777" w:rsidR="00706138" w:rsidRDefault="00000000">
            <w:pPr>
              <w:spacing w:before="40" w:after="40"/>
            </w:pPr>
            <w:r>
              <w:rPr>
                <w:sz w:val="18"/>
              </w:rPr>
              <w:t>Aggregate records and cleaning</w:t>
            </w:r>
          </w:p>
        </w:tc>
        <w:tc>
          <w:tcPr>
            <w:tcW w:w="3168" w:type="dxa"/>
          </w:tcPr>
          <w:p w14:paraId="3FDF40EE" w14:textId="77777777" w:rsidR="00706138" w:rsidRDefault="00000000">
            <w:pPr>
              <w:spacing w:before="40" w:after="40"/>
            </w:pPr>
            <w:r>
              <w:rPr>
                <w:sz w:val="18"/>
              </w:rPr>
              <w:t>Request institutional data; clean manually</w:t>
            </w:r>
          </w:p>
        </w:tc>
      </w:tr>
      <w:tr w:rsidR="00706138" w14:paraId="191F3292" w14:textId="77777777">
        <w:tc>
          <w:tcPr>
            <w:tcW w:w="2160" w:type="dxa"/>
          </w:tcPr>
          <w:p w14:paraId="66C2BC30" w14:textId="77777777" w:rsidR="00706138" w:rsidRDefault="00000000">
            <w:pPr>
              <w:spacing w:before="40" w:after="40"/>
            </w:pPr>
            <w:r>
              <w:rPr>
                <w:sz w:val="18"/>
              </w:rPr>
              <w:t>Hardware or equipment</w:t>
            </w:r>
          </w:p>
        </w:tc>
        <w:tc>
          <w:tcPr>
            <w:tcW w:w="1584" w:type="dxa"/>
          </w:tcPr>
          <w:p w14:paraId="57BA6703" w14:textId="77777777" w:rsidR="00706138" w:rsidRDefault="00000000">
            <w:pPr>
              <w:spacing w:before="40" w:after="40"/>
            </w:pPr>
            <w:r>
              <w:rPr>
                <w:sz w:val="18"/>
              </w:rPr>
              <w:t>PHP 0</w:t>
            </w:r>
          </w:p>
        </w:tc>
        <w:tc>
          <w:tcPr>
            <w:tcW w:w="3312" w:type="dxa"/>
          </w:tcPr>
          <w:p w14:paraId="250EB54F" w14:textId="77777777" w:rsidR="00706138" w:rsidRDefault="00000000">
            <w:pPr>
              <w:spacing w:before="40" w:after="40"/>
            </w:pPr>
            <w:r>
              <w:rPr>
                <w:sz w:val="18"/>
              </w:rPr>
              <w:t>Development and testing</w:t>
            </w:r>
          </w:p>
        </w:tc>
        <w:tc>
          <w:tcPr>
            <w:tcW w:w="3168" w:type="dxa"/>
          </w:tcPr>
          <w:p w14:paraId="404E5BA9" w14:textId="77777777" w:rsidR="00706138" w:rsidRDefault="00000000">
            <w:pPr>
              <w:spacing w:before="40" w:after="40"/>
            </w:pPr>
            <w:r>
              <w:rPr>
                <w:sz w:val="18"/>
              </w:rPr>
              <w:t>Use existing laptops</w:t>
            </w:r>
          </w:p>
        </w:tc>
      </w:tr>
      <w:tr w:rsidR="00706138" w14:paraId="40C3119F" w14:textId="77777777">
        <w:tc>
          <w:tcPr>
            <w:tcW w:w="2160" w:type="dxa"/>
          </w:tcPr>
          <w:p w14:paraId="5CE3CC26" w14:textId="77777777" w:rsidR="00706138" w:rsidRDefault="00000000">
            <w:pPr>
              <w:spacing w:before="40" w:after="40"/>
            </w:pPr>
            <w:r>
              <w:rPr>
                <w:sz w:val="18"/>
              </w:rPr>
              <w:t>Transportation and data collection</w:t>
            </w:r>
          </w:p>
        </w:tc>
        <w:tc>
          <w:tcPr>
            <w:tcW w:w="1584" w:type="dxa"/>
          </w:tcPr>
          <w:p w14:paraId="2A1BC817" w14:textId="77777777" w:rsidR="00706138" w:rsidRDefault="00000000">
            <w:pPr>
              <w:spacing w:before="40" w:after="40"/>
            </w:pPr>
            <w:r>
              <w:rPr>
                <w:sz w:val="18"/>
              </w:rPr>
              <w:t>PHP 3,000</w:t>
            </w:r>
          </w:p>
        </w:tc>
        <w:tc>
          <w:tcPr>
            <w:tcW w:w="3312" w:type="dxa"/>
          </w:tcPr>
          <w:p w14:paraId="06D7DE9E" w14:textId="77777777" w:rsidR="00706138" w:rsidRDefault="00000000">
            <w:pPr>
              <w:spacing w:before="40" w:after="40"/>
            </w:pPr>
            <w:r>
              <w:rPr>
                <w:sz w:val="18"/>
              </w:rPr>
              <w:t>BAPTC or DA-CAR visits</w:t>
            </w:r>
          </w:p>
        </w:tc>
        <w:tc>
          <w:tcPr>
            <w:tcW w:w="3168" w:type="dxa"/>
          </w:tcPr>
          <w:p w14:paraId="22841915" w14:textId="77777777" w:rsidR="00706138" w:rsidRDefault="00000000">
            <w:pPr>
              <w:spacing w:before="40" w:after="40"/>
            </w:pPr>
            <w:r>
              <w:rPr>
                <w:sz w:val="18"/>
              </w:rPr>
              <w:t>Use scheduled calls and email where appropriate, since the request channel is remote</w:t>
            </w:r>
          </w:p>
        </w:tc>
      </w:tr>
      <w:tr w:rsidR="00706138" w14:paraId="3765D965" w14:textId="77777777">
        <w:tc>
          <w:tcPr>
            <w:tcW w:w="2160" w:type="dxa"/>
          </w:tcPr>
          <w:p w14:paraId="1687D62F" w14:textId="77777777" w:rsidR="00706138" w:rsidRDefault="00000000">
            <w:pPr>
              <w:spacing w:before="40" w:after="40"/>
            </w:pPr>
            <w:r>
              <w:rPr>
                <w:sz w:val="18"/>
              </w:rPr>
              <w:lastRenderedPageBreak/>
              <w:t>Testing and deployment</w:t>
            </w:r>
          </w:p>
        </w:tc>
        <w:tc>
          <w:tcPr>
            <w:tcW w:w="1584" w:type="dxa"/>
          </w:tcPr>
          <w:p w14:paraId="74307F3F" w14:textId="77777777" w:rsidR="00706138" w:rsidRDefault="00000000">
            <w:pPr>
              <w:spacing w:before="40" w:after="40"/>
            </w:pPr>
            <w:r>
              <w:rPr>
                <w:sz w:val="18"/>
              </w:rPr>
              <w:t>PHP 1,000</w:t>
            </w:r>
          </w:p>
        </w:tc>
        <w:tc>
          <w:tcPr>
            <w:tcW w:w="3312" w:type="dxa"/>
          </w:tcPr>
          <w:p w14:paraId="038E7A3E" w14:textId="77777777" w:rsidR="00706138" w:rsidRDefault="00000000">
            <w:pPr>
              <w:spacing w:before="40" w:after="40"/>
            </w:pPr>
            <w:r>
              <w:rPr>
                <w:sz w:val="18"/>
              </w:rPr>
              <w:t>User testing and incidentals</w:t>
            </w:r>
          </w:p>
        </w:tc>
        <w:tc>
          <w:tcPr>
            <w:tcW w:w="3168" w:type="dxa"/>
          </w:tcPr>
          <w:p w14:paraId="0BF454CC" w14:textId="77777777" w:rsidR="00706138" w:rsidRDefault="00000000">
            <w:pPr>
              <w:spacing w:before="40" w:after="40"/>
            </w:pPr>
            <w:r>
              <w:rPr>
                <w:sz w:val="18"/>
              </w:rPr>
              <w:t>Use remote testing</w:t>
            </w:r>
          </w:p>
        </w:tc>
      </w:tr>
      <w:tr w:rsidR="00706138" w14:paraId="2CDEE222" w14:textId="77777777">
        <w:tc>
          <w:tcPr>
            <w:tcW w:w="2160" w:type="dxa"/>
          </w:tcPr>
          <w:p w14:paraId="5951D5E0" w14:textId="77777777" w:rsidR="00706138" w:rsidRDefault="00000000">
            <w:pPr>
              <w:spacing w:before="40" w:after="40"/>
            </w:pPr>
            <w:r>
              <w:rPr>
                <w:sz w:val="18"/>
              </w:rPr>
              <w:t>Maintenance</w:t>
            </w:r>
          </w:p>
        </w:tc>
        <w:tc>
          <w:tcPr>
            <w:tcW w:w="1584" w:type="dxa"/>
          </w:tcPr>
          <w:p w14:paraId="3386D894" w14:textId="77777777" w:rsidR="00706138" w:rsidRDefault="00000000">
            <w:pPr>
              <w:spacing w:before="40" w:after="40"/>
            </w:pPr>
            <w:r>
              <w:rPr>
                <w:sz w:val="18"/>
              </w:rPr>
              <w:t>PHP 1,200</w:t>
            </w:r>
          </w:p>
        </w:tc>
        <w:tc>
          <w:tcPr>
            <w:tcW w:w="3312" w:type="dxa"/>
          </w:tcPr>
          <w:p w14:paraId="572F7650" w14:textId="77777777" w:rsidR="00706138" w:rsidRDefault="00000000">
            <w:pPr>
              <w:spacing w:before="40" w:after="40"/>
            </w:pPr>
            <w:r>
              <w:rPr>
                <w:sz w:val="18"/>
              </w:rPr>
              <w:t>Backups or post-pilot hosting</w:t>
            </w:r>
          </w:p>
        </w:tc>
        <w:tc>
          <w:tcPr>
            <w:tcW w:w="3168" w:type="dxa"/>
          </w:tcPr>
          <w:p w14:paraId="52DABF04" w14:textId="77777777" w:rsidR="00706138" w:rsidRDefault="00000000">
            <w:pPr>
              <w:spacing w:before="40" w:after="40"/>
            </w:pPr>
            <w:r>
              <w:rPr>
                <w:sz w:val="18"/>
              </w:rPr>
              <w:t>Local archive and scheduled exports</w:t>
            </w:r>
          </w:p>
        </w:tc>
      </w:tr>
      <w:tr w:rsidR="00706138" w14:paraId="5C68017E" w14:textId="77777777">
        <w:tc>
          <w:tcPr>
            <w:tcW w:w="2160" w:type="dxa"/>
          </w:tcPr>
          <w:p w14:paraId="7D95F87B" w14:textId="77777777" w:rsidR="00706138" w:rsidRDefault="00000000">
            <w:pPr>
              <w:spacing w:before="40" w:after="40"/>
            </w:pPr>
            <w:r>
              <w:rPr>
                <w:sz w:val="18"/>
              </w:rPr>
              <w:t>Contingency expenses</w:t>
            </w:r>
          </w:p>
        </w:tc>
        <w:tc>
          <w:tcPr>
            <w:tcW w:w="1584" w:type="dxa"/>
          </w:tcPr>
          <w:p w14:paraId="7D6A877B" w14:textId="77777777" w:rsidR="00706138" w:rsidRDefault="00000000">
            <w:pPr>
              <w:spacing w:before="40" w:after="40"/>
            </w:pPr>
            <w:r>
              <w:rPr>
                <w:sz w:val="18"/>
              </w:rPr>
              <w:t>PHP 1,500</w:t>
            </w:r>
          </w:p>
        </w:tc>
        <w:tc>
          <w:tcPr>
            <w:tcW w:w="3312" w:type="dxa"/>
          </w:tcPr>
          <w:p w14:paraId="7ADC832C" w14:textId="77777777" w:rsidR="00706138" w:rsidRDefault="00000000">
            <w:pPr>
              <w:spacing w:before="40" w:after="40"/>
            </w:pPr>
            <w:r>
              <w:rPr>
                <w:sz w:val="18"/>
              </w:rPr>
              <w:t>Unexpected project expenses</w:t>
            </w:r>
          </w:p>
        </w:tc>
        <w:tc>
          <w:tcPr>
            <w:tcW w:w="3168" w:type="dxa"/>
          </w:tcPr>
          <w:p w14:paraId="78A13B2C" w14:textId="77777777" w:rsidR="00706138" w:rsidRDefault="00000000">
            <w:pPr>
              <w:spacing w:before="40" w:after="40"/>
            </w:pPr>
            <w:r>
              <w:rPr>
                <w:sz w:val="18"/>
              </w:rPr>
              <w:t>Reduce optional hosting or travel</w:t>
            </w:r>
          </w:p>
        </w:tc>
      </w:tr>
      <w:tr w:rsidR="00706138" w14:paraId="69D6D6EB" w14:textId="77777777">
        <w:tc>
          <w:tcPr>
            <w:tcW w:w="2160" w:type="dxa"/>
          </w:tcPr>
          <w:p w14:paraId="1D0E1804" w14:textId="77777777" w:rsidR="00706138" w:rsidRDefault="00000000">
            <w:pPr>
              <w:spacing w:before="40" w:after="40"/>
            </w:pPr>
            <w:r>
              <w:rPr>
                <w:sz w:val="18"/>
              </w:rPr>
              <w:t>Total estimated cost</w:t>
            </w:r>
          </w:p>
        </w:tc>
        <w:tc>
          <w:tcPr>
            <w:tcW w:w="1584" w:type="dxa"/>
          </w:tcPr>
          <w:p w14:paraId="40BC11BE" w14:textId="77777777" w:rsidR="00706138" w:rsidRDefault="00000000">
            <w:pPr>
              <w:spacing w:before="40" w:after="40"/>
            </w:pPr>
            <w:r>
              <w:rPr>
                <w:sz w:val="18"/>
              </w:rPr>
              <w:t>PHP 6,700 to 10,300</w:t>
            </w:r>
          </w:p>
        </w:tc>
        <w:tc>
          <w:tcPr>
            <w:tcW w:w="3312" w:type="dxa"/>
          </w:tcPr>
          <w:p w14:paraId="0A017A06" w14:textId="77777777" w:rsidR="00706138" w:rsidRDefault="00000000">
            <w:pPr>
              <w:spacing w:before="40" w:after="40"/>
            </w:pPr>
            <w:r>
              <w:rPr>
                <w:sz w:val="18"/>
              </w:rPr>
              <w:t>Working budget range</w:t>
            </w:r>
          </w:p>
        </w:tc>
        <w:tc>
          <w:tcPr>
            <w:tcW w:w="3168" w:type="dxa"/>
          </w:tcPr>
          <w:p w14:paraId="75B2DD0B" w14:textId="77777777" w:rsidR="00706138" w:rsidRDefault="00000000">
            <w:pPr>
              <w:spacing w:before="40" w:after="40"/>
            </w:pPr>
            <w:r>
              <w:rPr>
                <w:sz w:val="18"/>
              </w:rPr>
              <w:t>The lower bound uses free tiers throughout</w:t>
            </w:r>
          </w:p>
        </w:tc>
      </w:tr>
    </w:tbl>
    <w:p w14:paraId="71FFF32C" w14:textId="77777777" w:rsidR="00706138" w:rsidRDefault="00706138">
      <w:pPr>
        <w:spacing w:after="40"/>
      </w:pPr>
    </w:p>
    <w:p w14:paraId="0320DE37" w14:textId="77777777" w:rsidR="00706138" w:rsidRDefault="00000000">
      <w:pPr>
        <w:jc w:val="both"/>
      </w:pPr>
      <w:r>
        <w:t xml:space="preserve">Economic finding. The project can be low-cost because the proposed stack and secondary datasets are free. It carries the highest travel cost among the six titles, driven almost entirely by travel to La Trinidad, which is roughly a five-hour trip from Metro Manila and therefore not a routine visit. The group must confirm its actual budget, travel plan, and any institutional data-access fees before final approval.</w:t>
      </w:r>
    </w:p>
    <w:tbl>
      <w:tblPr>
        <w:tblStyle w:val="TableGrid"/>
        <w:tblW w:w="0" w:type="auto"/>
        <w:jc w:val="center"/>
        <w:tblLook w:val="04A0" w:firstRow="1" w:lastRow="0" w:firstColumn="1" w:lastColumn="0" w:noHBand="0" w:noVBand="1"/>
      </w:tblPr>
      <w:tblGrid>
        <w:gridCol w:w="10224"/>
      </w:tblGrid>
      <w:tr w:rsidR="00706138" w14:paraId="6AAC98B9" w14:textId="77777777">
        <w:trPr>
          <w:jc w:val="center"/>
        </w:trPr>
        <w:tc>
          <w:tcPr>
            <w:tcW w:w="10224" w:type="dxa"/>
            <w:shd w:val="clear" w:color="auto" w:fill="4EA72E"/>
          </w:tcPr>
          <w:p w14:paraId="1EF9A7F1" w14:textId="77777777" w:rsidR="00706138" w:rsidRDefault="00000000">
            <w:pPr>
              <w:spacing w:before="40" w:after="40"/>
            </w:pPr>
            <w:r>
              <w:rPr>
                <w:b/>
                <w:sz w:val="22"/>
              </w:rPr>
              <w:t>8. Schedule Feasibility</w:t>
            </w:r>
          </w:p>
        </w:tc>
      </w:tr>
    </w:tbl>
    <w:p w14:paraId="7A6BEFAF" w14:textId="77777777" w:rsidR="00706138" w:rsidRDefault="00706138">
      <w:pPr>
        <w:spacing w:after="40"/>
      </w:pPr>
    </w:p>
    <w:tbl>
      <w:tblPr>
        <w:tblStyle w:val="TableGrid"/>
        <w:tblW w:w="0" w:type="auto"/>
        <w:tblLook w:val="04A0" w:firstRow="1" w:lastRow="0" w:firstColumn="1" w:lastColumn="0" w:noHBand="0" w:noVBand="1"/>
      </w:tblPr>
      <w:tblGrid>
        <w:gridCol w:w="3024"/>
        <w:gridCol w:w="2160"/>
        <w:gridCol w:w="5040"/>
      </w:tblGrid>
      <w:tr w:rsidR="00706138" w14:paraId="1008B4D4" w14:textId="77777777">
        <w:tc>
          <w:tcPr>
            <w:tcW w:w="3024" w:type="dxa"/>
            <w:shd w:val="clear" w:color="auto" w:fill="EDEDED"/>
          </w:tcPr>
          <w:p w14:paraId="19D6FDCB" w14:textId="77777777" w:rsidR="00706138" w:rsidRDefault="00000000">
            <w:pPr>
              <w:spacing w:before="40" w:after="40"/>
            </w:pPr>
            <w:r>
              <w:rPr>
                <w:b/>
                <w:sz w:val="18"/>
              </w:rPr>
              <w:t>Activity</w:t>
            </w:r>
          </w:p>
        </w:tc>
        <w:tc>
          <w:tcPr>
            <w:tcW w:w="2160" w:type="dxa"/>
            <w:shd w:val="clear" w:color="auto" w:fill="EDEDED"/>
          </w:tcPr>
          <w:p w14:paraId="67D319E7" w14:textId="77777777" w:rsidR="00706138" w:rsidRDefault="00000000">
            <w:pPr>
              <w:spacing w:before="40" w:after="40"/>
            </w:pPr>
            <w:r>
              <w:rPr>
                <w:b/>
                <w:sz w:val="18"/>
              </w:rPr>
              <w:t>Estimated Duration</w:t>
            </w:r>
          </w:p>
        </w:tc>
        <w:tc>
          <w:tcPr>
            <w:tcW w:w="5040" w:type="dxa"/>
            <w:shd w:val="clear" w:color="auto" w:fill="EDEDED"/>
          </w:tcPr>
          <w:p w14:paraId="2895A5DC" w14:textId="77777777" w:rsidR="00706138" w:rsidRDefault="00000000">
            <w:pPr>
              <w:spacing w:before="40" w:after="40"/>
            </w:pPr>
            <w:r>
              <w:rPr>
                <w:b/>
                <w:sz w:val="18"/>
              </w:rPr>
              <w:t>Dependency or Control</w:t>
            </w:r>
          </w:p>
        </w:tc>
      </w:tr>
      <w:tr w:rsidR="00706138" w14:paraId="6EDB4A43" w14:textId="77777777">
        <w:tc>
          <w:tcPr>
            <w:tcW w:w="3024" w:type="dxa"/>
          </w:tcPr>
          <w:p w14:paraId="390DDC91" w14:textId="77777777" w:rsidR="00706138" w:rsidRDefault="00000000">
            <w:pPr>
              <w:spacing w:before="40" w:after="40"/>
            </w:pPr>
            <w:r>
              <w:rPr>
                <w:sz w:val="18"/>
              </w:rPr>
              <w:t>Requirements gathering</w:t>
            </w:r>
          </w:p>
        </w:tc>
        <w:tc>
          <w:tcPr>
            <w:tcW w:w="2160" w:type="dxa"/>
          </w:tcPr>
          <w:p w14:paraId="63D37F50" w14:textId="77777777" w:rsidR="00706138" w:rsidRDefault="00000000">
            <w:pPr>
              <w:spacing w:before="40" w:after="40"/>
            </w:pPr>
            <w:r>
              <w:rPr>
                <w:sz w:val="18"/>
              </w:rPr>
              <w:t>Weeks 1 to 2</w:t>
            </w:r>
          </w:p>
        </w:tc>
        <w:tc>
          <w:tcPr>
            <w:tcW w:w="5040" w:type="dxa"/>
          </w:tcPr>
          <w:p w14:paraId="43C81BB2" w14:textId="77777777" w:rsidR="00706138" w:rsidRDefault="00000000">
            <w:pPr>
              <w:spacing w:before="40" w:after="40"/>
            </w:pPr>
            <w:r>
              <w:rPr>
                <w:sz w:val="18"/>
              </w:rPr>
              <w:t>Includes the data-access feasibility gate</w:t>
            </w:r>
          </w:p>
        </w:tc>
      </w:tr>
      <w:tr w:rsidR="00706138" w14:paraId="0730B28A" w14:textId="77777777">
        <w:tc>
          <w:tcPr>
            <w:tcW w:w="3024" w:type="dxa"/>
          </w:tcPr>
          <w:p w14:paraId="6DBCDAEE" w14:textId="77777777" w:rsidR="00706138" w:rsidRDefault="00000000">
            <w:pPr>
              <w:spacing w:before="40" w:after="40"/>
            </w:pPr>
            <w:r>
              <w:rPr>
                <w:sz w:val="18"/>
              </w:rPr>
              <w:t>Literature and related-study review</w:t>
            </w:r>
          </w:p>
        </w:tc>
        <w:tc>
          <w:tcPr>
            <w:tcW w:w="2160" w:type="dxa"/>
          </w:tcPr>
          <w:p w14:paraId="0127E090" w14:textId="77777777" w:rsidR="00706138" w:rsidRDefault="00000000">
            <w:pPr>
              <w:spacing w:before="40" w:after="40"/>
            </w:pPr>
            <w:r>
              <w:rPr>
                <w:sz w:val="18"/>
              </w:rPr>
              <w:t>Weeks 1 to 4</w:t>
            </w:r>
          </w:p>
        </w:tc>
        <w:tc>
          <w:tcPr>
            <w:tcW w:w="5040" w:type="dxa"/>
          </w:tcPr>
          <w:p w14:paraId="71DEB0C7" w14:textId="77777777" w:rsidR="00706138" w:rsidRDefault="00000000">
            <w:pPr>
              <w:spacing w:before="40" w:after="40"/>
            </w:pPr>
            <w:r>
              <w:rPr>
                <w:sz w:val="18"/>
              </w:rPr>
              <w:t>Continues throughout model selection</w:t>
            </w:r>
          </w:p>
        </w:tc>
      </w:tr>
      <w:tr w:rsidR="00706138" w14:paraId="0CDEFEC2" w14:textId="77777777">
        <w:tc>
          <w:tcPr>
            <w:tcW w:w="3024" w:type="dxa"/>
          </w:tcPr>
          <w:p w14:paraId="723E1AE4" w14:textId="77777777" w:rsidR="00706138" w:rsidRDefault="00000000">
            <w:pPr>
              <w:spacing w:before="40" w:after="40"/>
            </w:pPr>
            <w:r>
              <w:rPr>
                <w:sz w:val="18"/>
              </w:rPr>
              <w:t>Dataset acquisition or data collection</w:t>
            </w:r>
          </w:p>
        </w:tc>
        <w:tc>
          <w:tcPr>
            <w:tcW w:w="2160" w:type="dxa"/>
          </w:tcPr>
          <w:p w14:paraId="539A96F6" w14:textId="77777777" w:rsidR="00706138" w:rsidRDefault="00000000">
            <w:pPr>
              <w:spacing w:before="40" w:after="40"/>
            </w:pPr>
            <w:r>
              <w:rPr>
                <w:sz w:val="18"/>
              </w:rPr>
              <w:t>Weeks 1 to 3</w:t>
            </w:r>
          </w:p>
        </w:tc>
        <w:tc>
          <w:tcPr>
            <w:tcW w:w="5040" w:type="dxa"/>
          </w:tcPr>
          <w:p w14:paraId="6C9E3833" w14:textId="77777777" w:rsidR="00706138" w:rsidRDefault="00000000">
            <w:pPr>
              <w:spacing w:before="40" w:after="40"/>
            </w:pPr>
            <w:r>
              <w:rPr>
                <w:sz w:val="18"/>
              </w:rPr>
              <w:t>Escalate or narrow scope if records are not confirmed by Week 3</w:t>
            </w:r>
          </w:p>
        </w:tc>
      </w:tr>
      <w:tr w:rsidR="00706138" w14:paraId="107F37BD" w14:textId="77777777">
        <w:tc>
          <w:tcPr>
            <w:tcW w:w="3024" w:type="dxa"/>
          </w:tcPr>
          <w:p w14:paraId="61E00043" w14:textId="77777777" w:rsidR="00706138" w:rsidRDefault="00000000">
            <w:pPr>
              <w:spacing w:before="40" w:after="40"/>
            </w:pPr>
            <w:r>
              <w:rPr>
                <w:sz w:val="18"/>
              </w:rPr>
              <w:t>Data cleaning, annotation, and preprocessing</w:t>
            </w:r>
          </w:p>
        </w:tc>
        <w:tc>
          <w:tcPr>
            <w:tcW w:w="2160" w:type="dxa"/>
          </w:tcPr>
          <w:p w14:paraId="6976F57C" w14:textId="77777777" w:rsidR="00706138" w:rsidRDefault="00000000">
            <w:pPr>
              <w:spacing w:before="40" w:after="40"/>
            </w:pPr>
            <w:r>
              <w:rPr>
                <w:sz w:val="18"/>
              </w:rPr>
              <w:t>Weeks 3 to 5</w:t>
            </w:r>
          </w:p>
        </w:tc>
        <w:tc>
          <w:tcPr>
            <w:tcW w:w="5040" w:type="dxa"/>
          </w:tcPr>
          <w:p w14:paraId="13B48C83" w14:textId="77777777" w:rsidR="00706138" w:rsidRDefault="00000000">
            <w:pPr>
              <w:spacing w:before="40" w:after="40"/>
            </w:pPr>
            <w:r>
              <w:rPr>
                <w:sz w:val="18"/>
              </w:rPr>
              <w:t>Depends on the received format and quality</w:t>
            </w:r>
          </w:p>
        </w:tc>
      </w:tr>
      <w:tr w:rsidR="00706138" w14:paraId="5579D43C" w14:textId="77777777">
        <w:tc>
          <w:tcPr>
            <w:tcW w:w="3024" w:type="dxa"/>
          </w:tcPr>
          <w:p w14:paraId="7B89FF56" w14:textId="77777777" w:rsidR="00706138" w:rsidRDefault="00000000">
            <w:pPr>
              <w:spacing w:before="40" w:after="40"/>
            </w:pPr>
            <w:r>
              <w:rPr>
                <w:sz w:val="18"/>
              </w:rPr>
              <w:t>System design</w:t>
            </w:r>
          </w:p>
        </w:tc>
        <w:tc>
          <w:tcPr>
            <w:tcW w:w="2160" w:type="dxa"/>
          </w:tcPr>
          <w:p w14:paraId="7815707D" w14:textId="77777777" w:rsidR="00706138" w:rsidRDefault="00000000">
            <w:pPr>
              <w:spacing w:before="40" w:after="40"/>
            </w:pPr>
            <w:r>
              <w:rPr>
                <w:sz w:val="18"/>
              </w:rPr>
              <w:t>Weeks 3 to 5</w:t>
            </w:r>
          </w:p>
        </w:tc>
        <w:tc>
          <w:tcPr>
            <w:tcW w:w="5040" w:type="dxa"/>
          </w:tcPr>
          <w:p w14:paraId="69895B20" w14:textId="77777777" w:rsidR="00706138" w:rsidRDefault="00000000">
            <w:pPr>
              <w:spacing w:before="40" w:after="40"/>
            </w:pPr>
            <w:r>
              <w:rPr>
                <w:sz w:val="18"/>
              </w:rPr>
              <w:t>Data schema, architecture, and dashboard flow</w:t>
            </w:r>
          </w:p>
        </w:tc>
      </w:tr>
      <w:tr w:rsidR="00706138" w14:paraId="4D11394E" w14:textId="77777777">
        <w:tc>
          <w:tcPr>
            <w:tcW w:w="3024" w:type="dxa"/>
          </w:tcPr>
          <w:p w14:paraId="3DCFD412" w14:textId="77777777" w:rsidR="00706138" w:rsidRDefault="00000000">
            <w:pPr>
              <w:spacing w:before="40" w:after="40"/>
            </w:pPr>
            <w:r>
              <w:rPr>
                <w:sz w:val="18"/>
              </w:rPr>
              <w:t>Algorithm or model development</w:t>
            </w:r>
          </w:p>
        </w:tc>
        <w:tc>
          <w:tcPr>
            <w:tcW w:w="2160" w:type="dxa"/>
          </w:tcPr>
          <w:p w14:paraId="69077AF2" w14:textId="77777777" w:rsidR="00706138" w:rsidRDefault="00000000">
            <w:pPr>
              <w:spacing w:before="40" w:after="40"/>
            </w:pPr>
            <w:r>
              <w:rPr>
                <w:sz w:val="18"/>
              </w:rPr>
              <w:t>Weeks 5 to 9</w:t>
            </w:r>
          </w:p>
        </w:tc>
        <w:tc>
          <w:tcPr>
            <w:tcW w:w="5040" w:type="dxa"/>
          </w:tcPr>
          <w:p w14:paraId="5F048FE5" w14:textId="77777777" w:rsidR="00706138" w:rsidRDefault="00000000">
            <w:pPr>
              <w:spacing w:before="40" w:after="40"/>
            </w:pPr>
            <w:r>
              <w:rPr>
                <w:sz w:val="18"/>
              </w:rPr>
              <w:t>Build baselines before complex models</w:t>
            </w:r>
          </w:p>
        </w:tc>
      </w:tr>
      <w:tr w:rsidR="00706138" w14:paraId="6015458B" w14:textId="77777777">
        <w:tc>
          <w:tcPr>
            <w:tcW w:w="3024" w:type="dxa"/>
          </w:tcPr>
          <w:p w14:paraId="28D03B81" w14:textId="77777777" w:rsidR="00706138" w:rsidRDefault="00000000">
            <w:pPr>
              <w:spacing w:before="40" w:after="40"/>
            </w:pPr>
            <w:r>
              <w:rPr>
                <w:sz w:val="18"/>
              </w:rPr>
              <w:t>System implementation</w:t>
            </w:r>
          </w:p>
        </w:tc>
        <w:tc>
          <w:tcPr>
            <w:tcW w:w="2160" w:type="dxa"/>
          </w:tcPr>
          <w:p w14:paraId="5787995B" w14:textId="77777777" w:rsidR="00706138" w:rsidRDefault="00000000">
            <w:pPr>
              <w:spacing w:before="40" w:after="40"/>
            </w:pPr>
            <w:r>
              <w:rPr>
                <w:sz w:val="18"/>
              </w:rPr>
              <w:t>Weeks 6 to 11</w:t>
            </w:r>
          </w:p>
        </w:tc>
        <w:tc>
          <w:tcPr>
            <w:tcW w:w="5040" w:type="dxa"/>
          </w:tcPr>
          <w:p w14:paraId="08131B91" w14:textId="77777777" w:rsidR="00706138" w:rsidRDefault="00000000">
            <w:pPr>
              <w:spacing w:before="40" w:after="40"/>
            </w:pPr>
            <w:r>
              <w:rPr>
                <w:sz w:val="18"/>
              </w:rPr>
              <w:t>Dashboard developed in parallel</w:t>
            </w:r>
          </w:p>
        </w:tc>
      </w:tr>
      <w:tr w:rsidR="00706138" w14:paraId="640425DD" w14:textId="77777777">
        <w:tc>
          <w:tcPr>
            <w:tcW w:w="3024" w:type="dxa"/>
          </w:tcPr>
          <w:p w14:paraId="2B19C45B" w14:textId="77777777" w:rsidR="00706138" w:rsidRDefault="00000000">
            <w:pPr>
              <w:spacing w:before="40" w:after="40"/>
            </w:pPr>
            <w:r>
              <w:rPr>
                <w:sz w:val="18"/>
              </w:rPr>
              <w:t>Model training and validation</w:t>
            </w:r>
          </w:p>
        </w:tc>
        <w:tc>
          <w:tcPr>
            <w:tcW w:w="2160" w:type="dxa"/>
          </w:tcPr>
          <w:p w14:paraId="168EAF41" w14:textId="77777777" w:rsidR="00706138" w:rsidRDefault="00000000">
            <w:pPr>
              <w:spacing w:before="40" w:after="40"/>
            </w:pPr>
            <w:r>
              <w:rPr>
                <w:sz w:val="18"/>
              </w:rPr>
              <w:t>Weeks 9 to 12</w:t>
            </w:r>
          </w:p>
        </w:tc>
        <w:tc>
          <w:tcPr>
            <w:tcW w:w="5040" w:type="dxa"/>
          </w:tcPr>
          <w:p w14:paraId="7AE5FC12" w14:textId="77777777" w:rsidR="00706138" w:rsidRDefault="00000000">
            <w:pPr>
              <w:spacing w:before="40" w:after="40"/>
            </w:pPr>
            <w:r>
              <w:rPr>
                <w:sz w:val="18"/>
              </w:rPr>
              <w:t>Rolling-origin evaluation</w:t>
            </w:r>
          </w:p>
        </w:tc>
      </w:tr>
      <w:tr w:rsidR="00706138" w14:paraId="6E7EFB83" w14:textId="77777777">
        <w:tc>
          <w:tcPr>
            <w:tcW w:w="3024" w:type="dxa"/>
          </w:tcPr>
          <w:p w14:paraId="0E2D7BB6" w14:textId="77777777" w:rsidR="00706138" w:rsidRDefault="00000000">
            <w:pPr>
              <w:spacing w:before="40" w:after="40"/>
            </w:pPr>
            <w:r>
              <w:rPr>
                <w:sz w:val="18"/>
              </w:rPr>
              <w:t>Software and user testing</w:t>
            </w:r>
          </w:p>
        </w:tc>
        <w:tc>
          <w:tcPr>
            <w:tcW w:w="2160" w:type="dxa"/>
          </w:tcPr>
          <w:p w14:paraId="01EFA23A" w14:textId="77777777" w:rsidR="00706138" w:rsidRDefault="00000000">
            <w:pPr>
              <w:spacing w:before="40" w:after="40"/>
            </w:pPr>
            <w:r>
              <w:rPr>
                <w:sz w:val="18"/>
              </w:rPr>
              <w:t>Weeks 11 to 14</w:t>
            </w:r>
          </w:p>
        </w:tc>
        <w:tc>
          <w:tcPr>
            <w:tcW w:w="5040" w:type="dxa"/>
          </w:tcPr>
          <w:p w14:paraId="612F4BE2" w14:textId="77777777" w:rsidR="00706138" w:rsidRDefault="00000000">
            <w:pPr>
              <w:spacing w:before="40" w:after="40"/>
            </w:pPr>
            <w:r>
              <w:rPr>
                <w:sz w:val="18"/>
              </w:rPr>
              <w:t>Requires partner or representative users</w:t>
            </w:r>
          </w:p>
        </w:tc>
      </w:tr>
      <w:tr w:rsidR="00706138" w14:paraId="3F5B33FE" w14:textId="77777777">
        <w:tc>
          <w:tcPr>
            <w:tcW w:w="3024" w:type="dxa"/>
          </w:tcPr>
          <w:p w14:paraId="1883BC57" w14:textId="77777777" w:rsidR="00706138" w:rsidRDefault="00000000">
            <w:pPr>
              <w:spacing w:before="40" w:after="40"/>
            </w:pPr>
            <w:r>
              <w:rPr>
                <w:sz w:val="18"/>
              </w:rPr>
              <w:t>Performance evaluation</w:t>
            </w:r>
          </w:p>
        </w:tc>
        <w:tc>
          <w:tcPr>
            <w:tcW w:w="2160" w:type="dxa"/>
          </w:tcPr>
          <w:p w14:paraId="10DD10E1" w14:textId="77777777" w:rsidR="00706138" w:rsidRDefault="00000000">
            <w:pPr>
              <w:spacing w:before="40" w:after="40"/>
            </w:pPr>
            <w:r>
              <w:rPr>
                <w:sz w:val="18"/>
              </w:rPr>
              <w:t>Weeks 12 to 14</w:t>
            </w:r>
          </w:p>
        </w:tc>
        <w:tc>
          <w:tcPr>
            <w:tcW w:w="5040" w:type="dxa"/>
          </w:tcPr>
          <w:p w14:paraId="0BDD2EDB" w14:textId="77777777" w:rsidR="00706138" w:rsidRDefault="00000000">
            <w:pPr>
              <w:spacing w:before="40" w:after="40"/>
            </w:pPr>
            <w:r>
              <w:rPr>
                <w:sz w:val="18"/>
              </w:rPr>
              <w:t>Compare models and error by commodity</w:t>
            </w:r>
          </w:p>
        </w:tc>
      </w:tr>
      <w:tr w:rsidR="00706138" w14:paraId="5D210B5C" w14:textId="77777777">
        <w:tc>
          <w:tcPr>
            <w:tcW w:w="3024" w:type="dxa"/>
          </w:tcPr>
          <w:p w14:paraId="28E6661A" w14:textId="77777777" w:rsidR="00706138" w:rsidRDefault="00000000">
            <w:pPr>
              <w:spacing w:before="40" w:after="40"/>
            </w:pPr>
            <w:r>
              <w:rPr>
                <w:sz w:val="18"/>
              </w:rPr>
              <w:t>Revision and improvement</w:t>
            </w:r>
          </w:p>
        </w:tc>
        <w:tc>
          <w:tcPr>
            <w:tcW w:w="2160" w:type="dxa"/>
          </w:tcPr>
          <w:p w14:paraId="29E7AA38" w14:textId="77777777" w:rsidR="00706138" w:rsidRDefault="00000000">
            <w:pPr>
              <w:spacing w:before="40" w:after="40"/>
            </w:pPr>
            <w:r>
              <w:rPr>
                <w:sz w:val="18"/>
              </w:rPr>
              <w:t>Weeks 14 to 16</w:t>
            </w:r>
          </w:p>
        </w:tc>
        <w:tc>
          <w:tcPr>
            <w:tcW w:w="5040" w:type="dxa"/>
          </w:tcPr>
          <w:p w14:paraId="3779F7B7" w14:textId="77777777" w:rsidR="00706138" w:rsidRDefault="00000000">
            <w:pPr>
              <w:spacing w:before="40" w:after="40"/>
            </w:pPr>
            <w:r>
              <w:rPr>
                <w:sz w:val="18"/>
              </w:rPr>
              <w:t>Correct defects and refine explanations</w:t>
            </w:r>
          </w:p>
        </w:tc>
      </w:tr>
      <w:tr w:rsidR="00706138" w14:paraId="6B3F1C16" w14:textId="77777777">
        <w:tc>
          <w:tcPr>
            <w:tcW w:w="3024" w:type="dxa"/>
          </w:tcPr>
          <w:p w14:paraId="57BDA721" w14:textId="77777777" w:rsidR="00706138" w:rsidRDefault="00000000">
            <w:pPr>
              <w:spacing w:before="40" w:after="40"/>
            </w:pPr>
            <w:r>
              <w:rPr>
                <w:sz w:val="18"/>
              </w:rPr>
              <w:t>Documentation</w:t>
            </w:r>
          </w:p>
        </w:tc>
        <w:tc>
          <w:tcPr>
            <w:tcW w:w="2160" w:type="dxa"/>
          </w:tcPr>
          <w:p w14:paraId="21C18D9C" w14:textId="77777777" w:rsidR="00706138" w:rsidRDefault="00000000">
            <w:pPr>
              <w:spacing w:before="40" w:after="40"/>
            </w:pPr>
            <w:r>
              <w:rPr>
                <w:sz w:val="18"/>
              </w:rPr>
              <w:t>Weeks 4 to 17</w:t>
            </w:r>
          </w:p>
        </w:tc>
        <w:tc>
          <w:tcPr>
            <w:tcW w:w="5040" w:type="dxa"/>
          </w:tcPr>
          <w:p w14:paraId="19624D60" w14:textId="77777777" w:rsidR="00706138" w:rsidRDefault="00000000">
            <w:pPr>
              <w:spacing w:before="40" w:after="40"/>
            </w:pPr>
            <w:r>
              <w:rPr>
                <w:sz w:val="18"/>
              </w:rPr>
              <w:t>Maintain methods and provenance as work proceeds</w:t>
            </w:r>
          </w:p>
        </w:tc>
      </w:tr>
      <w:tr w:rsidR="00706138" w14:paraId="7D0EF1C5" w14:textId="77777777">
        <w:tc>
          <w:tcPr>
            <w:tcW w:w="3024" w:type="dxa"/>
          </w:tcPr>
          <w:p w14:paraId="6F256B61" w14:textId="77777777" w:rsidR="00706138" w:rsidRDefault="00000000">
            <w:pPr>
              <w:spacing w:before="40" w:after="40"/>
            </w:pPr>
            <w:r>
              <w:rPr>
                <w:sz w:val="18"/>
              </w:rPr>
              <w:t>Deployment and final presentation</w:t>
            </w:r>
          </w:p>
        </w:tc>
        <w:tc>
          <w:tcPr>
            <w:tcW w:w="2160" w:type="dxa"/>
          </w:tcPr>
          <w:p w14:paraId="09955DF4" w14:textId="77777777" w:rsidR="00706138" w:rsidRDefault="00000000">
            <w:pPr>
              <w:spacing w:before="40" w:after="40"/>
            </w:pPr>
            <w:r>
              <w:rPr>
                <w:sz w:val="18"/>
              </w:rPr>
              <w:t>Weeks 17 to 18</w:t>
            </w:r>
          </w:p>
        </w:tc>
        <w:tc>
          <w:tcPr>
            <w:tcW w:w="5040" w:type="dxa"/>
          </w:tcPr>
          <w:p w14:paraId="42421AE7" w14:textId="77777777" w:rsidR="00706138" w:rsidRDefault="00000000">
            <w:pPr>
              <w:spacing w:before="40" w:after="40"/>
            </w:pPr>
            <w:r>
              <w:rPr>
                <w:sz w:val="18"/>
              </w:rPr>
              <w:t>Subject to the course calendar</w:t>
            </w:r>
          </w:p>
        </w:tc>
      </w:tr>
    </w:tbl>
    <w:p w14:paraId="415E1B50" w14:textId="77777777" w:rsidR="00706138" w:rsidRDefault="00706138">
      <w:pPr>
        <w:spacing w:after="40"/>
      </w:pPr>
    </w:p>
    <w:p w14:paraId="524A9292" w14:textId="77777777" w:rsidR="00706138" w:rsidRDefault="00000000">
      <w:pPr>
        <w:jc w:val="both"/>
      </w:pPr>
      <w:r>
        <w:t>Activities that may cause delays. The largest risks are data authorisation, poor data quality on arrival, and unavailable partner testers. These are managed by a Week 3 decision point: continue with the full title if BAPTC price and volume data are confirmed, otherwise adopt an adviser-approved narrower price-forecasting scope using accessible DA Bantay Presyo data.</w:t>
      </w:r>
    </w:p>
    <w:p w14:paraId="11E5C1F6" w14:textId="77777777" w:rsidR="00706138" w:rsidRDefault="00000000">
      <w:pPr>
        <w:jc w:val="both"/>
      </w:pPr>
      <w:r>
        <w:t>Schedule finding. The 18-week plan is achievable, but it holds less slack than the other titles because the fallback still depends on assembling a usable secondary series rather than switching to something already in hand.</w:t>
      </w:r>
    </w:p>
    <w:tbl>
      <w:tblPr>
        <w:tblStyle w:val="TableGrid"/>
        <w:tblW w:w="0" w:type="auto"/>
        <w:jc w:val="center"/>
        <w:tblLook w:val="04A0" w:firstRow="1" w:lastRow="0" w:firstColumn="1" w:lastColumn="0" w:noHBand="0" w:noVBand="1"/>
      </w:tblPr>
      <w:tblGrid>
        <w:gridCol w:w="10224"/>
      </w:tblGrid>
      <w:tr w:rsidR="00706138" w14:paraId="01BB1CCD" w14:textId="77777777">
        <w:trPr>
          <w:jc w:val="center"/>
        </w:trPr>
        <w:tc>
          <w:tcPr>
            <w:tcW w:w="10224" w:type="dxa"/>
            <w:shd w:val="clear" w:color="auto" w:fill="4EA72E"/>
          </w:tcPr>
          <w:p w14:paraId="364EA274" w14:textId="77777777" w:rsidR="00706138" w:rsidRDefault="00000000">
            <w:pPr>
              <w:spacing w:before="40" w:after="40"/>
            </w:pPr>
            <w:r>
              <w:rPr>
                <w:b/>
                <w:sz w:val="22"/>
              </w:rPr>
              <w:t>9. Legal and Ethical Feasibility</w:t>
            </w:r>
          </w:p>
        </w:tc>
      </w:tr>
    </w:tbl>
    <w:p w14:paraId="024CA417" w14:textId="77777777" w:rsidR="00706138" w:rsidRDefault="00706138">
      <w:pPr>
        <w:spacing w:after="40"/>
      </w:pPr>
    </w:p>
    <w:tbl>
      <w:tblPr>
        <w:tblStyle w:val="TableGrid"/>
        <w:tblW w:w="0" w:type="auto"/>
        <w:tblLook w:val="04A0" w:firstRow="1" w:lastRow="0" w:firstColumn="1" w:lastColumn="0" w:noHBand="0" w:noVBand="1"/>
      </w:tblPr>
      <w:tblGrid>
        <w:gridCol w:w="2448"/>
        <w:gridCol w:w="7776"/>
      </w:tblGrid>
      <w:tr w:rsidR="00706138" w14:paraId="7368167C" w14:textId="77777777">
        <w:tc>
          <w:tcPr>
            <w:tcW w:w="2448" w:type="dxa"/>
            <w:shd w:val="clear" w:color="auto" w:fill="EDEDED"/>
          </w:tcPr>
          <w:p w14:paraId="513FC200" w14:textId="77777777" w:rsidR="00706138" w:rsidRDefault="00000000">
            <w:pPr>
              <w:spacing w:before="40" w:after="40"/>
            </w:pPr>
            <w:r>
              <w:rPr>
                <w:b/>
                <w:sz w:val="18"/>
              </w:rPr>
              <w:t>Requirement</w:t>
            </w:r>
          </w:p>
        </w:tc>
        <w:tc>
          <w:tcPr>
            <w:tcW w:w="7776" w:type="dxa"/>
            <w:shd w:val="clear" w:color="auto" w:fill="EDEDED"/>
          </w:tcPr>
          <w:p w14:paraId="16025AF5" w14:textId="77777777" w:rsidR="00706138" w:rsidRDefault="00000000">
            <w:pPr>
              <w:spacing w:before="40" w:after="40"/>
            </w:pPr>
            <w:r>
              <w:rPr>
                <w:b/>
                <w:sz w:val="18"/>
              </w:rPr>
              <w:t>Planned Control</w:t>
            </w:r>
          </w:p>
        </w:tc>
      </w:tr>
      <w:tr w:rsidR="00706138" w14:paraId="23039199" w14:textId="77777777">
        <w:tc>
          <w:tcPr>
            <w:tcW w:w="2448" w:type="dxa"/>
          </w:tcPr>
          <w:p w14:paraId="7B3376B3" w14:textId="77777777" w:rsidR="00706138" w:rsidRDefault="00000000">
            <w:pPr>
              <w:spacing w:before="40" w:after="40"/>
            </w:pPr>
            <w:r>
              <w:rPr>
                <w:sz w:val="18"/>
              </w:rPr>
              <w:t>Data Privacy Act compliance</w:t>
            </w:r>
          </w:p>
        </w:tc>
        <w:tc>
          <w:tcPr>
            <w:tcW w:w="7776" w:type="dxa"/>
          </w:tcPr>
          <w:p w14:paraId="005DA159" w14:textId="77777777" w:rsidR="00706138" w:rsidRDefault="00000000">
            <w:pPr>
              <w:spacing w:before="40" w:after="40"/>
            </w:pPr>
            <w:r>
              <w:rPr>
                <w:sz w:val="18"/>
              </w:rPr>
              <w:t>Apply data minimisation, purpose limitation, access control, secure storage, retention limits, and approved disposal. The study is designed around commodity-level aggregates and does not collect trader or farmer identities.</w:t>
            </w:r>
          </w:p>
        </w:tc>
      </w:tr>
      <w:tr w:rsidR="00706138" w14:paraId="74429A02" w14:textId="77777777">
        <w:tc>
          <w:tcPr>
            <w:tcW w:w="2448" w:type="dxa"/>
          </w:tcPr>
          <w:p w14:paraId="5AF57240" w14:textId="77777777" w:rsidR="00706138" w:rsidRDefault="00000000">
            <w:pPr>
              <w:spacing w:before="40" w:after="40"/>
            </w:pPr>
            <w:r>
              <w:rPr>
                <w:sz w:val="18"/>
              </w:rPr>
              <w:t>Informed consent</w:t>
            </w:r>
          </w:p>
        </w:tc>
        <w:tc>
          <w:tcPr>
            <w:tcW w:w="7776" w:type="dxa"/>
          </w:tcPr>
          <w:p w14:paraId="152CD70C" w14:textId="77777777" w:rsidR="00706138" w:rsidRDefault="00000000">
            <w:pPr>
              <w:spacing w:before="40" w:after="40"/>
            </w:pPr>
            <w:r>
              <w:rPr>
                <w:sz w:val="18"/>
              </w:rPr>
              <w:t>Not expected for aggregate historical records. Consent is obtained if user testing collects identifiable responses.</w:t>
            </w:r>
          </w:p>
        </w:tc>
      </w:tr>
      <w:tr w:rsidR="00706138" w14:paraId="268EDF6C" w14:textId="77777777">
        <w:tc>
          <w:tcPr>
            <w:tcW w:w="2448" w:type="dxa"/>
          </w:tcPr>
          <w:p w14:paraId="3A1B36D6" w14:textId="77777777" w:rsidR="00706138" w:rsidRDefault="00000000">
            <w:pPr>
              <w:spacing w:before="40" w:after="40"/>
            </w:pPr>
            <w:r>
              <w:rPr>
                <w:sz w:val="18"/>
              </w:rPr>
              <w:t>Research ethics approval</w:t>
            </w:r>
          </w:p>
        </w:tc>
        <w:tc>
          <w:tcPr>
            <w:tcW w:w="7776" w:type="dxa"/>
          </w:tcPr>
          <w:p w14:paraId="4113902D" w14:textId="77777777" w:rsidR="00706138" w:rsidRDefault="00000000">
            <w:pPr>
              <w:spacing w:before="40" w:after="40"/>
            </w:pPr>
            <w:r>
              <w:rPr>
                <w:sz w:val="18"/>
              </w:rPr>
              <w:t>Request an institutional ethics determination rather than assuming the project is exempt. Confirm the applicable review category before data collection, bulletin retrieval, or user testing.</w:t>
            </w:r>
          </w:p>
        </w:tc>
      </w:tr>
      <w:tr w:rsidR="00706138" w14:paraId="5A0C9CD0" w14:textId="77777777">
        <w:tc>
          <w:tcPr>
            <w:tcW w:w="2448" w:type="dxa"/>
          </w:tcPr>
          <w:p w14:paraId="521DFA3D" w14:textId="77777777" w:rsidR="00706138" w:rsidRDefault="00000000">
            <w:pPr>
              <w:spacing w:before="40" w:after="40"/>
            </w:pPr>
            <w:r>
              <w:rPr>
                <w:sz w:val="18"/>
              </w:rPr>
              <w:lastRenderedPageBreak/>
              <w:t>Confidentiality and anonymisation</w:t>
            </w:r>
          </w:p>
        </w:tc>
        <w:tc>
          <w:tcPr>
            <w:tcW w:w="7776" w:type="dxa"/>
          </w:tcPr>
          <w:p w14:paraId="6315E55A" w14:textId="77777777" w:rsidR="00706138" w:rsidRDefault="00000000">
            <w:pPr>
              <w:spacing w:before="40" w:after="40"/>
            </w:pPr>
            <w:r>
              <w:rPr>
                <w:sz w:val="18"/>
              </w:rPr>
              <w:t>Use commodity aggregates, remove identifiers, restrict raw data, and report only approved summaries. If BAPTC data contains personal, confidential, or transaction-level fields, those fields must be excluded or anonymised before transfer and analysis.</w:t>
            </w:r>
          </w:p>
        </w:tc>
      </w:tr>
      <w:tr w:rsidR="00706138" w14:paraId="2CE2E2DD" w14:textId="77777777">
        <w:tc>
          <w:tcPr>
            <w:tcW w:w="2448" w:type="dxa"/>
          </w:tcPr>
          <w:p w14:paraId="30E8BFB7" w14:textId="77777777" w:rsidR="00706138" w:rsidRDefault="00000000">
            <w:pPr>
              <w:spacing w:before="40" w:after="40"/>
            </w:pPr>
            <w:r>
              <w:rPr>
                <w:sz w:val="18"/>
              </w:rPr>
              <w:t>Intellectual property and copyright</w:t>
            </w:r>
          </w:p>
        </w:tc>
        <w:tc>
          <w:tcPr>
            <w:tcW w:w="7776" w:type="dxa"/>
          </w:tcPr>
          <w:p w14:paraId="6C0F9563" w14:textId="77777777" w:rsidR="00706138" w:rsidRDefault="00000000">
            <w:pPr>
              <w:spacing w:before="40" w:after="40"/>
            </w:pPr>
            <w:r>
              <w:rPr>
                <w:sz w:val="18"/>
              </w:rPr>
              <w:t>Cite sources, document model and software licences, and respect BAPTC and DA ownership and publication terms.</w:t>
            </w:r>
          </w:p>
        </w:tc>
      </w:tr>
      <w:tr w:rsidR="00706138" w14:paraId="465DC07D" w14:textId="77777777">
        <w:tc>
          <w:tcPr>
            <w:tcW w:w="2448" w:type="dxa"/>
          </w:tcPr>
          <w:p w14:paraId="17260158" w14:textId="77777777" w:rsidR="00706138" w:rsidRDefault="00000000">
            <w:pPr>
              <w:spacing w:before="40" w:after="40"/>
            </w:pPr>
            <w:r>
              <w:rPr>
                <w:sz w:val="18"/>
              </w:rPr>
              <w:t>Licences</w:t>
            </w:r>
          </w:p>
        </w:tc>
        <w:tc>
          <w:tcPr>
            <w:tcW w:w="7776" w:type="dxa"/>
          </w:tcPr>
          <w:p w14:paraId="280E4445" w14:textId="77777777" w:rsidR="00706138" w:rsidRDefault="00000000">
            <w:pPr>
              <w:spacing w:before="40" w:after="40"/>
            </w:pPr>
            <w:r>
              <w:rPr>
                <w:sz w:val="18"/>
              </w:rPr>
              <w:t>All proposed libraries carry permissive open-source licences compatible with academic use.</w:t>
            </w:r>
          </w:p>
        </w:tc>
      </w:tr>
      <w:tr w:rsidR="00706138" w14:paraId="592FB196" w14:textId="77777777">
        <w:tc>
          <w:tcPr>
            <w:tcW w:w="2448" w:type="dxa"/>
          </w:tcPr>
          <w:p w14:paraId="15AE68CF" w14:textId="77777777" w:rsidR="00706138" w:rsidRDefault="00000000">
            <w:pPr>
              <w:spacing w:before="40" w:after="40"/>
            </w:pPr>
            <w:r>
              <w:rPr>
                <w:sz w:val="18"/>
              </w:rPr>
              <w:t>Data ownership and sharing restrictions</w:t>
            </w:r>
          </w:p>
        </w:tc>
        <w:tc>
          <w:tcPr>
            <w:tcW w:w="7776" w:type="dxa"/>
          </w:tcPr>
          <w:p w14:paraId="5EF7882B" w14:textId="77777777" w:rsidR="00706138" w:rsidRDefault="00000000">
            <w:pPr>
              <w:spacing w:before="40" w:after="40"/>
            </w:pPr>
            <w:r>
              <w:rPr>
                <w:sz w:val="18"/>
              </w:rPr>
              <w:t>Use written authorisation or an agreement stating access, reuse, retention, publication, and deletion conditions.</w:t>
            </w:r>
          </w:p>
        </w:tc>
      </w:tr>
      <w:tr w:rsidR="00706138" w14:paraId="781E17D5" w14:textId="77777777">
        <w:tc>
          <w:tcPr>
            <w:tcW w:w="2448" w:type="dxa"/>
          </w:tcPr>
          <w:p w14:paraId="15BCAAC6" w14:textId="77777777" w:rsidR="00706138" w:rsidRDefault="00000000">
            <w:pPr>
              <w:spacing w:before="40" w:after="40"/>
            </w:pPr>
            <w:r>
              <w:rPr>
                <w:sz w:val="18"/>
              </w:rPr>
              <w:t>Cybersecurity</w:t>
            </w:r>
          </w:p>
        </w:tc>
        <w:tc>
          <w:tcPr>
            <w:tcW w:w="7776" w:type="dxa"/>
          </w:tcPr>
          <w:p w14:paraId="01F03B43" w14:textId="77777777" w:rsidR="00706138" w:rsidRDefault="00000000">
            <w:pPr>
              <w:spacing w:before="40" w:after="40"/>
            </w:pPr>
            <w:r>
              <w:rPr>
                <w:sz w:val="18"/>
              </w:rPr>
              <w:t>Encrypt transfers, validate uploads, protect credentials, maintain backups, and log administrative activity.</w:t>
            </w:r>
          </w:p>
        </w:tc>
      </w:tr>
      <w:tr w:rsidR="00706138" w14:paraId="66080313" w14:textId="77777777">
        <w:tc>
          <w:tcPr>
            <w:tcW w:w="2448" w:type="dxa"/>
          </w:tcPr>
          <w:p w14:paraId="358543D0" w14:textId="77777777" w:rsidR="00706138" w:rsidRDefault="00000000">
            <w:pPr>
              <w:spacing w:before="40" w:after="40"/>
            </w:pPr>
            <w:r>
              <w:rPr>
                <w:sz w:val="18"/>
              </w:rPr>
              <w:t>AI fairness, transparency, accountability, bias</w:t>
            </w:r>
          </w:p>
        </w:tc>
        <w:tc>
          <w:tcPr>
            <w:tcW w:w="7776" w:type="dxa"/>
          </w:tcPr>
          <w:p w14:paraId="54874FAA" w14:textId="77777777" w:rsidR="00706138" w:rsidRDefault="00000000">
            <w:pPr>
              <w:spacing w:before="40" w:after="40"/>
            </w:pPr>
            <w:r>
              <w:rPr>
                <w:sz w:val="18"/>
              </w:rPr>
              <w:t>Report error by commodity and season; disclose uncertainty, missing data, thresholds, and known bias. A model that performs well on average may perform poorly on exactly the commodities where a glut matters most, so per-commodity error is reported rather than a single headline figure.</w:t>
            </w:r>
          </w:p>
        </w:tc>
      </w:tr>
      <w:tr w:rsidR="00706138" w14:paraId="1A952B10" w14:textId="77777777">
        <w:tc>
          <w:tcPr>
            <w:tcW w:w="2448" w:type="dxa"/>
          </w:tcPr>
          <w:p w14:paraId="5C6AD355" w14:textId="77777777" w:rsidR="00706138" w:rsidRDefault="00000000">
            <w:pPr>
              <w:spacing w:before="40" w:after="40"/>
            </w:pPr>
            <w:r>
              <w:rPr>
                <w:sz w:val="18"/>
              </w:rPr>
              <w:t>Possible misuse or harm</w:t>
            </w:r>
          </w:p>
        </w:tc>
        <w:tc>
          <w:tcPr>
            <w:tcW w:w="7776" w:type="dxa"/>
          </w:tcPr>
          <w:p w14:paraId="093A3F25" w14:textId="77777777" w:rsidR="00706138" w:rsidRDefault="00000000">
            <w:pPr>
              <w:spacing w:before="40" w:after="40"/>
            </w:pPr>
            <w:r>
              <w:rPr>
                <w:sz w:val="18"/>
              </w:rPr>
              <w:t>A forecast acted on as a certainty could cause real financial loss to a farmer. Forecasts are labelled as decision support, unsupported public claims are restricted, and the dashboard never presents a predicted price as a guaranteed one.</w:t>
            </w:r>
          </w:p>
        </w:tc>
      </w:tr>
    </w:tbl>
    <w:p w14:paraId="67A1B643" w14:textId="77777777" w:rsidR="00706138" w:rsidRDefault="00706138">
      <w:pPr>
        <w:spacing w:after="40"/>
      </w:pPr>
    </w:p>
    <w:p w14:paraId="41DA240C" w14:textId="77777777" w:rsidR="00706138" w:rsidRDefault="00000000">
      <w:pPr>
        <w:jc w:val="both"/>
      </w:pPr>
      <w:r>
        <w:t>Legal and ethical finding. The aggregate-data design lowers privacy risk substantially, but written data-use conditions and an institutional ethics determination remain necessary before the full study proceeds.</w:t>
      </w:r>
    </w:p>
    <w:tbl>
      <w:tblPr>
        <w:tblStyle w:val="TableGrid"/>
        <w:tblW w:w="0" w:type="auto"/>
        <w:jc w:val="center"/>
        <w:tblLook w:val="04A0" w:firstRow="1" w:lastRow="0" w:firstColumn="1" w:lastColumn="0" w:noHBand="0" w:noVBand="1"/>
      </w:tblPr>
      <w:tblGrid>
        <w:gridCol w:w="10224"/>
      </w:tblGrid>
      <w:tr w:rsidR="00706138" w14:paraId="38412F92" w14:textId="77777777">
        <w:trPr>
          <w:jc w:val="center"/>
        </w:trPr>
        <w:tc>
          <w:tcPr>
            <w:tcW w:w="10224" w:type="dxa"/>
            <w:shd w:val="clear" w:color="auto" w:fill="4EA72E"/>
          </w:tcPr>
          <w:p w14:paraId="68A5B5ED" w14:textId="77777777" w:rsidR="00706138" w:rsidRDefault="00000000">
            <w:pPr>
              <w:spacing w:before="40" w:after="40"/>
            </w:pPr>
            <w:r>
              <w:rPr>
                <w:b/>
                <w:sz w:val="22"/>
              </w:rPr>
              <w:t>10. Risk Assessment and Feasibility Conclusion</w:t>
            </w:r>
          </w:p>
        </w:tc>
      </w:tr>
    </w:tbl>
    <w:p w14:paraId="37CAD226" w14:textId="77777777" w:rsidR="00706138" w:rsidRDefault="00706138">
      <w:pPr>
        <w:spacing w:after="40"/>
      </w:pPr>
    </w:p>
    <w:tbl>
      <w:tblPr>
        <w:tblStyle w:val="TableGrid"/>
        <w:tblW w:w="0" w:type="auto"/>
        <w:tblLook w:val="04A0" w:firstRow="1" w:lastRow="0" w:firstColumn="1" w:lastColumn="0" w:noHBand="0" w:noVBand="1"/>
      </w:tblPr>
      <w:tblGrid>
        <w:gridCol w:w="2448"/>
        <w:gridCol w:w="1152"/>
        <w:gridCol w:w="1008"/>
        <w:gridCol w:w="5616"/>
      </w:tblGrid>
      <w:tr w:rsidR="00706138" w14:paraId="7E90639F" w14:textId="77777777">
        <w:tc>
          <w:tcPr>
            <w:tcW w:w="2448" w:type="dxa"/>
            <w:shd w:val="clear" w:color="auto" w:fill="EDEDED"/>
          </w:tcPr>
          <w:p w14:paraId="7AECDB09" w14:textId="77777777" w:rsidR="00706138" w:rsidRDefault="00000000">
            <w:pPr>
              <w:spacing w:before="40" w:after="40"/>
            </w:pPr>
            <w:r>
              <w:rPr>
                <w:b/>
                <w:sz w:val="18"/>
              </w:rPr>
              <w:t>Identified Risk</w:t>
            </w:r>
          </w:p>
        </w:tc>
        <w:tc>
          <w:tcPr>
            <w:tcW w:w="1152" w:type="dxa"/>
            <w:shd w:val="clear" w:color="auto" w:fill="EDEDED"/>
          </w:tcPr>
          <w:p w14:paraId="6B9BE34D" w14:textId="77777777" w:rsidR="00706138" w:rsidRDefault="00000000">
            <w:pPr>
              <w:spacing w:before="40" w:after="40"/>
            </w:pPr>
            <w:r>
              <w:rPr>
                <w:b/>
                <w:sz w:val="18"/>
              </w:rPr>
              <w:t>Likelihood</w:t>
            </w:r>
          </w:p>
        </w:tc>
        <w:tc>
          <w:tcPr>
            <w:tcW w:w="1008" w:type="dxa"/>
            <w:shd w:val="clear" w:color="auto" w:fill="EDEDED"/>
          </w:tcPr>
          <w:p w14:paraId="566BE4B4" w14:textId="77777777" w:rsidR="00706138" w:rsidRDefault="00000000">
            <w:pPr>
              <w:spacing w:before="40" w:after="40"/>
            </w:pPr>
            <w:r>
              <w:rPr>
                <w:b/>
                <w:sz w:val="18"/>
              </w:rPr>
              <w:t>Impact</w:t>
            </w:r>
          </w:p>
        </w:tc>
        <w:tc>
          <w:tcPr>
            <w:tcW w:w="5616" w:type="dxa"/>
            <w:shd w:val="clear" w:color="auto" w:fill="EDEDED"/>
          </w:tcPr>
          <w:p w14:paraId="04319E3E" w14:textId="77777777" w:rsidR="00706138" w:rsidRDefault="00000000">
            <w:pPr>
              <w:spacing w:before="40" w:after="40"/>
            </w:pPr>
            <w:r>
              <w:rPr>
                <w:b/>
                <w:sz w:val="18"/>
              </w:rPr>
              <w:t>Mitigation Strategy</w:t>
            </w:r>
          </w:p>
        </w:tc>
      </w:tr>
      <w:tr w:rsidR="00706138" w14:paraId="23C58AC1" w14:textId="77777777">
        <w:tc>
          <w:tcPr>
            <w:tcW w:w="2448" w:type="dxa"/>
          </w:tcPr>
          <w:p w14:paraId="044AC653" w14:textId="77777777" w:rsidR="00706138" w:rsidRDefault="00000000">
            <w:pPr>
              <w:spacing w:before="40" w:after="40"/>
            </w:pPr>
            <w:r>
              <w:rPr>
                <w:sz w:val="18"/>
              </w:rPr>
              <w:t>Dataset is unavailable or insufficient</w:t>
            </w:r>
          </w:p>
        </w:tc>
        <w:tc>
          <w:tcPr>
            <w:tcW w:w="1152" w:type="dxa"/>
          </w:tcPr>
          <w:p w14:paraId="43A6FF7F" w14:textId="359D169E" w:rsidR="00706138" w:rsidRDefault="00F525D1">
            <w:pPr>
              <w:spacing w:before="40" w:after="40"/>
            </w:pPr>
            <w:r>
              <w:rPr>
                <w:sz w:val="18"/>
              </w:rPr>
              <w:t xml:space="preserve">Medium</w:t>
            </w:r>
          </w:p>
        </w:tc>
        <w:tc>
          <w:tcPr>
            <w:tcW w:w="1008" w:type="dxa"/>
          </w:tcPr>
          <w:p w14:paraId="78A47E74" w14:textId="77777777" w:rsidR="00706138" w:rsidRDefault="00000000">
            <w:pPr>
              <w:spacing w:before="40" w:after="40"/>
            </w:pPr>
            <w:r>
              <w:rPr>
                <w:sz w:val="18"/>
              </w:rPr>
              <w:t>High</w:t>
            </w:r>
          </w:p>
        </w:tc>
        <w:tc>
          <w:tcPr>
            <w:tcW w:w="5616" w:type="dxa"/>
          </w:tcPr>
          <w:p w14:paraId="599427BE" w14:textId="77777777" w:rsidR="00706138" w:rsidRDefault="00000000">
            <w:pPr>
              <w:spacing w:before="40" w:after="40"/>
            </w:pPr>
            <w:r>
              <w:rPr>
                <w:sz w:val="18"/>
              </w:rPr>
              <w:t xml:space="preserve">BAPTC has said it does not release raw files, so the request now asks for an aggregate extract. Hold a Week 3 decision gate and narrow to price forecasting on Bantay Presyo and weather data if no extract is confirmed.</w:t>
            </w:r>
          </w:p>
        </w:tc>
      </w:tr>
      <w:tr w:rsidR="00706138" w14:paraId="3FD12467" w14:textId="77777777">
        <w:tc>
          <w:tcPr>
            <w:tcW w:w="2448" w:type="dxa"/>
          </w:tcPr>
          <w:p w14:paraId="6C68C2B6" w14:textId="77777777" w:rsidR="00706138" w:rsidRDefault="00000000">
            <w:pPr>
              <w:spacing w:before="40" w:after="40"/>
            </w:pPr>
            <w:r>
              <w:rPr>
                <w:sz w:val="18"/>
              </w:rPr>
              <w:t>Volume data withheld while price data is released</w:t>
            </w:r>
          </w:p>
        </w:tc>
        <w:tc>
          <w:tcPr>
            <w:tcW w:w="1152" w:type="dxa"/>
          </w:tcPr>
          <w:p w14:paraId="0A02AD97" w14:textId="77777777" w:rsidR="00706138" w:rsidRDefault="00000000">
            <w:pPr>
              <w:spacing w:before="40" w:after="40"/>
            </w:pPr>
            <w:r>
              <w:rPr>
                <w:sz w:val="18"/>
              </w:rPr>
              <w:t>Medium</w:t>
            </w:r>
          </w:p>
        </w:tc>
        <w:tc>
          <w:tcPr>
            <w:tcW w:w="1008" w:type="dxa"/>
          </w:tcPr>
          <w:p w14:paraId="23CA3BDF" w14:textId="77777777" w:rsidR="00706138" w:rsidRDefault="00000000">
            <w:pPr>
              <w:spacing w:before="40" w:after="40"/>
            </w:pPr>
            <w:r>
              <w:rPr>
                <w:sz w:val="18"/>
              </w:rPr>
              <w:t>High</w:t>
            </w:r>
          </w:p>
        </w:tc>
        <w:tc>
          <w:tcPr>
            <w:tcW w:w="5616" w:type="dxa"/>
          </w:tcPr>
          <w:p w14:paraId="20678E77" w14:textId="77777777" w:rsidR="00706138" w:rsidRDefault="00000000">
            <w:pPr>
              <w:spacing w:before="40" w:after="40"/>
            </w:pPr>
            <w:r>
              <w:rPr>
                <w:sz w:val="18"/>
              </w:rPr>
              <w:t>The glut-risk claim is dropped and the study narrows to price forecasting. This is a scope change, not a failure, and is decided at the Week 3 gate.</w:t>
            </w:r>
          </w:p>
        </w:tc>
      </w:tr>
      <w:tr w:rsidR="00706138" w14:paraId="56E42B76" w14:textId="77777777">
        <w:tc>
          <w:tcPr>
            <w:tcW w:w="2448" w:type="dxa"/>
          </w:tcPr>
          <w:p w14:paraId="556E4D99" w14:textId="77777777" w:rsidR="00706138" w:rsidRDefault="00000000">
            <w:pPr>
              <w:spacing w:before="40" w:after="40"/>
            </w:pPr>
            <w:r>
              <w:rPr>
                <w:sz w:val="18"/>
              </w:rPr>
              <w:t>Technology is difficult to implement</w:t>
            </w:r>
          </w:p>
        </w:tc>
        <w:tc>
          <w:tcPr>
            <w:tcW w:w="1152" w:type="dxa"/>
          </w:tcPr>
          <w:p w14:paraId="03A3B9AE" w14:textId="77777777" w:rsidR="00706138" w:rsidRDefault="00000000">
            <w:pPr>
              <w:spacing w:before="40" w:after="40"/>
            </w:pPr>
            <w:r>
              <w:rPr>
                <w:sz w:val="18"/>
              </w:rPr>
              <w:t>Low</w:t>
            </w:r>
          </w:p>
        </w:tc>
        <w:tc>
          <w:tcPr>
            <w:tcW w:w="1008" w:type="dxa"/>
          </w:tcPr>
          <w:p w14:paraId="3B170C8C" w14:textId="77777777" w:rsidR="00706138" w:rsidRDefault="00000000">
            <w:pPr>
              <w:spacing w:before="40" w:after="40"/>
            </w:pPr>
            <w:r>
              <w:rPr>
                <w:sz w:val="18"/>
              </w:rPr>
              <w:t>Medium</w:t>
            </w:r>
          </w:p>
        </w:tc>
        <w:tc>
          <w:tcPr>
            <w:tcW w:w="5616" w:type="dxa"/>
          </w:tcPr>
          <w:p w14:paraId="7E492382" w14:textId="77777777" w:rsidR="00706138" w:rsidRDefault="00000000">
            <w:pPr>
              <w:spacing w:before="40" w:after="40"/>
            </w:pPr>
            <w:r>
              <w:rPr>
                <w:sz w:val="18"/>
              </w:rPr>
              <w:t>Use an open-source Python stack and a Streamlit prototype before adding integration complexity.</w:t>
            </w:r>
          </w:p>
        </w:tc>
      </w:tr>
      <w:tr w:rsidR="00706138" w14:paraId="5886CD47" w14:textId="77777777">
        <w:tc>
          <w:tcPr>
            <w:tcW w:w="2448" w:type="dxa"/>
          </w:tcPr>
          <w:p w14:paraId="0A6423D0" w14:textId="77777777" w:rsidR="00706138" w:rsidRDefault="00000000">
            <w:pPr>
              <w:spacing w:before="40" w:after="40"/>
            </w:pPr>
            <w:r>
              <w:rPr>
                <w:sz w:val="18"/>
              </w:rPr>
              <w:t>Algorithm produces poor results</w:t>
            </w:r>
          </w:p>
        </w:tc>
        <w:tc>
          <w:tcPr>
            <w:tcW w:w="1152" w:type="dxa"/>
          </w:tcPr>
          <w:p w14:paraId="3EBEA327" w14:textId="77777777" w:rsidR="00706138" w:rsidRDefault="00000000">
            <w:pPr>
              <w:spacing w:before="40" w:after="40"/>
            </w:pPr>
            <w:r>
              <w:rPr>
                <w:sz w:val="18"/>
              </w:rPr>
              <w:t>Medium</w:t>
            </w:r>
          </w:p>
        </w:tc>
        <w:tc>
          <w:tcPr>
            <w:tcW w:w="1008" w:type="dxa"/>
          </w:tcPr>
          <w:p w14:paraId="3285D8AC" w14:textId="77777777" w:rsidR="00706138" w:rsidRDefault="00000000">
            <w:pPr>
              <w:spacing w:before="40" w:after="40"/>
            </w:pPr>
            <w:r>
              <w:rPr>
                <w:sz w:val="18"/>
              </w:rPr>
              <w:t>High</w:t>
            </w:r>
          </w:p>
        </w:tc>
        <w:tc>
          <w:tcPr>
            <w:tcW w:w="5616" w:type="dxa"/>
          </w:tcPr>
          <w:p w14:paraId="53D61F97" w14:textId="77777777" w:rsidR="00706138" w:rsidRDefault="00000000">
            <w:pPr>
              <w:spacing w:before="40" w:after="40"/>
            </w:pPr>
            <w:r>
              <w:rPr>
                <w:sz w:val="18"/>
              </w:rPr>
              <w:t>Use naive and seasonal baselines, rolling-origin validation, feature review, and commodity-specific error analysis. A model that cannot beat seasonal-naive is reported as such.</w:t>
            </w:r>
          </w:p>
        </w:tc>
      </w:tr>
      <w:tr w:rsidR="00706138" w14:paraId="397AA756" w14:textId="77777777">
        <w:tc>
          <w:tcPr>
            <w:tcW w:w="2448" w:type="dxa"/>
          </w:tcPr>
          <w:p w14:paraId="467E0C70" w14:textId="77777777" w:rsidR="00706138" w:rsidRDefault="00000000">
            <w:pPr>
              <w:spacing w:before="40" w:after="40"/>
            </w:pPr>
            <w:r>
              <w:rPr>
                <w:sz w:val="18"/>
              </w:rPr>
              <w:t>Required respondents are unavailable</w:t>
            </w:r>
          </w:p>
        </w:tc>
        <w:tc>
          <w:tcPr>
            <w:tcW w:w="1152" w:type="dxa"/>
          </w:tcPr>
          <w:p w14:paraId="6CAFF0E3" w14:textId="77777777" w:rsidR="00706138" w:rsidRDefault="00000000">
            <w:pPr>
              <w:spacing w:before="40" w:after="40"/>
            </w:pPr>
            <w:r>
              <w:rPr>
                <w:sz w:val="18"/>
              </w:rPr>
              <w:t>Medium</w:t>
            </w:r>
          </w:p>
        </w:tc>
        <w:tc>
          <w:tcPr>
            <w:tcW w:w="1008" w:type="dxa"/>
          </w:tcPr>
          <w:p w14:paraId="34B92A41" w14:textId="77777777" w:rsidR="00706138" w:rsidRDefault="00000000">
            <w:pPr>
              <w:spacing w:before="40" w:after="40"/>
            </w:pPr>
            <w:r>
              <w:rPr>
                <w:sz w:val="18"/>
              </w:rPr>
              <w:t>Medium</w:t>
            </w:r>
          </w:p>
        </w:tc>
        <w:tc>
          <w:tcPr>
            <w:tcW w:w="5616" w:type="dxa"/>
          </w:tcPr>
          <w:p w14:paraId="3E96C7C5" w14:textId="77777777" w:rsidR="00706138" w:rsidRDefault="00000000">
            <w:pPr>
              <w:spacing w:before="40" w:after="40"/>
            </w:pPr>
            <w:r>
              <w:rPr>
                <w:sz w:val="18"/>
              </w:rPr>
              <w:t>Recruit a small staff sample early and prepare remote or representative usability testing.</w:t>
            </w:r>
          </w:p>
        </w:tc>
      </w:tr>
      <w:tr w:rsidR="00706138" w14:paraId="4B5F601F" w14:textId="77777777">
        <w:tc>
          <w:tcPr>
            <w:tcW w:w="2448" w:type="dxa"/>
          </w:tcPr>
          <w:p w14:paraId="31724EC2" w14:textId="77777777" w:rsidR="00706138" w:rsidRDefault="00000000">
            <w:pPr>
              <w:spacing w:before="40" w:after="40"/>
            </w:pPr>
            <w:r>
              <w:rPr>
                <w:sz w:val="18"/>
              </w:rPr>
              <w:t>Privacy or ethical concerns arise</w:t>
            </w:r>
          </w:p>
        </w:tc>
        <w:tc>
          <w:tcPr>
            <w:tcW w:w="1152" w:type="dxa"/>
          </w:tcPr>
          <w:p w14:paraId="09442B04" w14:textId="77777777" w:rsidR="00706138" w:rsidRDefault="00000000">
            <w:pPr>
              <w:spacing w:before="40" w:after="40"/>
            </w:pPr>
            <w:r>
              <w:rPr>
                <w:sz w:val="18"/>
              </w:rPr>
              <w:t>Low</w:t>
            </w:r>
          </w:p>
        </w:tc>
        <w:tc>
          <w:tcPr>
            <w:tcW w:w="1008" w:type="dxa"/>
          </w:tcPr>
          <w:p w14:paraId="1732F752" w14:textId="77777777" w:rsidR="00706138" w:rsidRDefault="00000000">
            <w:pPr>
              <w:spacing w:before="40" w:after="40"/>
            </w:pPr>
            <w:r>
              <w:rPr>
                <w:sz w:val="18"/>
              </w:rPr>
              <w:t>High</w:t>
            </w:r>
          </w:p>
        </w:tc>
        <w:tc>
          <w:tcPr>
            <w:tcW w:w="5616" w:type="dxa"/>
          </w:tcPr>
          <w:p w14:paraId="1946C77A" w14:textId="77777777" w:rsidR="00706138" w:rsidRDefault="00000000">
            <w:pPr>
              <w:spacing w:before="40" w:after="40"/>
            </w:pPr>
            <w:r>
              <w:rPr>
                <w:sz w:val="18"/>
              </w:rPr>
              <w:t>Request only aggregates, secure raw data, obtain an ethics determination, and document authorisation.</w:t>
            </w:r>
          </w:p>
        </w:tc>
      </w:tr>
      <w:tr w:rsidR="00706138" w14:paraId="1E3AA63F" w14:textId="77777777">
        <w:tc>
          <w:tcPr>
            <w:tcW w:w="2448" w:type="dxa"/>
          </w:tcPr>
          <w:p w14:paraId="24F76612" w14:textId="77777777" w:rsidR="00706138" w:rsidRDefault="00000000">
            <w:pPr>
              <w:spacing w:before="40" w:after="40"/>
            </w:pPr>
            <w:r>
              <w:rPr>
                <w:sz w:val="18"/>
              </w:rPr>
              <w:t>Project exceeds the budget</w:t>
            </w:r>
          </w:p>
        </w:tc>
        <w:tc>
          <w:tcPr>
            <w:tcW w:w="1152" w:type="dxa"/>
          </w:tcPr>
          <w:p w14:paraId="42138E17" w14:textId="77777777" w:rsidR="00706138" w:rsidRDefault="00000000">
            <w:pPr>
              <w:spacing w:before="40" w:after="40"/>
            </w:pPr>
            <w:r>
              <w:rPr>
                <w:sz w:val="18"/>
              </w:rPr>
              <w:t>Low</w:t>
            </w:r>
          </w:p>
        </w:tc>
        <w:tc>
          <w:tcPr>
            <w:tcW w:w="1008" w:type="dxa"/>
          </w:tcPr>
          <w:p w14:paraId="033EE220" w14:textId="77777777" w:rsidR="00706138" w:rsidRDefault="00000000">
            <w:pPr>
              <w:spacing w:before="40" w:after="40"/>
            </w:pPr>
            <w:r>
              <w:rPr>
                <w:sz w:val="18"/>
              </w:rPr>
              <w:t>Medium</w:t>
            </w:r>
          </w:p>
        </w:tc>
        <w:tc>
          <w:tcPr>
            <w:tcW w:w="5616" w:type="dxa"/>
          </w:tcPr>
          <w:p w14:paraId="1E7589F8" w14:textId="77777777" w:rsidR="00706138" w:rsidRDefault="00000000">
            <w:pPr>
              <w:spacing w:before="40" w:after="40"/>
            </w:pPr>
            <w:r>
              <w:rPr>
                <w:sz w:val="18"/>
              </w:rPr>
              <w:t>Use open-source tools, free tiers, existing devices, and a capped travel allowance. Travel to La Trinidad is the dominant cost and can be reduced by using the remote request channel.</w:t>
            </w:r>
          </w:p>
        </w:tc>
      </w:tr>
      <w:tr w:rsidR="00706138" w14:paraId="48B8C2F1" w14:textId="77777777">
        <w:tc>
          <w:tcPr>
            <w:tcW w:w="2448" w:type="dxa"/>
          </w:tcPr>
          <w:p w14:paraId="4B087D60" w14:textId="77777777" w:rsidR="00706138" w:rsidRDefault="00000000">
            <w:pPr>
              <w:spacing w:before="40" w:after="40"/>
            </w:pPr>
            <w:r>
              <w:rPr>
                <w:sz w:val="18"/>
              </w:rPr>
              <w:t>Project cannot be completed on time</w:t>
            </w:r>
          </w:p>
        </w:tc>
        <w:tc>
          <w:tcPr>
            <w:tcW w:w="1152" w:type="dxa"/>
          </w:tcPr>
          <w:p w14:paraId="1FBEB873" w14:textId="77777777" w:rsidR="00706138" w:rsidRDefault="00000000">
            <w:pPr>
              <w:spacing w:before="40" w:after="40"/>
            </w:pPr>
            <w:r>
              <w:rPr>
                <w:sz w:val="18"/>
              </w:rPr>
              <w:t>Medium</w:t>
            </w:r>
          </w:p>
        </w:tc>
        <w:tc>
          <w:tcPr>
            <w:tcW w:w="1008" w:type="dxa"/>
          </w:tcPr>
          <w:p w14:paraId="72B6CED1" w14:textId="77777777" w:rsidR="00706138" w:rsidRDefault="00000000">
            <w:pPr>
              <w:spacing w:before="40" w:after="40"/>
            </w:pPr>
            <w:r>
              <w:rPr>
                <w:sz w:val="18"/>
              </w:rPr>
              <w:t>High</w:t>
            </w:r>
          </w:p>
        </w:tc>
        <w:tc>
          <w:tcPr>
            <w:tcW w:w="5616" w:type="dxa"/>
          </w:tcPr>
          <w:p w14:paraId="6A292D39" w14:textId="77777777" w:rsidR="00706138" w:rsidRDefault="00000000">
            <w:pPr>
              <w:spacing w:before="40" w:after="40"/>
            </w:pPr>
            <w:r>
              <w:rPr>
                <w:sz w:val="18"/>
              </w:rPr>
              <w:t>Time-box data access, prioritise a minimum viable dashboard, and trigger the narrower backup scope at Week 3.</w:t>
            </w:r>
          </w:p>
        </w:tc>
      </w:tr>
    </w:tbl>
    <w:p w14:paraId="731B6C38" w14:textId="77777777" w:rsidR="00706138" w:rsidRDefault="00706138">
      <w:pPr>
        <w:spacing w:after="40"/>
      </w:pPr>
    </w:p>
    <w:p w14:paraId="7E1383EC" w14:textId="77777777" w:rsidR="00706138" w:rsidRDefault="00000000">
      <w:r>
        <w:rPr>
          <w:b/>
        </w:rPr>
        <w:t>Conclusion for this title: FEASIBLE WITH MODIFICATIONS.</w:t>
      </w:r>
    </w:p>
    <w:p w14:paraId="4DB8DE02" w14:textId="77777777" w:rsidR="00706138" w:rsidRDefault="00000000">
      <w:pPr>
        <w:jc w:val="both"/>
      </w:pPr>
      <w:r>
        <w:t xml:space="preserve">Supporting findings. To conclude, the software, the algorithms, the operating environment, the cost, and the planned safeguards are all achievable for a student group, which means this title can be built with the skills and the equipment the group already has. The request reached the BAPTC General Manager and was acknowledged, but BAPTC has also said it does not release raw or source files, so the primary data source is still the single condition that decides this title. The title may proceed once the group confirms an exportable aggregate of historical BAPTC price and volume records, research-use permission, adequate coverage, and a realistic delivery date. Yet if those conditions are not met by Week 3, the scope should narrow to a price-only forecasting study using DA Bantay Presyo bulletins and PAGASA-BSU weather records, with the supply-glut claim withdrawn.</w:t>
      </w:r>
    </w:p>
    <w:tbl>
      <w:tblPr>
        <w:tblStyle w:val="TableGrid"/>
        <w:tblW w:w="0" w:type="auto"/>
        <w:jc w:val="center"/>
        <w:tblLook w:val="04A0" w:firstRow="1" w:lastRow="0" w:firstColumn="1" w:lastColumn="0" w:noHBand="0" w:noVBand="1"/>
      </w:tblPr>
      <w:tblGrid>
        <w:gridCol w:w="10224"/>
      </w:tblGrid>
      <w:tr w:rsidR="00706138" w14:paraId="07CA5AA5" w14:textId="77777777">
        <w:trPr>
          <w:jc w:val="center"/>
        </w:trPr>
        <w:tc>
          <w:tcPr>
            <w:tcW w:w="10224" w:type="dxa"/>
            <w:shd w:val="clear" w:color="auto" w:fill="4EA72E"/>
          </w:tcPr>
          <w:p w14:paraId="4829D482" w14:textId="77777777" w:rsidR="00706138" w:rsidRDefault="00000000">
            <w:pPr>
              <w:spacing w:before="40" w:after="40"/>
            </w:pPr>
            <w:r>
              <w:rPr>
                <w:b/>
                <w:sz w:val="22"/>
              </w:rPr>
              <w:t>Provisional Feasibility Score for This Title</w:t>
            </w:r>
          </w:p>
        </w:tc>
      </w:tr>
    </w:tbl>
    <w:p w14:paraId="79041021" w14:textId="77777777" w:rsidR="00706138" w:rsidRDefault="00706138">
      <w:pPr>
        <w:spacing w:after="40"/>
      </w:pPr>
    </w:p>
    <w:p w14:paraId="2BEBB7ED" w14:textId="77777777" w:rsidR="00706138" w:rsidRDefault="00000000">
      <w:r>
        <w:rPr>
          <w:i/>
          <w:sz w:val="18"/>
        </w:rPr>
        <w:t xml:space="preserve">Scores use the activity's 1 to 5 scale, where 5 is highly feasible. The group's ranking across all six titles is carried in the final comparison table.</w:t>
      </w:r>
    </w:p>
    <w:tbl>
      <w:tblPr>
        <w:tblStyle w:val="TableGrid"/>
        <w:tblW w:w="0" w:type="auto"/>
        <w:tblLook w:val="04A0" w:firstRow="1" w:lastRow="0" w:firstColumn="1" w:lastColumn="0" w:noHBand="0" w:noVBand="1"/>
      </w:tblPr>
      <w:tblGrid>
        <w:gridCol w:w="3168"/>
        <w:gridCol w:w="1008"/>
        <w:gridCol w:w="6048"/>
      </w:tblGrid>
      <w:tr w:rsidR="00706138" w14:paraId="4814EE8E" w14:textId="77777777">
        <w:tc>
          <w:tcPr>
            <w:tcW w:w="3168" w:type="dxa"/>
            <w:shd w:val="clear" w:color="auto" w:fill="EDEDED"/>
          </w:tcPr>
          <w:p w14:paraId="0CFBD558" w14:textId="77777777" w:rsidR="00706138" w:rsidRDefault="00000000">
            <w:pPr>
              <w:spacing w:before="40" w:after="40"/>
            </w:pPr>
            <w:r>
              <w:rPr>
                <w:b/>
                <w:sz w:val="18"/>
              </w:rPr>
              <w:t>Criterion</w:t>
            </w:r>
          </w:p>
        </w:tc>
        <w:tc>
          <w:tcPr>
            <w:tcW w:w="1008" w:type="dxa"/>
            <w:shd w:val="clear" w:color="auto" w:fill="EDEDED"/>
          </w:tcPr>
          <w:p w14:paraId="34344711" w14:textId="77777777" w:rsidR="00706138" w:rsidRDefault="00000000">
            <w:pPr>
              <w:spacing w:before="40" w:after="40"/>
            </w:pPr>
            <w:r>
              <w:rPr>
                <w:b/>
                <w:sz w:val="18"/>
              </w:rPr>
              <w:t>Score</w:t>
            </w:r>
          </w:p>
        </w:tc>
        <w:tc>
          <w:tcPr>
            <w:tcW w:w="6048" w:type="dxa"/>
            <w:shd w:val="clear" w:color="auto" w:fill="EDEDED"/>
          </w:tcPr>
          <w:p w14:paraId="5497368F" w14:textId="77777777" w:rsidR="00706138" w:rsidRDefault="00000000">
            <w:pPr>
              <w:spacing w:before="40" w:after="40"/>
            </w:pPr>
            <w:r>
              <w:rPr>
                <w:b/>
                <w:sz w:val="18"/>
              </w:rPr>
              <w:t>Basis</w:t>
            </w:r>
          </w:p>
        </w:tc>
      </w:tr>
      <w:tr w:rsidR="00706138" w14:paraId="779A9CC8" w14:textId="77777777">
        <w:tc>
          <w:tcPr>
            <w:tcW w:w="3168" w:type="dxa"/>
          </w:tcPr>
          <w:p w14:paraId="661098EC" w14:textId="77777777" w:rsidR="00706138" w:rsidRDefault="00000000">
            <w:pPr>
              <w:spacing w:before="40" w:after="40"/>
            </w:pPr>
            <w:r>
              <w:rPr>
                <w:sz w:val="18"/>
              </w:rPr>
              <w:t>Technical and technology feasibility</w:t>
            </w:r>
          </w:p>
        </w:tc>
        <w:tc>
          <w:tcPr>
            <w:tcW w:w="1008" w:type="dxa"/>
          </w:tcPr>
          <w:p w14:paraId="25C77FAF" w14:textId="77777777" w:rsidR="00706138" w:rsidRDefault="00000000">
            <w:pPr>
              <w:spacing w:before="40" w:after="40"/>
            </w:pPr>
            <w:r>
              <w:rPr>
                <w:sz w:val="18"/>
              </w:rPr>
              <w:t>4</w:t>
            </w:r>
          </w:p>
        </w:tc>
        <w:tc>
          <w:tcPr>
            <w:tcW w:w="6048" w:type="dxa"/>
          </w:tcPr>
          <w:p w14:paraId="717A3044" w14:textId="77777777" w:rsidR="00706138" w:rsidRDefault="00000000">
            <w:pPr>
              <w:spacing w:before="40" w:after="40"/>
            </w:pPr>
            <w:r>
              <w:rPr>
                <w:sz w:val="18"/>
              </w:rPr>
              <w:t>Open-source stack is practical and familiar</w:t>
            </w:r>
          </w:p>
        </w:tc>
      </w:tr>
      <w:tr w:rsidR="00706138" w14:paraId="4F07342A" w14:textId="77777777">
        <w:tc>
          <w:tcPr>
            <w:tcW w:w="3168" w:type="dxa"/>
          </w:tcPr>
          <w:p w14:paraId="017D9D12" w14:textId="77777777" w:rsidR="00706138" w:rsidRDefault="00000000">
            <w:pPr>
              <w:spacing w:before="40" w:after="40"/>
            </w:pPr>
            <w:r>
              <w:rPr>
                <w:sz w:val="18"/>
              </w:rPr>
              <w:t>Dataset and data feasibility</w:t>
            </w:r>
          </w:p>
        </w:tc>
        <w:tc>
          <w:tcPr>
            <w:tcW w:w="1008" w:type="dxa"/>
          </w:tcPr>
          <w:p w14:paraId="4AFF6B1E" w14:textId="77777777" w:rsidR="00706138" w:rsidRDefault="00000000">
            <w:pPr>
              <w:spacing w:before="40" w:after="40"/>
            </w:pPr>
            <w:r>
              <w:rPr>
                <w:sz w:val="18"/>
              </w:rPr>
              <w:t xml:space="preserve">3</w:t>
            </w:r>
          </w:p>
        </w:tc>
        <w:tc>
          <w:tcPr>
            <w:tcW w:w="6048" w:type="dxa"/>
          </w:tcPr>
          <w:p w14:paraId="43BD44DA" w14:textId="77777777" w:rsidR="00706138" w:rsidRDefault="00000000">
            <w:pPr>
              <w:spacing w:before="40" w:after="40"/>
            </w:pPr>
            <w:r>
              <w:rPr>
                <w:sz w:val="18"/>
              </w:rPr>
              <w:t xml:space="preserve">Request acknowledged, but BAPTC does not release raw files; an aggregate extract is still to be confirmed</w:t>
            </w:r>
          </w:p>
        </w:tc>
      </w:tr>
      <w:tr w:rsidR="00706138" w14:paraId="5BF5CF22" w14:textId="77777777">
        <w:tc>
          <w:tcPr>
            <w:tcW w:w="3168" w:type="dxa"/>
          </w:tcPr>
          <w:p w14:paraId="62690859" w14:textId="77777777" w:rsidR="00706138" w:rsidRDefault="00000000">
            <w:pPr>
              <w:spacing w:before="40" w:after="40"/>
            </w:pPr>
            <w:r>
              <w:rPr>
                <w:sz w:val="18"/>
              </w:rPr>
              <w:t>Algorithm or model feasibility</w:t>
            </w:r>
          </w:p>
        </w:tc>
        <w:tc>
          <w:tcPr>
            <w:tcW w:w="1008" w:type="dxa"/>
          </w:tcPr>
          <w:p w14:paraId="7272170B" w14:textId="77777777" w:rsidR="00706138" w:rsidRDefault="00000000">
            <w:pPr>
              <w:spacing w:before="40" w:after="40"/>
            </w:pPr>
            <w:r>
              <w:rPr>
                <w:sz w:val="18"/>
              </w:rPr>
              <w:t>4</w:t>
            </w:r>
          </w:p>
        </w:tc>
        <w:tc>
          <w:tcPr>
            <w:tcW w:w="6048" w:type="dxa"/>
          </w:tcPr>
          <w:p w14:paraId="1DEB0399" w14:textId="77777777" w:rsidR="00706138" w:rsidRDefault="00000000">
            <w:pPr>
              <w:spacing w:before="40" w:after="40"/>
            </w:pPr>
            <w:r>
              <w:rPr>
                <w:sz w:val="18"/>
              </w:rPr>
              <w:t>Multiple established approaches with clear baselines available</w:t>
            </w:r>
          </w:p>
        </w:tc>
      </w:tr>
      <w:tr w:rsidR="00706138" w14:paraId="7BE0C73A" w14:textId="77777777">
        <w:tc>
          <w:tcPr>
            <w:tcW w:w="3168" w:type="dxa"/>
          </w:tcPr>
          <w:p w14:paraId="0018414B" w14:textId="77777777" w:rsidR="00706138" w:rsidRDefault="00000000">
            <w:pPr>
              <w:spacing w:before="40" w:after="40"/>
            </w:pPr>
            <w:r>
              <w:rPr>
                <w:sz w:val="18"/>
              </w:rPr>
              <w:t>Operational feasibility</w:t>
            </w:r>
          </w:p>
        </w:tc>
        <w:tc>
          <w:tcPr>
            <w:tcW w:w="1008" w:type="dxa"/>
          </w:tcPr>
          <w:p w14:paraId="3D8D89FA" w14:textId="77777777" w:rsidR="00706138" w:rsidRDefault="00000000">
            <w:pPr>
              <w:spacing w:before="40" w:after="40"/>
            </w:pPr>
            <w:r>
              <w:rPr>
                <w:sz w:val="18"/>
              </w:rPr>
              <w:t>4</w:t>
            </w:r>
          </w:p>
        </w:tc>
        <w:tc>
          <w:tcPr>
            <w:tcW w:w="6048" w:type="dxa"/>
          </w:tcPr>
          <w:p w14:paraId="79F30A58" w14:textId="77777777" w:rsidR="00706138" w:rsidRDefault="00000000">
            <w:pPr>
              <w:spacing w:before="40" w:after="40"/>
            </w:pPr>
            <w:r>
              <w:rPr>
                <w:sz w:val="18"/>
              </w:rPr>
              <w:t>A responsive institutional contact at BAPTC; the individual staff testers are named at the first meeting</w:t>
            </w:r>
          </w:p>
        </w:tc>
      </w:tr>
      <w:tr w:rsidR="00706138" w14:paraId="5CCA5EB6" w14:textId="77777777">
        <w:tc>
          <w:tcPr>
            <w:tcW w:w="3168" w:type="dxa"/>
          </w:tcPr>
          <w:p w14:paraId="7948069C" w14:textId="77777777" w:rsidR="00706138" w:rsidRDefault="00000000">
            <w:pPr>
              <w:spacing w:before="40" w:after="40"/>
            </w:pPr>
            <w:r>
              <w:rPr>
                <w:sz w:val="18"/>
              </w:rPr>
              <w:t>Economic feasibility</w:t>
            </w:r>
          </w:p>
        </w:tc>
        <w:tc>
          <w:tcPr>
            <w:tcW w:w="1008" w:type="dxa"/>
          </w:tcPr>
          <w:p w14:paraId="5B328954" w14:textId="77777777" w:rsidR="00706138" w:rsidRDefault="00000000">
            <w:pPr>
              <w:spacing w:before="40" w:after="40"/>
            </w:pPr>
            <w:r>
              <w:rPr>
                <w:sz w:val="18"/>
              </w:rPr>
              <w:t>4</w:t>
            </w:r>
          </w:p>
        </w:tc>
        <w:tc>
          <w:tcPr>
            <w:tcW w:w="6048" w:type="dxa"/>
          </w:tcPr>
          <w:p w14:paraId="3CCB42B1" w14:textId="77777777" w:rsidR="00706138" w:rsidRDefault="00000000">
            <w:pPr>
              <w:spacing w:before="40" w:after="40"/>
            </w:pPr>
            <w:r>
              <w:rPr>
                <w:sz w:val="18"/>
              </w:rPr>
              <w:t xml:space="preserve">Low-cost stack, but the highest travel cost of the six titles</w:t>
            </w:r>
          </w:p>
        </w:tc>
      </w:tr>
      <w:tr w:rsidR="00706138" w14:paraId="169FB39A" w14:textId="77777777">
        <w:tc>
          <w:tcPr>
            <w:tcW w:w="3168" w:type="dxa"/>
          </w:tcPr>
          <w:p w14:paraId="5AA040DC" w14:textId="77777777" w:rsidR="00706138" w:rsidRDefault="00000000">
            <w:pPr>
              <w:spacing w:before="40" w:after="40"/>
            </w:pPr>
            <w:r>
              <w:rPr>
                <w:sz w:val="18"/>
              </w:rPr>
              <w:t>Schedule feasibility</w:t>
            </w:r>
          </w:p>
        </w:tc>
        <w:tc>
          <w:tcPr>
            <w:tcW w:w="1008" w:type="dxa"/>
          </w:tcPr>
          <w:p w14:paraId="50E52278" w14:textId="77777777" w:rsidR="00706138" w:rsidRDefault="00000000">
            <w:pPr>
              <w:spacing w:before="40" w:after="40"/>
            </w:pPr>
            <w:r>
              <w:rPr>
                <w:sz w:val="18"/>
              </w:rPr>
              <w:t>3</w:t>
            </w:r>
          </w:p>
        </w:tc>
        <w:tc>
          <w:tcPr>
            <w:tcW w:w="6048" w:type="dxa"/>
          </w:tcPr>
          <w:p w14:paraId="01683AAD" w14:textId="77777777" w:rsidR="00706138" w:rsidRDefault="00000000">
            <w:pPr>
              <w:spacing w:before="40" w:after="40"/>
            </w:pPr>
            <w:r>
              <w:rPr>
                <w:sz w:val="18"/>
              </w:rPr>
              <w:t>Feasible only with an early data decision gate</w:t>
            </w:r>
          </w:p>
        </w:tc>
      </w:tr>
      <w:tr w:rsidR="00706138" w14:paraId="253B1510" w14:textId="77777777">
        <w:tc>
          <w:tcPr>
            <w:tcW w:w="3168" w:type="dxa"/>
          </w:tcPr>
          <w:p w14:paraId="07B9C9A1" w14:textId="77777777" w:rsidR="00706138" w:rsidRDefault="00000000">
            <w:pPr>
              <w:spacing w:before="40" w:after="40"/>
            </w:pPr>
            <w:r>
              <w:rPr>
                <w:sz w:val="18"/>
              </w:rPr>
              <w:t>Legal and ethical feasibility</w:t>
            </w:r>
          </w:p>
        </w:tc>
        <w:tc>
          <w:tcPr>
            <w:tcW w:w="1008" w:type="dxa"/>
          </w:tcPr>
          <w:p w14:paraId="7D78EAAE" w14:textId="77777777" w:rsidR="00706138" w:rsidRDefault="00000000">
            <w:pPr>
              <w:spacing w:before="40" w:after="40"/>
            </w:pPr>
            <w:r>
              <w:rPr>
                <w:sz w:val="18"/>
              </w:rPr>
              <w:t>4</w:t>
            </w:r>
          </w:p>
        </w:tc>
        <w:tc>
          <w:tcPr>
            <w:tcW w:w="6048" w:type="dxa"/>
          </w:tcPr>
          <w:p w14:paraId="22D01ED2" w14:textId="77777777" w:rsidR="00706138" w:rsidRDefault="00000000">
            <w:pPr>
              <w:spacing w:before="40" w:after="40"/>
            </w:pPr>
            <w:r>
              <w:rPr>
                <w:sz w:val="18"/>
              </w:rPr>
              <w:t>Aggregate design lowers risk; approvals are still required</w:t>
            </w:r>
          </w:p>
        </w:tc>
      </w:tr>
      <w:tr w:rsidR="00706138" w14:paraId="67D8AFF2" w14:textId="77777777">
        <w:tc>
          <w:tcPr>
            <w:tcW w:w="3168" w:type="dxa"/>
          </w:tcPr>
          <w:p w14:paraId="66A3D82F" w14:textId="77777777" w:rsidR="00706138" w:rsidRDefault="00000000">
            <w:pPr>
              <w:spacing w:before="40" w:after="40"/>
            </w:pPr>
            <w:r>
              <w:rPr>
                <w:sz w:val="18"/>
              </w:rPr>
              <w:t>Risk manageability</w:t>
            </w:r>
          </w:p>
        </w:tc>
        <w:tc>
          <w:tcPr>
            <w:tcW w:w="1008" w:type="dxa"/>
          </w:tcPr>
          <w:p w14:paraId="36A966F4" w14:textId="77777777" w:rsidR="00706138" w:rsidRDefault="00000000">
            <w:pPr>
              <w:spacing w:before="40" w:after="40"/>
            </w:pPr>
            <w:r>
              <w:rPr>
                <w:sz w:val="18"/>
              </w:rPr>
              <w:t>4</w:t>
            </w:r>
          </w:p>
        </w:tc>
        <w:tc>
          <w:tcPr>
            <w:tcW w:w="6048" w:type="dxa"/>
          </w:tcPr>
          <w:p w14:paraId="1BDF7D5A" w14:textId="77777777" w:rsidR="00706138" w:rsidRDefault="00000000">
            <w:pPr>
              <w:spacing w:before="40" w:after="40"/>
            </w:pPr>
            <w:r>
              <w:rPr>
                <w:sz w:val="18"/>
              </w:rPr>
              <w:t xml:space="preserve">A defined fallback scope on public price and weather data makes this risk controllable</w:t>
            </w:r>
          </w:p>
        </w:tc>
      </w:tr>
      <w:tr w:rsidR="00706138" w14:paraId="484CAFAA" w14:textId="77777777">
        <w:tc>
          <w:tcPr>
            <w:tcW w:w="3168" w:type="dxa"/>
          </w:tcPr>
          <w:p w14:paraId="7EE2D756" w14:textId="77777777" w:rsidR="00706138" w:rsidRDefault="00000000">
            <w:pPr>
              <w:spacing w:before="40" w:after="40"/>
            </w:pPr>
            <w:r>
              <w:rPr>
                <w:sz w:val="18"/>
              </w:rPr>
              <w:t>Total score</w:t>
            </w:r>
          </w:p>
        </w:tc>
        <w:tc>
          <w:tcPr>
            <w:tcW w:w="1008" w:type="dxa"/>
          </w:tcPr>
          <w:p w14:paraId="5F6C0B2E" w14:textId="77777777" w:rsidR="00706138" w:rsidRDefault="00000000">
            <w:pPr>
              <w:spacing w:before="40" w:after="40"/>
            </w:pPr>
            <w:r>
              <w:rPr>
                <w:sz w:val="18"/>
              </w:rPr>
              <w:t xml:space="preserve">30/40</w:t>
            </w:r>
          </w:p>
        </w:tc>
        <w:tc>
          <w:tcPr>
            <w:tcW w:w="6048" w:type="dxa"/>
          </w:tcPr>
          <w:p w14:paraId="4EF5D72D" w14:textId="08C9413C" w:rsidR="00706138" w:rsidRDefault="00706138">
            <w:pPr>
              <w:spacing w:before="40" w:after="40"/>
            </w:pPr>
          </w:p>
        </w:tc>
      </w:tr>
      <w:tr w:rsidR="00706138" w14:paraId="7E954077" w14:textId="77777777">
        <w:tc>
          <w:tcPr>
            <w:tcW w:w="3168" w:type="dxa"/>
          </w:tcPr>
          <w:p w14:paraId="2D8B0687" w14:textId="77777777" w:rsidR="00706138" w:rsidRDefault="00000000">
            <w:pPr>
              <w:spacing w:before="40" w:after="40"/>
            </w:pPr>
            <w:r>
              <w:rPr>
                <w:sz w:val="18"/>
              </w:rPr>
              <w:t>Group's ranking</w:t>
            </w:r>
          </w:p>
        </w:tc>
        <w:tc>
          <w:tcPr>
            <w:tcW w:w="1008" w:type="dxa"/>
          </w:tcPr>
          <w:p w14:paraId="49863672" w14:textId="77777777" w:rsidR="00706138" w:rsidRDefault="00000000">
            <w:pPr>
              <w:spacing w:before="40" w:after="40"/>
            </w:pPr>
            <w:r>
              <w:rPr>
                <w:sz w:val="18"/>
              </w:rPr>
              <w:t xml:space="preserve">1</w:t>
            </w:r>
          </w:p>
        </w:tc>
        <w:tc>
          <w:tcPr>
            <w:tcW w:w="6048" w:type="dxa"/>
          </w:tcPr>
          <w:p w14:paraId="3CE37F3E" w14:textId="77777777" w:rsidR="00706138" w:rsidRDefault="00706138">
            <w:pPr>
              <w:spacing w:before="40" w:after="40"/>
            </w:pPr>
            <w:r>
              <w:t>See the final comparison table</w:t>
            </w:r>
          </w:p>
        </w:tc>
      </w:tr>
    </w:tbl>
    <w:p w14:paraId="40FBF030" w14:textId="77777777" w:rsidR="00706138" w:rsidRDefault="00706138">
      <w:pPr>
        <w:spacing w:after="40"/>
      </w:pPr>
    </w:p>
    <w:tbl>
      <w:tblPr>
        <w:tblStyle w:val="TableGrid"/>
        <w:tblW w:w="0" w:type="auto"/>
        <w:jc w:val="center"/>
        <w:tblLook w:val="04A0" w:firstRow="1" w:lastRow="0" w:firstColumn="1" w:lastColumn="0" w:noHBand="0" w:noVBand="1"/>
      </w:tblPr>
      <w:tblGrid>
        <w:gridCol w:w="10224"/>
      </w:tblGrid>
      <w:tr w:rsidR="00706138" w14:paraId="49835E8B" w14:textId="77777777">
        <w:trPr>
          <w:jc w:val="center"/>
        </w:trPr>
        <w:tc>
          <w:tcPr>
            <w:tcW w:w="10224" w:type="dxa"/>
            <w:shd w:val="clear" w:color="auto" w:fill="4EA72E"/>
          </w:tcPr>
          <w:p w14:paraId="01378203" w14:textId="77777777" w:rsidR="00706138" w:rsidRDefault="00000000">
            <w:pPr>
              <w:spacing w:before="40" w:after="40"/>
            </w:pPr>
            <w:r>
              <w:rPr>
                <w:b/>
                <w:sz w:val="22"/>
              </w:rPr>
              <w:t>References</w:t>
            </w:r>
          </w:p>
        </w:tc>
      </w:tr>
    </w:tbl>
    <w:p w14:paraId="4FCECFD7" w14:textId="77777777" w:rsidR="00706138" w:rsidRDefault="00706138">
      <w:pPr>
        <w:spacing w:after="40"/>
      </w:pPr>
    </w:p>
    <w:p w14:paraId="4C084C23" w14:textId="77777777" w:rsidR="00706138" w:rsidRDefault="00000000">
      <w:pPr>
        <w:spacing w:after="80"/>
        <w:ind w:left="432" w:hanging="432"/>
      </w:pPr>
      <w:r>
        <w:rPr>
          <w:sz w:val="18"/>
        </w:rPr>
        <w:t>Chen, T., &amp; Guestrin, C. (2016). XGBoost: A scalable tree boosting system. Proceedings of the 22nd ACM SIGKDD International Conference on Knowledge Discovery and Data Mining, 785-794.</w:t>
      </w:r>
    </w:p>
    <w:p w14:paraId="755DBD2B" w14:textId="77777777" w:rsidR="00706138" w:rsidRDefault="00000000">
      <w:pPr>
        <w:spacing w:after="80"/>
        <w:ind w:left="432" w:hanging="432"/>
      </w:pPr>
      <w:r>
        <w:rPr>
          <w:sz w:val="18"/>
        </w:rPr>
        <w:t>Department of Agriculture. (n.d.). BAPTC to spin into corporation to provide farmers, traders more services, bigger income. da.gov.ph</w:t>
      </w:r>
    </w:p>
    <w:p w14:paraId="282F0E63" w14:textId="77777777" w:rsidR="00706138" w:rsidRDefault="00000000">
      <w:pPr>
        <w:spacing w:after="80"/>
        <w:ind w:left="432" w:hanging="432"/>
      </w:pPr>
      <w:r>
        <w:rPr>
          <w:sz w:val="18"/>
        </w:rPr>
        <w:t>Department of Agriculture Cordillera Administrative Region. (n.d.). Bantay Presyo price monitoring bulletins. car.da.gov.ph</w:t>
      </w:r>
    </w:p>
    <w:p w14:paraId="3047B7DE" w14:textId="77777777" w:rsidR="00706138" w:rsidRDefault="00000000">
      <w:pPr>
        <w:spacing w:after="80"/>
        <w:ind w:left="432" w:hanging="432"/>
      </w:pPr>
      <w:r>
        <w:rPr>
          <w:sz w:val="18"/>
        </w:rPr>
        <w:t>Freedom of Information Philippines. (n.d.). Program documents of the Benguet Agri-Pinoy Trading Center. foi.gov.ph</w:t>
      </w:r>
    </w:p>
    <w:p w14:paraId="4A659990" w14:textId="77777777" w:rsidR="00706138" w:rsidRDefault="00000000">
      <w:pPr>
        <w:spacing w:after="80"/>
        <w:ind w:left="432" w:hanging="432"/>
      </w:pPr>
      <w:r>
        <w:rPr>
          <w:sz w:val="18"/>
        </w:rPr>
        <w:t>Hyndman, R. J., &amp; Athanasopoulos, G. (2021). Forecasting: Principles and practice (3rd ed.). OTexts. otexts.com/fpp3/</w:t>
      </w:r>
    </w:p>
    <w:p w14:paraId="36C101F4" w14:textId="77777777" w:rsidR="00706138" w:rsidRDefault="00000000">
      <w:pPr>
        <w:spacing w:after="80"/>
        <w:ind w:left="432" w:hanging="432"/>
      </w:pPr>
      <w:r>
        <w:rPr>
          <w:sz w:val="18"/>
        </w:rPr>
        <w:t>OpenGov Asia. (n.d.). The Philippines: Digital trading to transform Benguet's agri-business sector. opengovasia.com</w:t>
      </w:r>
    </w:p>
    <w:p w14:paraId="2574C2E9" w14:textId="77777777" w:rsidR="00706138" w:rsidRDefault="00000000">
      <w:pPr>
        <w:spacing w:after="80"/>
        <w:ind w:left="432" w:hanging="432"/>
      </w:pPr>
      <w:r>
        <w:rPr>
          <w:sz w:val="18"/>
        </w:rPr>
        <w:t>Philippine Information Agency. (n.d.). DA eyes digital trading, profiling at Benguet trade center. pia.gov.ph</w:t>
      </w:r>
    </w:p>
    <w:p w14:paraId="0B66333F" w14:textId="77777777" w:rsidR="00706138" w:rsidRDefault="00000000">
      <w:r>
        <w:br w:type="page"/>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Supporting Review of Related Literature and Studies</w:t>
            </w:r>
          </w:p>
        </w:tc>
      </w:tr>
    </w:tbl>
    <w:p>
      <w:pPr>
        <w:spacing w:after="40"/>
      </w:pPr>
    </w:p>
    <w:p>
      <w:pPr>
        <w:keepNext/>
        <w:spacing w:before="40" w:after="80"/>
      </w:pPr>
      <w:r>
        <w:rPr>
          <w:b/>
          <w:sz w:val="22"/>
        </w:rPr>
        <w:t>Proposal Thesis Title</w:t>
      </w:r>
    </w:p>
    <w:p>
      <w:pPr>
        <w:spacing w:after="120"/>
        <w:jc w:val="both"/>
      </w:pPr>
      <w:r>
        <w:rPr>
          <w:b/>
        </w:rPr>
        <w:t>Highland Vegetable Price and Supply Glut Forecasting at the Benguet Agri-Pinoy Trading Center Using XGBoost</w:t>
      </w:r>
    </w:p>
    <w:p>
      <w:pPr>
        <w:keepNext/>
        <w:spacing w:before="160" w:after="80"/>
      </w:pPr>
      <w:r>
        <w:rPr>
          <w:b/>
          <w:sz w:val="22"/>
        </w:rPr>
        <w:t>Review of Related Literature (RRL/s)</w:t>
      </w:r>
    </w:p>
    <w:p>
      <w:pPr>
        <w:spacing w:after="120"/>
        <w:jc w:val="both"/>
      </w:pPr>
      <w:r>
        <w:rPr>
          <w:sz w:val="18"/>
        </w:rPr>
        <w:t>The RRL helps the group understand the chosen area, the problem being addressed, and the concepts or approaches relevant to the proposed solution.</w:t>
      </w:r>
    </w:p>
    <w:p>
      <w:pPr>
        <w:keepNext/>
        <w:spacing w:before="80" w:after="80"/>
      </w:pPr>
      <w:r>
        <w:rPr>
          <w:b/>
          <w:sz w:val="20"/>
        </w:rPr>
        <w:t>Local Literatures:</w:t>
      </w:r>
    </w:p>
    <w:p>
      <w:pPr>
        <w:keepNext/>
        <w:spacing w:before="120" w:after="40"/>
        <w:ind w:left="432" w:hanging="432"/>
      </w:pPr>
      <w:r>
        <w:t>1.</w:t>
        <w:tab/>
      </w:r>
      <w:r>
        <w:rPr>
          <w:b/>
        </w:rPr>
        <w:t>BAPTC to Spin into Corporation to Provide Farmers, Traders More Services, Bigger Income</w:t>
      </w:r>
    </w:p>
    <w:p>
      <w:pPr>
        <w:spacing w:after="40"/>
        <w:ind w:left="432"/>
        <w:jc w:val="both"/>
      </w:pPr>
      <w:r>
        <w:rPr>
          <w:b/>
        </w:rPr>
        <w:t>Description / Summary (Local Literature).</w:t>
      </w:r>
      <w:r>
        <w:t xml:space="preserve"> The Department of Agriculture announced in 2021 that BAPTC, which it describes as the country's biggest vegetable trading facility and which began trading in 2015, would be converted into a corporation. The stated aim was to run the center more efficiently and to add services such as input trading, processing, and a savings and loan unit, so that farmers and traders earn a more reasonable return.</w:t>
      </w:r>
    </w:p>
    <w:p>
      <w:pPr>
        <w:spacing w:after="40"/>
        <w:ind w:left="432"/>
        <w:jc w:val="both"/>
      </w:pPr>
      <w:r>
        <w:rPr>
          <w:b/>
        </w:rPr>
        <w:t>Relevance to the proposed study.</w:t>
      </w:r>
      <w:r>
        <w:t xml:space="preserve"> It establishes BAPTC as the central trading point for highland vegetables and shows that the DA itself frames farmer income at BAPTC as a problem to be solved, which is the income the proposed glut warnings aim to protect.</w:t>
      </w:r>
    </w:p>
    <w:p>
      <w:pPr>
        <w:spacing w:after="40"/>
        <w:ind w:left="432"/>
        <w:jc w:val="left"/>
      </w:pPr>
      <w:r>
        <w:t>Source: https://www.da.gov.ph/baptc-to-spin-into-corporation-to-provide-farmers-traders-more-services-bigger-income/</w:t>
      </w:r>
    </w:p>
    <w:p>
      <w:pPr>
        <w:keepNext/>
        <w:spacing w:before="120" w:after="40"/>
        <w:ind w:left="432" w:hanging="432"/>
      </w:pPr>
      <w:r>
        <w:t>2.</w:t>
        <w:tab/>
      </w:r>
      <w:r>
        <w:rPr>
          <w:b/>
        </w:rPr>
        <w:t>DA Eyes Digital Trading, Profiling at Benguet Trade Center</w:t>
      </w:r>
    </w:p>
    <w:p>
      <w:pPr>
        <w:spacing w:after="40"/>
        <w:ind w:left="432"/>
        <w:jc w:val="both"/>
      </w:pPr>
      <w:r>
        <w:rPr>
          <w:b/>
        </w:rPr>
        <w:t>Description / Summary (Local Literature).</w:t>
      </w:r>
      <w:r>
        <w:t xml:space="preserve"> The Philippine Information Agency reports that DA-CAR plans to introduce digital trading and profiling at BAPTC, including the use of artificial intelligence, to make the market more transparent and competitive. The first phase publishes the names of farms certified under Good Agricultural Practices.</w:t>
      </w:r>
    </w:p>
    <w:p>
      <w:pPr>
        <w:spacing w:after="40"/>
        <w:ind w:left="432"/>
        <w:jc w:val="both"/>
      </w:pPr>
      <w:r>
        <w:rPr>
          <w:b/>
        </w:rPr>
        <w:t>Relevance to the proposed study.</w:t>
      </w:r>
      <w:r>
        <w:t xml:space="preserve"> It shows that the agency that would use the proposed system is already moving BAPTC toward digital, data-driven tools, so a forecasting dashboard fits a direction DA-CAR has chosen rather than one the group is imposing.</w:t>
      </w:r>
    </w:p>
    <w:p>
      <w:pPr>
        <w:spacing w:after="40"/>
        <w:ind w:left="432"/>
        <w:jc w:val="left"/>
      </w:pPr>
      <w:r>
        <w:t>Source: https://pia.gov.ph/news/da-eyes-digital-trading-profiling-at-benguet-trade-center/</w:t>
      </w:r>
    </w:p>
    <w:p>
      <w:pPr>
        <w:keepNext/>
        <w:spacing w:before="120" w:after="40"/>
        <w:ind w:left="432" w:hanging="432"/>
      </w:pPr>
      <w:r>
        <w:t>3.</w:t>
        <w:tab/>
      </w:r>
      <w:r>
        <w:rPr>
          <w:b/>
        </w:rPr>
        <w:t>The Philippines: Digital Trading to Transform Benguet's Agri-Business Sector</w:t>
      </w:r>
    </w:p>
    <w:p>
      <w:pPr>
        <w:spacing w:after="40"/>
        <w:ind w:left="432"/>
        <w:jc w:val="both"/>
      </w:pPr>
      <w:r>
        <w:rPr>
          <w:b/>
        </w:rPr>
        <w:t>Description / Summary (Local Literature).</w:t>
      </w:r>
      <w:r>
        <w:t xml:space="preserve"> OpenGov Asia describes the same DA-CAR programme as a phased modernisation of BAPTC that aims to give farmers, traders, and entrepreneurs better market tools, with transparency and competitiveness as the goals.</w:t>
      </w:r>
    </w:p>
    <w:p>
      <w:pPr>
        <w:spacing w:after="40"/>
        <w:ind w:left="432"/>
        <w:jc w:val="both"/>
      </w:pPr>
      <w:r>
        <w:rPr>
          <w:b/>
        </w:rPr>
        <w:t>Relevance to the proposed study.</w:t>
      </w:r>
      <w:r>
        <w:t xml:space="preserve"> It confirms from a second outlet that digital market information at BAPTC is a live government priority, and it supports the claim that farmers currently lack forward-looking market signals.</w:t>
      </w:r>
    </w:p>
    <w:p>
      <w:pPr>
        <w:spacing w:after="40"/>
        <w:ind w:left="432"/>
        <w:jc w:val="left"/>
      </w:pPr>
      <w:r>
        <w:t>Source: https://opengovasia.com/the-philippines-digital-trading-to-transform-benguets-agri-business-sector/</w:t>
      </w:r>
    </w:p>
    <w:p>
      <w:pPr>
        <w:keepNext/>
        <w:spacing w:before="120" w:after="40"/>
        <w:ind w:left="432" w:hanging="432"/>
      </w:pPr>
      <w:r>
        <w:t>4.</w:t>
        <w:tab/>
      </w:r>
      <w:r>
        <w:rPr>
          <w:b/>
        </w:rPr>
        <w:t>DA Bantay Presyo Price Monitoring</w:t>
      </w:r>
    </w:p>
    <w:p>
      <w:pPr>
        <w:spacing w:after="40"/>
        <w:ind w:left="432"/>
        <w:jc w:val="both"/>
      </w:pPr>
      <w:r>
        <w:rPr>
          <w:b/>
        </w:rPr>
        <w:t>Description / Summary (Local Literature).</w:t>
      </w:r>
      <w:r>
        <w:t xml:space="preserve"> Bantay Presyo is the Department of Agriculture's price monitoring programme. Regional teams record prevailing prices of agricultural commodities, including highland vegetables, and publish daily and weekly price reports.</w:t>
      </w:r>
    </w:p>
    <w:p>
      <w:pPr>
        <w:spacing w:after="40"/>
        <w:ind w:left="432"/>
        <w:jc w:val="both"/>
      </w:pPr>
      <w:r>
        <w:rPr>
          <w:b/>
        </w:rPr>
        <w:t>Relevance to the proposed study.</w:t>
      </w:r>
      <w:r>
        <w:t xml:space="preserve"> It is the public, independently available price series the study uses to cross-check BAPTC data and as the fallback source for a price-only study if BAPTC volume data is not released.</w:t>
      </w:r>
    </w:p>
    <w:p>
      <w:pPr>
        <w:spacing w:after="40"/>
        <w:ind w:left="432"/>
        <w:jc w:val="left"/>
      </w:pPr>
      <w:r>
        <w:t>Source: https://www.da.gov.ph/price-monitoring/</w:t>
      </w:r>
    </w:p>
    <w:p>
      <w:pPr>
        <w:keepNext/>
        <w:spacing w:before="120" w:after="40"/>
        <w:ind w:left="432" w:hanging="432"/>
      </w:pPr>
      <w:r>
        <w:t>5.</w:t>
        <w:tab/>
      </w:r>
      <w:r>
        <w:rPr>
          <w:b/>
        </w:rPr>
        <w:t>Program Documents of the Benguet Agri-Pinoy Trading Center (BAPTC)</w:t>
      </w:r>
    </w:p>
    <w:p>
      <w:pPr>
        <w:spacing w:after="40"/>
        <w:ind w:left="432"/>
        <w:jc w:val="both"/>
      </w:pPr>
      <w:r>
        <w:rPr>
          <w:b/>
        </w:rPr>
        <w:t>Description / Summary (Local Literature).</w:t>
      </w:r>
      <w:r>
        <w:t xml:space="preserve"> A request filed on the government's Freedom of Information portal for BAPTC's programme documents was approved, and the BAPTC Project Management Office released a BAPTC briefer while stating that it could not provide the conceptual framework.</w:t>
      </w:r>
    </w:p>
    <w:p>
      <w:pPr>
        <w:spacing w:after="40"/>
        <w:ind w:left="432"/>
        <w:jc w:val="both"/>
      </w:pPr>
      <w:r>
        <w:rPr>
          <w:b/>
        </w:rPr>
        <w:t>Relevance to the proposed study.</w:t>
      </w:r>
      <w:r>
        <w:t xml:space="preserve"> It shows what BAPTC documentation is publicly obtainable and how, which informs the group's own request and supports framing the request around aggregates rather than raw records.</w:t>
      </w:r>
    </w:p>
    <w:p>
      <w:pPr>
        <w:spacing w:after="40"/>
        <w:ind w:left="432"/>
        <w:jc w:val="left"/>
      </w:pPr>
      <w:r>
        <w:t>Source: https://www.foi.gov.ph/requests/program-documents-of-the-benguet-agri-pinoy-trading-center-baptc/</w:t>
      </w:r>
    </w:p>
    <w:p>
      <w:pPr>
        <w:keepNext/>
        <w:spacing w:before="80" w:after="80"/>
      </w:pPr>
      <w:r>
        <w:rPr>
          <w:b/>
          <w:sz w:val="20"/>
        </w:rPr>
        <w:t>Foreign Literatures:</w:t>
      </w:r>
    </w:p>
    <w:p>
      <w:pPr>
        <w:keepNext/>
        <w:spacing w:before="120" w:after="40"/>
        <w:ind w:left="432" w:hanging="432"/>
      </w:pPr>
      <w:r>
        <w:t>6.</w:t>
        <w:tab/>
      </w:r>
      <w:r>
        <w:rPr>
          <w:b/>
        </w:rPr>
        <w:t>Forecasting: Principles and Practice (3rd ed.)</w:t>
      </w:r>
    </w:p>
    <w:p>
      <w:pPr>
        <w:spacing w:after="40"/>
        <w:ind w:left="432"/>
        <w:jc w:val="both"/>
      </w:pPr>
      <w:r>
        <w:rPr>
          <w:b/>
        </w:rPr>
        <w:t>Description / Summary (Foreign Literature).</w:t>
      </w:r>
      <w:r>
        <w:t xml:space="preserve"> Hyndman and Athanasopoulos present the standard methods for time-series forecasting, including seasonal naive benchmarks, ARIMA and seasonal ARIMA, and time-series cross-validation in which the model is only ever tested on periods after the ones it was trained on.</w:t>
      </w:r>
    </w:p>
    <w:p>
      <w:pPr>
        <w:spacing w:after="40"/>
        <w:ind w:left="432"/>
        <w:jc w:val="both"/>
      </w:pPr>
      <w:r>
        <w:rPr>
          <w:b/>
        </w:rPr>
        <w:t>Relevance to the proposed study.</w:t>
      </w:r>
      <w:r>
        <w:t xml:space="preserve"> It is the basis for the study's rolling-origin validation and for requiring every model to beat naive and seasonal-naive forecasts before any result is reported.</w:t>
      </w:r>
    </w:p>
    <w:p>
      <w:pPr>
        <w:spacing w:after="40"/>
        <w:ind w:left="432"/>
        <w:jc w:val="left"/>
      </w:pPr>
      <w:r>
        <w:t>Source: https://otexts.com/fpp3/</w:t>
      </w:r>
    </w:p>
    <w:p>
      <w:pPr>
        <w:keepNext/>
        <w:spacing w:before="120" w:after="40"/>
        <w:ind w:left="432" w:hanging="432"/>
      </w:pPr>
      <w:r>
        <w:t>7.</w:t>
        <w:tab/>
      </w:r>
      <w:r>
        <w:rPr>
          <w:b/>
        </w:rPr>
        <w:t>XGBoost: A Scalable Tree Boosting System</w:t>
      </w:r>
    </w:p>
    <w:p>
      <w:pPr>
        <w:spacing w:after="40"/>
        <w:ind w:left="432"/>
        <w:jc w:val="both"/>
      </w:pPr>
      <w:r>
        <w:rPr>
          <w:b/>
        </w:rPr>
        <w:t>Description / Summary (Foreign Literature).</w:t>
      </w:r>
      <w:r>
        <w:t xml:space="preserve"> Chen and Guestrin introduce XGBoost, a gradient-boosted decision tree system designed for speed and accuracy on structured data, with regularisation to limit overfitting and built-in handling of missing values.</w:t>
      </w:r>
    </w:p>
    <w:p>
      <w:pPr>
        <w:spacing w:after="40"/>
        <w:ind w:left="432"/>
        <w:jc w:val="both"/>
      </w:pPr>
      <w:r>
        <w:rPr>
          <w:b/>
        </w:rPr>
        <w:t>Relevance to the proposed study.</w:t>
      </w:r>
      <w:r>
        <w:t xml:space="preserve"> It is the algorithm named in the title. Its handling of missing values matters because BAPTC and bulletin series have gaps, and it supports both the price regression and the glut classification in one model family.</w:t>
      </w:r>
    </w:p>
    <w:p>
      <w:pPr>
        <w:spacing w:after="40"/>
        <w:ind w:left="432"/>
        <w:jc w:val="left"/>
      </w:pPr>
      <w:r>
        <w:t>Source: https://doi.org/10.1145/2939672.2939785</w:t>
      </w:r>
    </w:p>
    <w:p>
      <w:pPr>
        <w:keepNext/>
        <w:spacing w:before="120" w:after="40"/>
        <w:ind w:left="432" w:hanging="432"/>
      </w:pPr>
      <w:r>
        <w:t>8.</w:t>
        <w:tab/>
      </w:r>
      <w:r>
        <w:rPr>
          <w:b/>
        </w:rPr>
        <w:t>Analysis of Factors Affecting Vegetable Price Fluctuation: A Case Study of South Korea</w:t>
      </w:r>
    </w:p>
    <w:p>
      <w:pPr>
        <w:spacing w:after="40"/>
        <w:ind w:left="432"/>
        <w:jc w:val="both"/>
      </w:pPr>
      <w:r>
        <w:rPr>
          <w:b/>
        </w:rPr>
        <w:t>Description / Summary (Foreign Literature).</w:t>
      </w:r>
      <w:r>
        <w:t xml:space="preserve"> Qiao, Kang, and Ahn separate the causes of Korean vegetable price swings into demand, domestic production, imports, and exports, and find that domestic production drove most of the recent fluctuation in garlic and onion prices.</w:t>
      </w:r>
    </w:p>
    <w:p>
      <w:pPr>
        <w:spacing w:after="40"/>
        <w:ind w:left="432"/>
        <w:jc w:val="both"/>
      </w:pPr>
      <w:r>
        <w:rPr>
          <w:b/>
        </w:rPr>
        <w:t>Relevance to the proposed study.</w:t>
      </w:r>
      <w:r>
        <w:t xml:space="preserve"> It supports using supply-side signals, such as arrivals and trading volume, as features, which is why the study treats BAPTC volume as essential for the glut-risk claim.</w:t>
      </w:r>
    </w:p>
    <w:p>
      <w:pPr>
        <w:spacing w:after="40"/>
        <w:ind w:left="432"/>
        <w:jc w:val="left"/>
      </w:pPr>
      <w:r>
        <w:t>Source: https://doi.org/10.3390/agriculture13030577</w:t>
      </w:r>
    </w:p>
    <w:p>
      <w:pPr>
        <w:keepNext/>
        <w:spacing w:before="120" w:after="40"/>
        <w:ind w:left="432" w:hanging="432"/>
      </w:pPr>
      <w:r>
        <w:t>9.</w:t>
        <w:tab/>
      </w:r>
      <w:r>
        <w:rPr>
          <w:b/>
        </w:rPr>
        <w:t>ARIMA Model Forecasting Analysis of the Prices of Multiple Vegetables under the Impact of the COVID-19</w:t>
      </w:r>
    </w:p>
    <w:p>
      <w:pPr>
        <w:spacing w:after="40"/>
        <w:ind w:left="432"/>
        <w:jc w:val="both"/>
      </w:pPr>
      <w:r>
        <w:rPr>
          <w:b/>
        </w:rPr>
        <w:t>Description / Summary (Foreign Literature).</w:t>
      </w:r>
      <w:r>
        <w:t xml:space="preserve"> Mao and colleagues applied ARIMA to more than 51,000 vegetable price records collected during the COVID-19 pandemic and found that price behaviour during the disruption differed from normal seasons.</w:t>
      </w:r>
    </w:p>
    <w:p>
      <w:pPr>
        <w:spacing w:after="40"/>
        <w:ind w:left="432"/>
        <w:jc w:val="both"/>
      </w:pPr>
      <w:r>
        <w:rPr>
          <w:b/>
        </w:rPr>
        <w:t>Relevance to the proposed study.</w:t>
      </w:r>
      <w:r>
        <w:t xml:space="preserve"> It warns that a model trained on normal periods can fail during shocks, which is why the study reports error by season and period rather than one average figure.</w:t>
      </w:r>
    </w:p>
    <w:p>
      <w:pPr>
        <w:spacing w:after="40"/>
        <w:ind w:left="432"/>
        <w:jc w:val="left"/>
      </w:pPr>
      <w:r>
        <w:t>Source: https://doi.org/10.1371/journal.pone.0271594</w:t>
      </w:r>
    </w:p>
    <w:p>
      <w:pPr>
        <w:keepNext/>
        <w:spacing w:before="120" w:after="40"/>
        <w:ind w:left="432" w:hanging="432"/>
      </w:pPr>
      <w:r>
        <w:t>10.</w:t>
        <w:tab/>
      </w:r>
      <w:r>
        <w:rPr>
          <w:b/>
        </w:rPr>
        <w:t>Machine Learning Outperforms Classical Forecasting on Horticultural Sales Predictions</w:t>
      </w:r>
    </w:p>
    <w:p>
      <w:pPr>
        <w:spacing w:after="40"/>
        <w:ind w:left="432"/>
        <w:jc w:val="both"/>
      </w:pPr>
      <w:r>
        <w:rPr>
          <w:b/>
        </w:rPr>
        <w:t>Description / Summary (Foreign Literature).</w:t>
      </w:r>
      <w:r>
        <w:t xml:space="preserve"> Haselbeck and colleagues compared nine machine learning models with three classical forecasting models on horticultural sales, using weather, holiday, and other features, and found machine learning ahead, with XGBoost best in 14 of 15 comparisons.</w:t>
      </w:r>
    </w:p>
    <w:p>
      <w:pPr>
        <w:spacing w:after="40"/>
        <w:ind w:left="432"/>
        <w:jc w:val="both"/>
      </w:pPr>
      <w:r>
        <w:rPr>
          <w:b/>
        </w:rPr>
        <w:t>Relevance to the proposed study.</w:t>
      </w:r>
      <w:r>
        <w:t xml:space="preserve"> It is direct support for choosing XGBoost for a horticultural market and for adding weather and calendar features.</w:t>
      </w:r>
    </w:p>
    <w:p>
      <w:pPr>
        <w:spacing w:after="40"/>
        <w:ind w:left="432"/>
        <w:jc w:val="left"/>
      </w:pPr>
      <w:r>
        <w:t>Source: https://doi.org/10.1016/j.mlwa.2021.100239</w:t>
      </w:r>
    </w:p>
    <w:p>
      <w:pPr>
        <w:keepNext/>
        <w:spacing w:before="160" w:after="80"/>
      </w:pPr>
      <w:r>
        <w:rPr>
          <w:b/>
          <w:sz w:val="22"/>
        </w:rPr>
        <w:t>Review of Related Studies (RRS/s)</w:t>
      </w:r>
    </w:p>
    <w:p>
      <w:pPr>
        <w:spacing w:after="120"/>
        <w:jc w:val="both"/>
      </w:pPr>
      <w:r>
        <w:rPr>
          <w:sz w:val="18"/>
        </w:rPr>
        <w:t>The RRS focuses on existing research, systems, applications, or projects that address a problem similar to the one the group wants to solve.</w:t>
      </w:r>
    </w:p>
    <w:p>
      <w:pPr>
        <w:keepNext/>
        <w:spacing w:before="80" w:after="80"/>
      </w:pPr>
      <w:r>
        <w:rPr>
          <w:b/>
          <w:sz w:val="20"/>
        </w:rPr>
        <w:t>Local Studies:</w:t>
      </w:r>
    </w:p>
    <w:p>
      <w:pPr>
        <w:keepNext/>
        <w:spacing w:before="120" w:after="40"/>
        <w:ind w:left="432" w:hanging="432"/>
      </w:pPr>
      <w:r>
        <w:t>1.</w:t>
        <w:tab/>
      </w:r>
      <w:r>
        <w:rPr>
          <w:b/>
        </w:rPr>
        <w:t>Hinterland Lettuce Selling Price Forecasting Model Using Recurrent Neural Networks</w:t>
      </w:r>
    </w:p>
    <w:p>
      <w:pPr>
        <w:spacing w:after="40"/>
        <w:ind w:left="432"/>
        <w:jc w:val="both"/>
      </w:pPr>
      <w:r>
        <w:rPr>
          <w:b/>
        </w:rPr>
        <w:t>Description / Summary (Local Study).</w:t>
      </w:r>
      <w:r>
        <w:t xml:space="preserve"> Lubag and colleagues tested ways of handling a broken, discontinuous BAPTC lettuce price series and optimised a bidirectional GRU model, which reached a test R-squared of 0.95 with an MAE of 8.97.</w:t>
      </w:r>
    </w:p>
    <w:p>
      <w:pPr>
        <w:spacing w:after="40"/>
        <w:ind w:left="432"/>
        <w:jc w:val="both"/>
      </w:pPr>
      <w:r>
        <w:rPr>
          <w:b/>
        </w:rPr>
        <w:t>Relevance to the proposed study.</w:t>
      </w:r>
      <w:r>
        <w:t xml:space="preserve"> It is the closest prior work on BAPTC prices and gives the study a benchmark. It forecasts one commodity's price only and does not classify gluts, which is the gap the proposed study fills.</w:t>
      </w:r>
    </w:p>
    <w:p>
      <w:pPr>
        <w:spacing w:after="40"/>
        <w:ind w:left="432"/>
        <w:jc w:val="left"/>
      </w:pPr>
      <w:r>
        <w:t>Source: https://doi.org/10.1109/HNICEM69498.2025.11569264</w:t>
      </w:r>
    </w:p>
    <w:p>
      <w:pPr>
        <w:keepNext/>
        <w:spacing w:before="120" w:after="40"/>
        <w:ind w:left="432" w:hanging="432"/>
      </w:pPr>
      <w:r>
        <w:t>2.</w:t>
        <w:tab/>
      </w:r>
      <w:r>
        <w:rPr>
          <w:b/>
        </w:rPr>
        <w:t>The Analysis of Crop Production Data for Predicting Future Trends of Highland Vegetables in Benguet</w:t>
      </w:r>
    </w:p>
    <w:p>
      <w:pPr>
        <w:spacing w:after="40"/>
        <w:ind w:left="432"/>
        <w:jc w:val="both"/>
      </w:pPr>
      <w:r>
        <w:rPr>
          <w:b/>
        </w:rPr>
        <w:t>Description / Summary (Local Study).</w:t>
      </w:r>
      <w:r>
        <w:t xml:space="preserve"> Quitaleg and Dumlao forecast Benguet highland vegetable production with regression, support vector machines, decision trees, and random forest. Random forest performed best, and the authors note that complete farmer-level planting data would be needed for better results.</w:t>
      </w:r>
    </w:p>
    <w:p>
      <w:pPr>
        <w:spacing w:after="40"/>
        <w:ind w:left="432"/>
        <w:jc w:val="both"/>
      </w:pPr>
      <w:r>
        <w:rPr>
          <w:b/>
        </w:rPr>
        <w:t>Relevance to the proposed study.</w:t>
      </w:r>
      <w:r>
        <w:t xml:space="preserve"> It shows that Benguet production is forecastable and that supply-side data is the limiting factor, which supports the study's reliance on BAPTC volume as the supply signal.</w:t>
      </w:r>
    </w:p>
    <w:p>
      <w:pPr>
        <w:keepNext/>
        <w:spacing w:before="120" w:after="40"/>
        <w:ind w:left="432" w:hanging="432"/>
      </w:pPr>
      <w:r>
        <w:t>3.</w:t>
        <w:tab/>
      </w:r>
      <w:r>
        <w:rPr>
          <w:b/>
        </w:rPr>
        <w:t>From Price Stability to Food Security: What Are the Drivers of Price Volatilities in Philippine Vegetable Markets?</w:t>
      </w:r>
    </w:p>
    <w:p>
      <w:pPr>
        <w:spacing w:after="40"/>
        <w:ind w:left="432"/>
        <w:jc w:val="both"/>
      </w:pPr>
      <w:r>
        <w:rPr>
          <w:b/>
        </w:rPr>
        <w:t>Description / Summary (Local Study).</w:t>
      </w:r>
      <w:r>
        <w:t xml:space="preserve"> Hinlo and Lee decomposed the variance of Philippine onion and garlic prices from 2010 to 2024 and found that demand explained 50 to 90 percent of it and supply shocks 9 to 50 percent.</w:t>
      </w:r>
    </w:p>
    <w:p>
      <w:pPr>
        <w:spacing w:after="40"/>
        <w:ind w:left="432"/>
        <w:jc w:val="both"/>
      </w:pPr>
      <w:r>
        <w:rPr>
          <w:b/>
        </w:rPr>
        <w:t>Relevance to the proposed study.</w:t>
      </w:r>
      <w:r>
        <w:t xml:space="preserve"> It is Philippine evidence that price and supply both have to be modelled, supporting a system that forecasts price and flags supply gluts together.</w:t>
      </w:r>
    </w:p>
    <w:p>
      <w:pPr>
        <w:spacing w:after="40"/>
        <w:ind w:left="432"/>
        <w:jc w:val="left"/>
      </w:pPr>
      <w:r>
        <w:t>Source: https://doi.org/10.1186/s40066-025-00602-8</w:t>
      </w:r>
    </w:p>
    <w:p>
      <w:pPr>
        <w:spacing w:before="120" w:after="40"/>
        <w:ind w:left="432" w:hanging="432"/>
      </w:pPr>
      <w:r>
        <w:t>4.</w:t>
        <w:tab/>
      </w:r>
      <w:r>
        <w:rPr>
          <w:highlight w:val="yellow"/>
        </w:rPr>
        <w:t>[Open slot: add one local study here.]</w:t>
      </w:r>
    </w:p>
    <w:p>
      <w:pPr>
        <w:spacing w:before="120" w:after="40"/>
        <w:ind w:left="432" w:hanging="432"/>
      </w:pPr>
      <w:r>
        <w:t>5.</w:t>
        <w:tab/>
      </w:r>
      <w:r>
        <w:rPr>
          <w:highlight w:val="yellow"/>
        </w:rPr>
        <w:t>[Open slot: add one local study here.]</w:t>
      </w:r>
    </w:p>
    <w:p>
      <w:pPr>
        <w:keepNext/>
        <w:spacing w:before="80" w:after="80"/>
      </w:pPr>
      <w:r>
        <w:rPr>
          <w:b/>
          <w:sz w:val="20"/>
        </w:rPr>
        <w:t>Foreign Studies:</w:t>
      </w:r>
    </w:p>
    <w:p>
      <w:pPr>
        <w:keepNext/>
        <w:spacing w:before="120" w:after="40"/>
        <w:ind w:left="432" w:hanging="432"/>
      </w:pPr>
      <w:r>
        <w:t>6.</w:t>
        <w:tab/>
      </w:r>
      <w:r>
        <w:rPr>
          <w:b/>
        </w:rPr>
        <w:t>A Hierarchical RF-XGBoost Model for Short-Cycle Agricultural Product Sales Forecasting</w:t>
      </w:r>
    </w:p>
    <w:p>
      <w:pPr>
        <w:spacing w:after="40"/>
        <w:ind w:left="432"/>
        <w:jc w:val="both"/>
      </w:pPr>
      <w:r>
        <w:rPr>
          <w:b/>
        </w:rPr>
        <w:t>Description / Summary (Foreign Study).</w:t>
      </w:r>
      <w:r>
        <w:t xml:space="preserve"> Li and colleagues combined random forest and XGBoost with residual clustering to forecast 42 short-cycle products in six vegetable groups, reducing MAPE by 10 to 12 percent against either model alone.</w:t>
      </w:r>
    </w:p>
    <w:p>
      <w:pPr>
        <w:spacing w:after="40"/>
        <w:ind w:left="432"/>
        <w:jc w:val="both"/>
      </w:pPr>
      <w:r>
        <w:rPr>
          <w:b/>
        </w:rPr>
        <w:t>Relevance to the proposed study.</w:t>
      </w:r>
      <w:r>
        <w:t xml:space="preserve"> It shows XGBoost working on perishable vegetable data at the commodity level, which is the structure of the BAPTC data.</w:t>
      </w:r>
    </w:p>
    <w:p>
      <w:pPr>
        <w:spacing w:after="40"/>
        <w:ind w:left="432"/>
        <w:jc w:val="left"/>
      </w:pPr>
      <w:r>
        <w:t>Source: https://doi.org/10.3390/foods13182936</w:t>
      </w:r>
    </w:p>
    <w:p>
      <w:pPr>
        <w:keepNext/>
        <w:spacing w:before="120" w:after="40"/>
        <w:ind w:left="432" w:hanging="432"/>
      </w:pPr>
      <w:r>
        <w:t>7.</w:t>
        <w:tab/>
      </w:r>
      <w:r>
        <w:rPr>
          <w:b/>
        </w:rPr>
        <w:t>Research on Retail Pricing Strategy of Supermarket Fresh Products Based on XGBoost Model</w:t>
      </w:r>
    </w:p>
    <w:p>
      <w:pPr>
        <w:spacing w:after="40"/>
        <w:ind w:left="432"/>
        <w:jc w:val="both"/>
      </w:pPr>
      <w:r>
        <w:rPr>
          <w:b/>
        </w:rPr>
        <w:t>Description / Summary (Foreign Study).</w:t>
      </w:r>
      <w:r>
        <w:t xml:space="preserve"> Zeng, Gao, and Hu used LSTM to forecast wholesale vegetable prices and XGBoost to estimate sales volume, reaching an R-squared of at least 0.93 on the price forecasts.</w:t>
      </w:r>
    </w:p>
    <w:p>
      <w:pPr>
        <w:spacing w:after="40"/>
        <w:ind w:left="432"/>
        <w:jc w:val="both"/>
      </w:pPr>
      <w:r>
        <w:rPr>
          <w:b/>
        </w:rPr>
        <w:t>Relevance to the proposed study.</w:t>
      </w:r>
      <w:r>
        <w:t xml:space="preserve"> It supports a two-output design in which one model forecasts price and another estimates volume, which is the design the glut alert needs.</w:t>
      </w:r>
    </w:p>
    <w:p>
      <w:pPr>
        <w:keepNext/>
        <w:spacing w:before="120" w:after="40"/>
        <w:ind w:left="432" w:hanging="432"/>
      </w:pPr>
      <w:r>
        <w:t>8.</w:t>
        <w:tab/>
      </w:r>
      <w:r>
        <w:rPr>
          <w:b/>
        </w:rPr>
        <w:t>Exogenous Variable Driven Deep Learning Models for Improved Price Forecasting of TOP Crops in India</w:t>
      </w:r>
    </w:p>
    <w:p>
      <w:pPr>
        <w:spacing w:after="40"/>
        <w:ind w:left="432"/>
        <w:jc w:val="both"/>
      </w:pPr>
      <w:r>
        <w:rPr>
          <w:b/>
        </w:rPr>
        <w:t>Description / Summary (Foreign Study).</w:t>
      </w:r>
      <w:r>
        <w:t xml:space="preserve"> Nayak and colleagues compared statistical, machine learning, and deep learning models for tomato, onion, and potato prices, and found that models using weather as an input outperformed those that did not.</w:t>
      </w:r>
    </w:p>
    <w:p>
      <w:pPr>
        <w:spacing w:after="40"/>
        <w:ind w:left="432"/>
        <w:jc w:val="both"/>
      </w:pPr>
      <w:r>
        <w:rPr>
          <w:b/>
        </w:rPr>
        <w:t>Relevance to the proposed study.</w:t>
      </w:r>
      <w:r>
        <w:t xml:space="preserve"> It is the reason the study adds PAGASA-BSU weather records as features.</w:t>
      </w:r>
    </w:p>
    <w:p>
      <w:pPr>
        <w:spacing w:after="40"/>
        <w:ind w:left="432"/>
        <w:jc w:val="left"/>
      </w:pPr>
      <w:r>
        <w:t>Source: https://doi.org/10.1038/s41598-024-68040-3</w:t>
      </w:r>
    </w:p>
    <w:p>
      <w:pPr>
        <w:keepNext/>
        <w:spacing w:before="120" w:after="40"/>
        <w:ind w:left="432" w:hanging="432"/>
      </w:pPr>
      <w:r>
        <w:t>9.</w:t>
        <w:tab/>
      </w:r>
      <w:r>
        <w:rPr>
          <w:b/>
        </w:rPr>
        <w:t>Machine Learning Techniques for Forecasting Agricultural Prices: A Case of Brinjal in Odisha, India</w:t>
      </w:r>
    </w:p>
    <w:p>
      <w:pPr>
        <w:spacing w:after="40"/>
        <w:ind w:left="432"/>
        <w:jc w:val="both"/>
      </w:pPr>
      <w:r>
        <w:rPr>
          <w:b/>
        </w:rPr>
        <w:t>Description / Summary (Foreign Study).</w:t>
      </w:r>
      <w:r>
        <w:t xml:space="preserve"> Paul and colleagues forecast wholesale brinjal prices in 17 markets with GRNN, SVR, random forest, gradient boosting, and ARIMA. GRNN was best overall, while random forest was competitive in four markets.</w:t>
      </w:r>
    </w:p>
    <w:p>
      <w:pPr>
        <w:spacing w:after="40"/>
        <w:ind w:left="432"/>
        <w:jc w:val="both"/>
      </w:pPr>
      <w:r>
        <w:rPr>
          <w:b/>
        </w:rPr>
        <w:t>Relevance to the proposed study.</w:t>
      </w:r>
      <w:r>
        <w:t xml:space="preserve"> It shows that the best model differs by market, so XGBoost has to be benchmarked against alternatives rather than assumed best.</w:t>
      </w:r>
    </w:p>
    <w:p>
      <w:pPr>
        <w:spacing w:after="40"/>
        <w:ind w:left="432"/>
        <w:jc w:val="left"/>
      </w:pPr>
      <w:r>
        <w:t>Source: https://doi.org/10.1371/journal.pone.0270553</w:t>
      </w:r>
    </w:p>
    <w:p>
      <w:pPr>
        <w:keepNext/>
        <w:spacing w:before="120" w:after="40"/>
        <w:ind w:left="432" w:hanging="432"/>
      </w:pPr>
      <w:r>
        <w:t>10.</w:t>
        <w:tab/>
      </w:r>
      <w:r>
        <w:rPr>
          <w:b/>
        </w:rPr>
        <w:t>Forecasting Prices of Salad Vegetables Using Statistical and Artificial Intelligence Techniques</w:t>
      </w:r>
    </w:p>
    <w:p>
      <w:pPr>
        <w:spacing w:after="40"/>
        <w:ind w:left="432"/>
        <w:jc w:val="both"/>
      </w:pPr>
      <w:r>
        <w:rPr>
          <w:b/>
        </w:rPr>
        <w:t>Description / Summary (Foreign Study).</w:t>
      </w:r>
      <w:r>
        <w:t xml:space="preserve"> Bulut compared CNN, LSTM, and random forest for 10-day-ahead vegetable price forecasts using Turkish price and trade-volume data, with CNN generally performing best.</w:t>
      </w:r>
    </w:p>
    <w:p>
      <w:pPr>
        <w:spacing w:after="40"/>
        <w:ind w:left="432"/>
        <w:jc w:val="both"/>
      </w:pPr>
      <w:r>
        <w:rPr>
          <w:b/>
        </w:rPr>
        <w:t>Relevance to the proposed study.</w:t>
      </w:r>
      <w:r>
        <w:t xml:space="preserve"> It shows that adding trade volume makes forecasts more useful in practice, which supports requesting BAPTC trading volume.</w:t>
      </w:r>
    </w:p>
    <w:p>
      <w:pPr>
        <w:spacing w:after="40"/>
        <w:ind w:left="432"/>
        <w:jc w:val="left"/>
      </w:pPr>
      <w:r>
        <w:t>Source: https://doi.org/10.1590/0103-8478cr20240444</w:t>
      </w:r>
    </w:p>
    <w:p>
      <w:pPr>
        <w:keepNext/>
        <w:spacing w:before="120" w:after="80"/>
      </w:pPr>
      <w:r>
        <w:rPr>
          <w:b/>
          <w:sz w:val="20"/>
        </w:rPr>
        <w:t>Additional Studies Also Consulted</w:t>
      </w:r>
    </w:p>
    <w:tbl>
      <w:tblPr>
        <w:tblStyle w:val="TableGrid"/>
        <w:tblW w:type="auto" w:w="0"/>
        <w:jc w:val="center"/>
        <w:tblLook w:firstColumn="1" w:firstRow="1" w:lastColumn="0" w:lastRow="0" w:noHBand="0" w:noVBand="1" w:val="04A0"/>
      </w:tblPr>
      <w:tblGrid>
        <w:gridCol w:w="3408"/>
        <w:gridCol w:w="3408"/>
        <w:gridCol w:w="3408"/>
      </w:tblGrid>
      <w:tr>
        <w:tc>
          <w:tcPr>
            <w:tcW w:type="dxa" w:w="3024"/>
            <w:shd w:val="clear" w:color="auto" w:fill="EDEDED"/>
          </w:tcPr>
          <w:p>
            <w:r>
              <w:rPr>
                <w:b/>
                <w:sz w:val="18"/>
              </w:rPr>
              <w:t>Source</w:t>
            </w:r>
          </w:p>
        </w:tc>
        <w:tc>
          <w:tcPr>
            <w:tcW w:type="dxa" w:w="1440"/>
            <w:shd w:val="clear" w:color="auto" w:fill="EDEDED"/>
          </w:tcPr>
          <w:p>
            <w:r>
              <w:rPr>
                <w:b/>
                <w:sz w:val="18"/>
              </w:rPr>
              <w:t>Type</w:t>
            </w:r>
          </w:p>
        </w:tc>
        <w:tc>
          <w:tcPr>
            <w:tcW w:type="dxa" w:w="5760"/>
            <w:shd w:val="clear" w:color="auto" w:fill="EDEDED"/>
          </w:tcPr>
          <w:p>
            <w:r>
              <w:rPr>
                <w:b/>
                <w:sz w:val="18"/>
              </w:rPr>
              <w:t>Summary and relevance</w:t>
            </w:r>
          </w:p>
        </w:tc>
      </w:tr>
      <w:tr>
        <w:tc>
          <w:tcPr>
            <w:tcW w:type="dxa" w:w="3024"/>
          </w:tcPr>
          <w:p>
            <w:r>
              <w:rPr>
                <w:sz w:val="18"/>
              </w:rPr>
              <w:t>Forecasting of Garlic Price Based on DA-RNN Using Attention Weight of Temporal Fusion Transformers</w:t>
            </w:r>
          </w:p>
        </w:tc>
        <w:tc>
          <w:tcPr>
            <w:tcW w:type="dxa" w:w="1440"/>
          </w:tcPr>
          <w:p>
            <w:r>
              <w:rPr>
                <w:sz w:val="18"/>
              </w:rPr>
              <w:t>Foreign Study</w:t>
            </w:r>
          </w:p>
        </w:tc>
        <w:tc>
          <w:tcPr>
            <w:tcW w:type="dxa" w:w="5760"/>
          </w:tcPr>
          <w:p>
            <w:r>
              <w:rPr>
                <w:sz w:val="18"/>
              </w:rPr>
              <w:t>Choi and colleagues forecast Korean garlic prices with an attention-based hybrid model (MAPE 4.25 percent) whose attention weights reveal which inputs mattered most. It shows that explaining which inputs drive a forecast is possible and useful, which the study achieves more simply with feature importance.</w:t>
            </w:r>
          </w:p>
        </w:tc>
      </w:tr>
      <w:tr>
        <w:tc>
          <w:tcPr>
            <w:tcW w:type="dxa" w:w="3024"/>
          </w:tcPr>
          <w:p>
            <w:r>
              <w:rPr>
                <w:sz w:val="18"/>
              </w:rPr>
              <w:t>Short-Term Forecasting of Vegetable Prices Based on LSTM Model: Evidence from Beijing's Vegetable Data</w:t>
            </w:r>
          </w:p>
        </w:tc>
        <w:tc>
          <w:tcPr>
            <w:tcW w:type="dxa" w:w="1440"/>
          </w:tcPr>
          <w:p>
            <w:r>
              <w:rPr>
                <w:sz w:val="18"/>
              </w:rPr>
              <w:t>Foreign Study</w:t>
            </w:r>
          </w:p>
        </w:tc>
        <w:tc>
          <w:tcPr>
            <w:tcW w:type="dxa" w:w="5760"/>
          </w:tcPr>
          <w:p>
            <w:r>
              <w:rPr>
                <w:sz w:val="18"/>
              </w:rPr>
              <w:t>Zhang and colleagues applied LSTM to daily prices of six vegetable categories across seven Beijing markets from 2009 to 2023 (R-squared 0.958). It supports building models per commodity rather than one pooled model.</w:t>
            </w:r>
          </w:p>
        </w:tc>
      </w:tr>
      <w:tr>
        <w:tc>
          <w:tcPr>
            <w:tcW w:type="dxa" w:w="3024"/>
          </w:tcPr>
          <w:p>
            <w:r>
              <w:rPr>
                <w:sz w:val="18"/>
              </w:rPr>
              <w:t>A Study on Short-Term Vegetable Price Prediction Based on the CNN-LSTM-Attention Model</w:t>
            </w:r>
          </w:p>
        </w:tc>
        <w:tc>
          <w:tcPr>
            <w:tcW w:type="dxa" w:w="1440"/>
          </w:tcPr>
          <w:p>
            <w:r>
              <w:rPr>
                <w:sz w:val="18"/>
              </w:rPr>
              <w:t>Foreign Study</w:t>
            </w:r>
          </w:p>
        </w:tc>
        <w:tc>
          <w:tcPr>
            <w:tcW w:type="dxa" w:w="5760"/>
          </w:tcPr>
          <w:p>
            <w:r>
              <w:rPr>
                <w:sz w:val="18"/>
              </w:rPr>
              <w:t>Bao and colleagues added uncertainty and extreme-weather variables to a CNN-LSTM-Attention model and improved short-term vegetable price prediction (MAPE 1.00 percent). It supports including weather shocks as inputs.</w:t>
            </w:r>
          </w:p>
        </w:tc>
      </w:tr>
      <w:tr>
        <w:tc>
          <w:tcPr>
            <w:tcW w:type="dxa" w:w="3024"/>
          </w:tcPr>
          <w:p>
            <w:r>
              <w:rPr>
                <w:sz w:val="18"/>
              </w:rPr>
              <w:t>A Hybrid Model Integrating Variational Mode Decomposition and Intelligent Optimization for Vegetable Price Prediction</w:t>
            </w:r>
          </w:p>
        </w:tc>
        <w:tc>
          <w:tcPr>
            <w:tcW w:type="dxa" w:w="1440"/>
          </w:tcPr>
          <w:p>
            <w:r>
              <w:rPr>
                <w:sz w:val="18"/>
              </w:rPr>
              <w:t>Foreign Study</w:t>
            </w:r>
          </w:p>
        </w:tc>
        <w:tc>
          <w:tcPr>
            <w:tcW w:type="dxa" w:w="5760"/>
          </w:tcPr>
          <w:p>
            <w:r>
              <w:rPr>
                <w:sz w:val="18"/>
              </w:rPr>
              <w:t>Wang and colleagues combined signal decomposition, fruit-fly optimisation, and GRU for six vegetables from 2014 to 2024 and outperformed their baselines. It shows that more complex hybrids can score higher, but at a complexity the group judges too high for a first BAPTC system.</w:t>
            </w:r>
          </w:p>
        </w:tc>
      </w:tr>
      <w:tr>
        <w:tc>
          <w:tcPr>
            <w:tcW w:type="dxa" w:w="3024"/>
          </w:tcPr>
          <w:p>
            <w:r>
              <w:rPr>
                <w:sz w:val="18"/>
              </w:rPr>
              <w:t>Vegetable Price Prediction Based on Optimized Neural Network Time Series Models</w:t>
            </w:r>
          </w:p>
        </w:tc>
        <w:tc>
          <w:tcPr>
            <w:tcW w:type="dxa" w:w="1440"/>
          </w:tcPr>
          <w:p>
            <w:r>
              <w:rPr>
                <w:sz w:val="18"/>
              </w:rPr>
              <w:t>Foreign Study</w:t>
            </w:r>
          </w:p>
        </w:tc>
        <w:tc>
          <w:tcPr>
            <w:tcW w:type="dxa" w:w="5760"/>
          </w:tcPr>
          <w:p>
            <w:r>
              <w:rPr>
                <w:sz w:val="18"/>
              </w:rPr>
              <w:t>Hou and colleagues found that optimised neural network models forecast stable commodities better than volatile ones. It suggests that volatile BAPTC commodities may need separate models or volatility features.</w:t>
            </w:r>
          </w:p>
        </w:tc>
      </w:tr>
    </w:tbl>
    <w:p>
      <w:pPr>
        <w:spacing w:after="40"/>
      </w:pPr>
    </w:p>
    <w:p>
      <w:pPr>
        <w:keepNext/>
        <w:spacing w:before="160" w:after="80"/>
      </w:pPr>
      <w:r>
        <w:rPr>
          <w:b/>
          <w:sz w:val="22"/>
        </w:rPr>
        <w:t>Research and System Gap</w:t>
      </w:r>
    </w:p>
    <w:p>
      <w:pPr>
        <w:spacing w:after="120"/>
        <w:jc w:val="both"/>
      </w:pPr>
      <w:r>
        <w:t>The reviewed work shows that vegetable prices are seasonal, nonlinear, and driven by both supply and demand, that weather and trading volume improve forecasts, and that XGBoost performs well on structured agricultural data. Most studies measure only forecast error and rarely connect the forecast to a decision a farmer or market manager has to make.</w:t>
      </w:r>
    </w:p>
    <w:p>
      <w:pPr>
        <w:spacing w:after="120"/>
        <w:jc w:val="both"/>
      </w:pPr>
      <w:r>
        <w:rPr>
          <w:b/>
        </w:rPr>
        <w:t>The gap.</w:t>
      </w:r>
      <w:r>
        <w:t xml:space="preserve"> Few studies forecast price and supply glut together. The only BAPTC-specific price model found forecasts one commodity and does not flag gluts, and no study gives BAPTC or DA-CAR a commodity-level early warning of oversupply. The proposed system addresses this by forecasting price and volume per commodity and raising a glut-risk alert defined transparently, for example expected arrivals above the seasonal 75th percentile while forecast price is below the seasonal 25th percentile.</w:t>
      </w:r>
    </w:p>
    <w:p>
      <w:pPr>
        <w:keepNext/>
        <w:spacing w:before="160" w:after="80"/>
      </w:pPr>
      <w:r>
        <w:rPr>
          <w:b/>
          <w:sz w:val="22"/>
        </w:rPr>
        <w:t>Refined Proposed Title and Solution</w:t>
      </w:r>
    </w:p>
    <w:p>
      <w:pPr>
        <w:spacing w:after="120"/>
        <w:jc w:val="both"/>
      </w:pPr>
      <w:r>
        <w:rPr>
          <w:b/>
        </w:rPr>
        <w:t>Highland Vegetable Price and Supply Glut Forecasting at the Benguet Agri-Pinoy Trading Center Using XGBoost</w:t>
      </w:r>
      <w:r>
        <w:t xml:space="preserve"> (16 words). The title is kept. The review strengthened the solution rather than the wording: weather is added as a feature, every model is compared against seasonal-naive, SARIMA, and random forest baselines under rolling-origin validation, and the glut threshold is stated explicitly.</w:t>
      </w:r>
    </w:p>
    <w:p>
      <w:pPr>
        <w:keepNext/>
        <w:spacing w:before="160" w:after="80"/>
      </w:pPr>
      <w:r>
        <w:rPr>
          <w:b/>
          <w:sz w:val="22"/>
        </w:rPr>
        <w:t>References for the RRL and RRS</w:t>
      </w:r>
    </w:p>
    <w:p>
      <w:pPr>
        <w:spacing w:after="60"/>
        <w:ind w:left="576" w:hanging="576"/>
        <w:jc w:val="left"/>
      </w:pPr>
      <w:r>
        <w:t>Bao, W., Su, W., Zhao, X., et al. (2025). A study on short-term vegetable price prediction based on the CNN-LSTM-Attention model. Discover Food, 5, 176. https://doi.org/10.1007/s44187-025-00426-2</w:t>
      </w:r>
    </w:p>
    <w:p>
      <w:pPr>
        <w:spacing w:after="60"/>
        <w:ind w:left="576" w:hanging="576"/>
        <w:jc w:val="left"/>
      </w:pPr>
      <w:r>
        <w:t>Bulut, M. (2025). Forecasting prices of salad vegetables using statistical and artificial intelligence techniques. Ciência Rural, 55(11). https://doi.org/10.1590/0103-8478cr20240444</w:t>
      </w:r>
    </w:p>
    <w:p>
      <w:pPr>
        <w:spacing w:after="60"/>
        <w:ind w:left="576" w:hanging="576"/>
        <w:jc w:val="left"/>
      </w:pPr>
      <w:r>
        <w:t>Chen, T., &amp; Guestrin, C. (2016). XGBoost: A scalable tree boosting system. Proceedings of the 22nd ACM SIGKDD International Conference on Knowledge Discovery and Data Mining, 785-794. https://doi.org/10.1145/2939672.2939785</w:t>
      </w:r>
    </w:p>
    <w:p>
      <w:pPr>
        <w:spacing w:after="60"/>
        <w:ind w:left="576" w:hanging="576"/>
        <w:jc w:val="left"/>
      </w:pPr>
      <w:r>
        <w:t>Choi, E., Park, Y., Choi, J., Choi, J., &amp; Mesicek, L. (2023). Forecasting of garlic price based on DA-RNN using attention weight of temporal fusion transformers. Mathematical Biosciences and Engineering, 20(5), 9041-9061. https://doi.org/10.3934/mbe.2023397</w:t>
      </w:r>
    </w:p>
    <w:p>
      <w:pPr>
        <w:spacing w:after="60"/>
        <w:ind w:left="576" w:hanging="576"/>
        <w:jc w:val="left"/>
      </w:pPr>
      <w:r>
        <w:t>Department of Agriculture. (2021). BAPTC to spin into corporation to provide farmers, traders more services, bigger income. https://www.da.gov.ph/baptc-to-spin-into-corporation-to-provide-farmers-traders-more-services-bigger-income/</w:t>
      </w:r>
    </w:p>
    <w:p>
      <w:pPr>
        <w:spacing w:after="60"/>
        <w:ind w:left="576" w:hanging="576"/>
        <w:jc w:val="left"/>
      </w:pPr>
      <w:r>
        <w:t>Department of Agriculture. (n.d.). Price monitoring (Bantay Presyo). https://www.da.gov.ph/price-monitoring/</w:t>
      </w:r>
    </w:p>
    <w:p>
      <w:pPr>
        <w:spacing w:after="60"/>
        <w:ind w:left="576" w:hanging="576"/>
        <w:jc w:val="left"/>
      </w:pPr>
      <w:r>
        <w:t>Freedom of Information Philippines. (n.d.). Program documents of the Benguet Agri-Pinoy Trading Center (BAPTC). https://www.foi.gov.ph/requests/program-documents-of-the-benguet-agri-pinoy-trading-center-baptc/</w:t>
      </w:r>
    </w:p>
    <w:p>
      <w:pPr>
        <w:spacing w:after="60"/>
        <w:ind w:left="576" w:hanging="576"/>
        <w:jc w:val="left"/>
      </w:pPr>
      <w:r>
        <w:t>Haselbeck, F., Killinger, J., Menrad, K., Hannus, T., &amp; Grimm, D. G. (2022). Machine learning outperforms classical forecasting on horticultural sales predictions. Machine Learning with Applications, 7, 100239. https://doi.org/10.1016/j.mlwa.2021.100239</w:t>
      </w:r>
    </w:p>
    <w:p>
      <w:pPr>
        <w:spacing w:after="60"/>
        <w:ind w:left="576" w:hanging="576"/>
        <w:jc w:val="left"/>
      </w:pPr>
      <w:r>
        <w:t>Hinlo, J., &amp; Lee, Y. (2026). From price stability to food security: What are the drivers of price volatilities in Philippine vegetable markets? Agriculture &amp; Food Security, 15, 28. https://doi.org/10.1186/s40066-025-00602-8</w:t>
      </w:r>
    </w:p>
    <w:p>
      <w:pPr>
        <w:spacing w:after="60"/>
        <w:ind w:left="576" w:hanging="576"/>
        <w:jc w:val="left"/>
      </w:pPr>
      <w:r>
        <w:t>Hou, Y., Sun, T., Cui, Y., et al. (2025). Vegetable price prediction based on optimized neural network time series models. Smart Agriculture, 7(5), 78-87. https://doi.org/10.12133/j.smartag.SA202410037</w:t>
      </w:r>
    </w:p>
    <w:p>
      <w:pPr>
        <w:spacing w:after="60"/>
        <w:ind w:left="576" w:hanging="576"/>
        <w:jc w:val="left"/>
      </w:pPr>
      <w:r>
        <w:t>Hyndman, R. J., &amp; Athanasopoulos, G. (2021). Forecasting: Principles and practice (3rd ed.). OTexts. https://otexts.com/fpp3/</w:t>
      </w:r>
    </w:p>
    <w:p>
      <w:pPr>
        <w:spacing w:after="60"/>
        <w:ind w:left="576" w:hanging="576"/>
        <w:jc w:val="left"/>
      </w:pPr>
      <w:r>
        <w:t>Li, J., Lin, B., Wang, P., et al. (2024). A hierarchical RF-XGBoost model for short-cycle agricultural product sales forecasting. Foods, 13(18), 2936. https://doi.org/10.3390/foods13182936</w:t>
      </w:r>
    </w:p>
    <w:p>
      <w:pPr>
        <w:spacing w:after="60"/>
        <w:ind w:left="576" w:hanging="576"/>
        <w:jc w:val="left"/>
      </w:pPr>
      <w:r>
        <w:t>Lubag, M., Perocho, P. L., Co, R., Concepcion, R., Del-Amen, J., &amp; Maniquiz-Redillas, M. (2025). Hinterland lettuce selling price forecasting model using recurrent neural networks. 2025 IEEE HNICEM. https://doi.org/10.1109/HNICEM69498.2025.11569264</w:t>
      </w:r>
    </w:p>
    <w:p>
      <w:pPr>
        <w:spacing w:after="60"/>
        <w:ind w:left="576" w:hanging="576"/>
        <w:jc w:val="left"/>
      </w:pPr>
      <w:r>
        <w:t>Mao, L., Huang, Y., Zhang, X., Li, S., &amp; Huang, X. (2022). ARIMA model forecasting analysis of the prices of multiple vegetables under the impact of the COVID-19. PLOS ONE, 17(7), e0271594. https://doi.org/10.1371/journal.pone.0271594</w:t>
      </w:r>
    </w:p>
    <w:p>
      <w:pPr>
        <w:spacing w:after="60"/>
        <w:ind w:left="576" w:hanging="576"/>
        <w:jc w:val="left"/>
      </w:pPr>
      <w:r>
        <w:t>Nayak, G. H. H., Alam, M. W., Singh, K. N., et al. (2024). Exogenous variable driven deep learning models for improved price forecasting of TOP crops in India. Scientific Reports, 14, 17203. https://doi.org/10.1038/s41598-024-68040-3</w:t>
      </w:r>
    </w:p>
    <w:p>
      <w:pPr>
        <w:spacing w:after="60"/>
        <w:ind w:left="576" w:hanging="576"/>
        <w:jc w:val="left"/>
      </w:pPr>
      <w:r>
        <w:t>OpenGov Asia. (n.d.). The Philippines: Digital trading to transform Benguet's agri-business sector. https://opengovasia.com/the-philippines-digital-trading-to-transform-benguets-agri-business-sector/</w:t>
      </w:r>
    </w:p>
    <w:p>
      <w:pPr>
        <w:spacing w:after="60"/>
        <w:ind w:left="576" w:hanging="576"/>
        <w:jc w:val="left"/>
      </w:pPr>
      <w:r>
        <w:t>Paul, R. K., Yeasin, M., Kumar, P., et al. (2022). Machine learning techniques for forecasting agricultural prices: A case of brinjal in Odisha, India. PLOS ONE, 17(7), e0270553. https://doi.org/10.1371/journal.pone.0270553</w:t>
      </w:r>
    </w:p>
    <w:p>
      <w:pPr>
        <w:spacing w:after="60"/>
        <w:ind w:left="576" w:hanging="576"/>
        <w:jc w:val="left"/>
      </w:pPr>
      <w:r>
        <w:t>Philippine Information Agency. (n.d.). DA eyes digital trading, profiling at Benguet trade center. https://pia.gov.ph/news/da-eyes-digital-trading-profiling-at-benguet-trade-center/</w:t>
      </w:r>
    </w:p>
    <w:p>
      <w:pPr>
        <w:spacing w:after="60"/>
        <w:ind w:left="576" w:hanging="576"/>
        <w:jc w:val="left"/>
      </w:pPr>
      <w:r>
        <w:t>Qiao, Y., Kang, M., &amp; Ahn, B.-I. (2023). Analysis of factors affecting vegetable price fluctuation: A case study of South Korea. Agriculture, 13(3), 577. https://doi.org/10.3390/agriculture13030577</w:t>
      </w:r>
    </w:p>
    <w:p>
      <w:pPr>
        <w:spacing w:after="60"/>
        <w:ind w:left="576" w:hanging="576"/>
        <w:jc w:val="left"/>
      </w:pPr>
      <w:r>
        <w:t>Quitaleg, A. R. M., &amp; Dumlao, M. F. (2025). The analysis of crop production data for predicting future trends of highland vegetables in Benguet. Journal of Interdisciplinary Perspectives, 3(8).</w:t>
      </w:r>
    </w:p>
    <w:p>
      <w:pPr>
        <w:spacing w:after="60"/>
        <w:ind w:left="576" w:hanging="576"/>
        <w:jc w:val="left"/>
      </w:pPr>
      <w:r>
        <w:t>Wang, G., Xu, S., Chen, Z., &amp; Li, Y. (2025). A hybrid model integrating variational mode decomposition and intelligent optimization for vegetable price prediction. Agriculture, 15(9), 919. https://doi.org/10.3390/agriculture15090919</w:t>
      </w:r>
    </w:p>
    <w:p>
      <w:pPr>
        <w:spacing w:after="60"/>
        <w:ind w:left="576" w:hanging="576"/>
        <w:jc w:val="left"/>
      </w:pPr>
      <w:r>
        <w:t>Zeng, L., Gao, Y., &amp; Hu, H. (2024). Research on retail pricing strategy of supermarket fresh products based on XGBoost model. Academic Journal of Computing &amp; Information Science, 7(10). https://doi.org/10.25236/ajcis.2024.071012</w:t>
      </w:r>
    </w:p>
    <w:p>
      <w:pPr>
        <w:spacing w:after="60"/>
        <w:ind w:left="576" w:hanging="576"/>
        <w:jc w:val="left"/>
      </w:pPr>
      <w:r>
        <w:t>Zhang, Q., Yang, W., Zhao, A., et al. (2024). Short-term forecasting of vegetable prices based on LSTM model: Evidence from Beijing's vegetable data. PLOS ONE, 19(7), e0304881. https://doi.org/10.1371/journal.pone.0304881</w:t>
      </w:r>
    </w:p>
    <w:p>
      <w:r>
        <w:br w:type="page"/>
      </w:r>
    </w:p>
    <w:tbl>
      <w:tblPr>
        <w:tblStyle w:val="TableGrid"/>
        <w:tblW w:type="auto" w:w="0"/>
        <w:tblLook w:firstColumn="1" w:firstRow="1" w:lastColumn="0" w:lastRow="0" w:noHBand="0" w:noVBand="1" w:val="04A0"/>
      </w:tblPr>
      <w:tblGrid>
        <w:gridCol w:w="10224"/>
      </w:tblGrid>
      <w:tr>
        <w:tc>
          <w:tcPr>
            <w:tcW w:type="dxa" w:w="10224"/>
            <w:shd w:val="clear" w:color="auto" w:fill="404040"/>
          </w:tcPr>
          <w:p>
            <w:pPr>
              <w:spacing w:before="60" w:after="60"/>
            </w:pPr>
            <w:r>
              <w:rPr>
                <w:b/>
                <w:color w:val="FFFFFF"/>
                <w:sz w:val="26"/>
              </w:rPr>
              <w:t>TARGET TITLE 2 OF 6</w:t>
            </w:r>
          </w:p>
          <w:p>
            <w:pPr>
              <w:spacing w:after="60"/>
            </w:pPr>
            <w:r>
              <w:rPr>
                <w:color w:val="E0E0E0"/>
                <w:sz w:val="18"/>
              </w:rPr>
              <w:t>A Data Governance System for Verifiable CSR Impact Reporting Using Fellegi-Sunter Record Linkage</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1. Target Thesis Title</w:t>
            </w:r>
          </w:p>
        </w:tc>
      </w:tr>
    </w:tbl>
    <w:p>
      <w:pPr>
        <w:spacing w:after="40"/>
      </w:pPr>
    </w:p>
    <w:p>
      <w:pPr>
        <w:spacing w:after="120"/>
        <w:jc w:val="both"/>
      </w:pPr>
      <w:r>
        <w:rPr>
          <w:b/>
        </w:rPr>
        <w:t>A Data Governance System for Verifiable CSR Impact Reporting Using Fellegi-Sunter Record Linkage</w:t>
      </w:r>
    </w:p>
    <w:p>
      <w:pPr>
        <w:spacing w:after="120"/>
        <w:jc w:val="both"/>
      </w:pPr>
      <w:r>
        <w:t>Thesis specialization: Data Science</w:t>
      </w:r>
    </w:p>
    <w:p>
      <w:pPr>
        <w:spacing w:after="120"/>
        <w:jc w:val="both"/>
      </w:pPr>
      <w:r>
        <w:t>Primary technique: Data Governance and Ethics, from the approved Data Science technique list, supported by Data Mining and Data Visualization</w:t>
      </w:r>
    </w:p>
    <w:p>
      <w:pPr>
        <w:spacing w:after="120"/>
        <w:jc w:val="both"/>
      </w:pPr>
      <w:r>
        <w:t>Research domain: Beneficiary data quality and impact reporting for corporate social responsibility programmes</w:t>
      </w:r>
    </w:p>
    <w:p>
      <w:pPr>
        <w:spacing w:after="120"/>
        <w:jc w:val="both"/>
      </w:pPr>
      <w:r>
        <w:t>Partner: SM Foundation, Kabalikat sa Kabuhayan (KSK) farmers training programme</w:t>
      </w:r>
    </w:p>
    <w:p>
      <w:pPr>
        <w:spacing w:after="120"/>
        <w:jc w:val="both"/>
      </w:pPr>
      <w:r>
        <w:t>Proponents: Dawn Andrei Pamesa (Leader), Rogelio Porras, John Ashley Alba, Ralph Blanco</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2. Project Overview</w:t>
            </w:r>
          </w:p>
        </w:tc>
      </w:tr>
    </w:tbl>
    <w:p>
      <w:pPr>
        <w:spacing w:after="40"/>
      </w:pPr>
    </w:p>
    <w:p>
      <w:pPr>
        <w:spacing w:after="120"/>
        <w:jc w:val="both"/>
      </w:pPr>
      <w:r>
        <w:t>Background of the problem. SM Foundation's Kabalikat sa Kabuhayan programme has trained farmers in sustainable agriculture since 2007, in numbered batches of about fourteen weeks at training sites across Luzon, the Visayas, and Mindanao, and has passed its four hundredth batch. The Foundation reports the programme's reach as a count of farmer graduates, and that figure feeds corporate social responsibility and sustainability reporting. The totals published in different Foundation communications do not match: the programme page gives 28,550 graduates, while 2025 news coverage says over 30,000 and other communications say over 32,000.</w:t>
      </w:r>
    </w:p>
    <w:p>
      <w:pPr>
        <w:spacing w:after="120"/>
        <w:jc w:val="both"/>
      </w:pPr>
      <w:r>
        <w:t>Specific problem. The programme has no defensible, deduplicated count of the farmers it has trained. The total is built by adding up independent site and batch records over nearly twenty years without one shared identifier for each farmer, so a farmer who attends two batches, or whose name is spelled differently at two sites, can be counted twice, and nobody can say how often this happens. This is a measurement problem common to large multi-site programmes, not an error on the Foundation's part.</w:t>
      </w:r>
    </w:p>
    <w:p>
      <w:pPr>
        <w:spacing w:after="120"/>
        <w:jc w:val="both"/>
      </w:pPr>
      <w:r>
        <w:t>Target users and beneficiaries. The primary users are SM Foundation programme and reporting staff. SM Investments' sustainability reporting is a secondary beneficiary, and the farmers benefit indirectly from a programme that can show its reach accurately.</w:t>
      </w:r>
    </w:p>
    <w:p>
      <w:pPr>
        <w:spacing w:after="120"/>
        <w:jc w:val="both"/>
      </w:pPr>
      <w:r>
        <w:t>Proposed solution. A probabilistic record linkage system that reads the existing KSK training records, decides which entries describe the same farmer, and reports a deduplicated beneficiary count with a stated margin of error, delivered with a linkage quality report and a review dashboard.</w:t>
      </w:r>
    </w:p>
    <w:p>
      <w:pPr>
        <w:spacing w:after="120"/>
        <w:jc w:val="both"/>
      </w:pPr>
      <w:r>
        <w:t>Main objectives.</w:t>
      </w:r>
    </w:p>
    <w:p>
      <w:pPr>
        <w:spacing w:after="60"/>
        <w:ind w:left="432"/>
        <w:jc w:val="both"/>
      </w:pPr>
      <w:r>
        <w:t>•  Profile the KSK training records for completeness, field consistency, and duplication indicators.</w:t>
      </w:r>
    </w:p>
    <w:p>
      <w:pPr>
        <w:spacing w:after="60"/>
        <w:ind w:left="432"/>
        <w:jc w:val="both"/>
      </w:pPr>
      <w:r>
        <w:t>•  Implement blocking and comparison strategies suited to Philippine personal names, including phonetic encoding and approximate string comparison.</w:t>
      </w:r>
    </w:p>
    <w:p>
      <w:pPr>
        <w:spacing w:after="60"/>
        <w:ind w:left="432"/>
        <w:jc w:val="both"/>
      </w:pPr>
      <w:r>
        <w:t>•  Implement the Fellegi-Sunter model to classify record pairs as links, possible links, or non-links, with both error thresholds set explicitly.</w:t>
      </w:r>
    </w:p>
    <w:p>
      <w:pPr>
        <w:spacing w:after="60"/>
        <w:ind w:left="432"/>
        <w:jc w:val="both"/>
      </w:pPr>
      <w:r>
        <w:t>•  Evaluate linkage quality with precision and recall on a manually reviewed sample of record pairs.</w:t>
      </w:r>
    </w:p>
    <w:p>
      <w:pPr>
        <w:spacing w:after="60"/>
        <w:ind w:left="432"/>
        <w:jc w:val="both"/>
      </w:pPr>
      <w:r>
        <w:t>•  Produce a deduplicated beneficiary count with an uncertainty interval, and deliver the linkage layer as a reusable system.</w:t>
      </w:r>
    </w:p>
    <w:p>
      <w:pPr>
        <w:spacing w:after="120"/>
        <w:jc w:val="both"/>
      </w:pPr>
      <w:r>
        <w:t>Expected output. A data quality baseline of the KSK records, a deduplicated beneficiary spine, a linkage quality report, a review dashboard, and a disclosure-ready beneficiary figure with stated uncertainty.</w:t>
      </w:r>
    </w:p>
    <w:p>
      <w:pPr>
        <w:spacing w:after="120"/>
        <w:jc w:val="both"/>
      </w:pPr>
      <w:r>
        <w:t>Intended contribution. The first application of probabilistic record linkage to a Philippine corporate livelihood programme with no shared identifier, and the first measurement of how linkage methods perform on Philippine name conventions.</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3. Technical and Technology Feasibility</w:t>
            </w:r>
          </w:p>
        </w:tc>
      </w:tr>
    </w:tbl>
    <w:p>
      <w:pPr>
        <w:spacing w:after="40"/>
      </w:pPr>
    </w:p>
    <w:tbl>
      <w:tblPr>
        <w:tblStyle w:val="TableGrid"/>
        <w:tblW w:type="auto" w:w="0"/>
        <w:jc w:val="center"/>
        <w:tblLook w:firstColumn="1" w:firstRow="1" w:lastColumn="0" w:lastRow="0" w:noHBand="0" w:noVBand="1" w:val="04A0"/>
      </w:tblPr>
      <w:tblGrid>
        <w:gridCol w:w="3408"/>
        <w:gridCol w:w="3408"/>
        <w:gridCol w:w="3408"/>
      </w:tblGrid>
      <w:tr>
        <w:tc>
          <w:tcPr>
            <w:tcW w:type="dxa" w:w="2160"/>
            <w:shd w:val="clear" w:color="auto" w:fill="EDEDED"/>
          </w:tcPr>
          <w:p>
            <w:r>
              <w:rPr>
                <w:b/>
                <w:sz w:val="18"/>
              </w:rPr>
              <w:t>Area</w:t>
            </w:r>
          </w:p>
        </w:tc>
        <w:tc>
          <w:tcPr>
            <w:tcW w:type="dxa" w:w="3744"/>
            <w:shd w:val="clear" w:color="auto" w:fill="EDEDED"/>
          </w:tcPr>
          <w:p>
            <w:r>
              <w:rPr>
                <w:b/>
                <w:sz w:val="18"/>
              </w:rPr>
              <w:t>Proposed Choice</w:t>
            </w:r>
          </w:p>
        </w:tc>
        <w:tc>
          <w:tcPr>
            <w:tcW w:type="dxa" w:w="4320"/>
            <w:shd w:val="clear" w:color="auto" w:fill="EDEDED"/>
          </w:tcPr>
          <w:p>
            <w:r>
              <w:rPr>
                <w:b/>
                <w:sz w:val="18"/>
              </w:rPr>
              <w:t>Feasibility and Alternative</w:t>
            </w:r>
          </w:p>
        </w:tc>
      </w:tr>
      <w:tr>
        <w:tc>
          <w:tcPr>
            <w:tcW w:type="dxa" w:w="2160"/>
          </w:tcPr>
          <w:p>
            <w:r>
              <w:rPr>
                <w:sz w:val="18"/>
              </w:rPr>
              <w:t>Programming languages</w:t>
            </w:r>
          </w:p>
        </w:tc>
        <w:tc>
          <w:tcPr>
            <w:tcW w:type="dxa" w:w="3744"/>
          </w:tcPr>
          <w:p>
            <w:r>
              <w:rPr>
                <w:sz w:val="18"/>
              </w:rPr>
              <w:t>Python; SQL; R only for cross-checking</w:t>
            </w:r>
          </w:p>
        </w:tc>
        <w:tc>
          <w:tcPr>
            <w:tcW w:type="dxa" w:w="4320"/>
          </w:tcPr>
          <w:p>
            <w:r>
              <w:rPr>
                <w:sz w:val="18"/>
              </w:rPr>
              <w:t>Python covers profiling, linkage, evaluation, and the dashboard in one stack.</w:t>
            </w:r>
          </w:p>
        </w:tc>
      </w:tr>
      <w:tr>
        <w:tc>
          <w:tcPr>
            <w:tcW w:type="dxa" w:w="2160"/>
          </w:tcPr>
          <w:p>
            <w:r>
              <w:rPr>
                <w:sz w:val="18"/>
              </w:rPr>
              <w:t>Frameworks and libraries</w:t>
            </w:r>
          </w:p>
        </w:tc>
        <w:tc>
          <w:tcPr>
            <w:tcW w:type="dxa" w:w="3744"/>
          </w:tcPr>
          <w:p>
            <w:r>
              <w:rPr>
                <w:sz w:val="18"/>
              </w:rPr>
              <w:t>pandas, recordlinkage or Splink, jellyfish for phonetic codes, R fastLink for cross-checking</w:t>
            </w:r>
          </w:p>
        </w:tc>
        <w:tc>
          <w:tcPr>
            <w:tcW w:type="dxa" w:w="4320"/>
          </w:tcPr>
          <w:p>
            <w:r>
              <w:rPr>
                <w:sz w:val="18"/>
              </w:rPr>
              <w:t>All are open source and implement Fellegi-Sunter directly, so the group configures and evaluates the model rather than writing it from scratch.</w:t>
            </w:r>
          </w:p>
        </w:tc>
      </w:tr>
      <w:tr>
        <w:tc>
          <w:tcPr>
            <w:tcW w:type="dxa" w:w="2160"/>
          </w:tcPr>
          <w:p>
            <w:r>
              <w:rPr>
                <w:sz w:val="18"/>
              </w:rPr>
              <w:t>Database and storage</w:t>
            </w:r>
          </w:p>
        </w:tc>
        <w:tc>
          <w:tcPr>
            <w:tcW w:type="dxa" w:w="3744"/>
          </w:tcPr>
          <w:p>
            <w:r>
              <w:rPr>
                <w:sz w:val="18"/>
              </w:rPr>
              <w:t>SQLite, with CSV and XLSX import</w:t>
            </w:r>
          </w:p>
        </w:tc>
        <w:tc>
          <w:tcPr>
            <w:tcW w:type="dxa" w:w="4320"/>
          </w:tcPr>
          <w:p>
            <w:r>
              <w:rPr>
                <w:sz w:val="18"/>
              </w:rPr>
              <w:t>SQLite needs no server; the restricted extract stays on encrypted storage.</w:t>
            </w:r>
          </w:p>
        </w:tc>
      </w:tr>
      <w:tr>
        <w:tc>
          <w:tcPr>
            <w:tcW w:type="dxa" w:w="2160"/>
          </w:tcPr>
          <w:p>
            <w:r>
              <w:rPr>
                <w:sz w:val="18"/>
              </w:rPr>
              <w:t>APIs and third-party services</w:t>
            </w:r>
          </w:p>
        </w:tc>
        <w:tc>
          <w:tcPr>
            <w:tcW w:type="dxa" w:w="3744"/>
          </w:tcPr>
          <w:p>
            <w:r>
              <w:rPr>
                <w:sz w:val="18"/>
              </w:rPr>
              <w:t>None</w:t>
            </w:r>
          </w:p>
        </w:tc>
        <w:tc>
          <w:tcPr>
            <w:tcW w:type="dxa" w:w="4320"/>
          </w:tcPr>
          <w:p>
            <w:r>
              <w:rPr>
                <w:sz w:val="18"/>
              </w:rPr>
              <w:t>Nothing on the critical path depends on an outside service.</w:t>
            </w:r>
          </w:p>
        </w:tc>
      </w:tr>
      <w:tr>
        <w:tc>
          <w:tcPr>
            <w:tcW w:type="dxa" w:w="2160"/>
          </w:tcPr>
          <w:p>
            <w:r>
              <w:rPr>
                <w:sz w:val="18"/>
              </w:rPr>
              <w:t>Platform</w:t>
            </w:r>
          </w:p>
        </w:tc>
        <w:tc>
          <w:tcPr>
            <w:tcW w:type="dxa" w:w="3744"/>
          </w:tcPr>
          <w:p>
            <w:r>
              <w:rPr>
                <w:sz w:val="18"/>
              </w:rPr>
              <w:t>Streamlit dashboard</w:t>
            </w:r>
          </w:p>
        </w:tc>
        <w:tc>
          <w:tcPr>
            <w:tcW w:type="dxa" w:w="4320"/>
          </w:tcPr>
          <w:p>
            <w:r>
              <w:rPr>
                <w:sz w:val="18"/>
              </w:rPr>
              <w:t>A single-user dashboard is enough for Foundation staff; FastAPI is an option if integration is later wanted.</w:t>
            </w:r>
          </w:p>
        </w:tc>
      </w:tr>
      <w:tr>
        <w:tc>
          <w:tcPr>
            <w:tcW w:type="dxa" w:w="2160"/>
          </w:tcPr>
          <w:p>
            <w:r>
              <w:rPr>
                <w:sz w:val="18"/>
              </w:rPr>
              <w:t>Hardware and equipment</w:t>
            </w:r>
          </w:p>
        </w:tc>
        <w:tc>
          <w:tcPr>
            <w:tcW w:type="dxa" w:w="3744"/>
          </w:tcPr>
          <w:p>
            <w:r>
              <w:rPr>
                <w:sz w:val="18"/>
              </w:rPr>
              <w:t>Development laptops</w:t>
            </w:r>
          </w:p>
        </w:tc>
        <w:tc>
          <w:tcPr>
            <w:tcW w:type="dxa" w:w="4320"/>
          </w:tcPr>
          <w:p>
            <w:r>
              <w:rPr>
                <w:sz w:val="18"/>
              </w:rPr>
              <w:t>Blocking keeps the comparisons tractable; no GPU is needed.</w:t>
            </w:r>
          </w:p>
        </w:tc>
      </w:tr>
      <w:tr>
        <w:tc>
          <w:tcPr>
            <w:tcW w:type="dxa" w:w="2160"/>
          </w:tcPr>
          <w:p>
            <w:r>
              <w:rPr>
                <w:sz w:val="18"/>
              </w:rPr>
              <w:t>Architecture and integration</w:t>
            </w:r>
          </w:p>
        </w:tc>
        <w:tc>
          <w:tcPr>
            <w:tcW w:type="dxa" w:w="3744"/>
          </w:tcPr>
          <w:p>
            <w:r>
              <w:rPr>
                <w:sz w:val="18"/>
              </w:rPr>
              <w:t>Restricted import with a prohibited-field check, then profiling, blocking, comparison, Fellegi-Sunter classification, clerical review, the deduplicated spine, and the quality report</w:t>
            </w:r>
          </w:p>
        </w:tc>
        <w:tc>
          <w:tcPr>
            <w:tcW w:type="dxa" w:w="4320"/>
          </w:tcPr>
          <w:p>
            <w:r>
              <w:rPr>
                <w:sz w:val="18"/>
              </w:rPr>
              <w:t>The system reads exports and never writes into the Foundation's own systems.</w:t>
            </w:r>
          </w:p>
        </w:tc>
      </w:tr>
      <w:tr>
        <w:tc>
          <w:tcPr>
            <w:tcW w:type="dxa" w:w="2160"/>
          </w:tcPr>
          <w:p>
            <w:r>
              <w:rPr>
                <w:sz w:val="18"/>
              </w:rPr>
              <w:t>Security and maintenance</w:t>
            </w:r>
          </w:p>
        </w:tc>
        <w:tc>
          <w:tcPr>
            <w:tcW w:type="dxa" w:w="3744"/>
          </w:tcPr>
          <w:p>
            <w:r>
              <w:rPr>
                <w:sz w:val="18"/>
              </w:rPr>
              <w:t>Encrypted storage, access limited to the group, hashed or phonetic name keys only, audit log of review decisions</w:t>
            </w:r>
          </w:p>
        </w:tc>
        <w:tc>
          <w:tcPr>
            <w:tcW w:type="dxa" w:w="4320"/>
          </w:tcPr>
          <w:p>
            <w:r>
              <w:rPr>
                <w:sz w:val="18"/>
              </w:rPr>
              <w:t>The group never holds plain-text names.</w:t>
            </w:r>
          </w:p>
        </w:tc>
      </w:tr>
      <w:tr>
        <w:tc>
          <w:tcPr>
            <w:tcW w:type="dxa" w:w="2160"/>
          </w:tcPr>
          <w:p>
            <w:r>
              <w:rPr>
                <w:sz w:val="18"/>
              </w:rPr>
              <w:t>Technical expertise</w:t>
            </w:r>
          </w:p>
        </w:tc>
        <w:tc>
          <w:tcPr>
            <w:tcW w:type="dxa" w:w="3744"/>
          </w:tcPr>
          <w:p>
            <w:r>
              <w:rPr>
                <w:sz w:val="18"/>
              </w:rPr>
              <w:t>Python and pandas are in hand. Record linkage evaluation is the least familiar area.</w:t>
            </w:r>
          </w:p>
        </w:tc>
        <w:tc>
          <w:tcPr>
            <w:tcW w:type="dxa" w:w="4320"/>
          </w:tcPr>
          <w:p>
            <w:r>
              <w:rPr>
                <w:sz w:val="18"/>
              </w:rPr>
              <w:t>The evaluation measures are well documented by Christen and by Hand and Christen.</w:t>
            </w:r>
          </w:p>
        </w:tc>
      </w:tr>
      <w:tr>
        <w:tc>
          <w:tcPr>
            <w:tcW w:type="dxa" w:w="2160"/>
          </w:tcPr>
          <w:p>
            <w:r>
              <w:rPr>
                <w:sz w:val="18"/>
              </w:rPr>
              <w:t>Limitations and alternatives</w:t>
            </w:r>
          </w:p>
        </w:tc>
        <w:tc>
          <w:tcPr>
            <w:tcW w:type="dxa" w:w="3744"/>
          </w:tcPr>
          <w:p>
            <w:r>
              <w:rPr>
                <w:sz w:val="18"/>
              </w:rPr>
              <w:t>Linkage quality depends on the fields the Foundation keeps.</w:t>
            </w:r>
          </w:p>
        </w:tc>
        <w:tc>
          <w:tcPr>
            <w:tcW w:type="dxa" w:w="4320"/>
          </w:tcPr>
          <w:p>
            <w:r>
              <w:rPr>
                <w:sz w:val="18"/>
              </w:rPr>
              <w:t>If names cannot be hashed on the Foundation's side, linkage runs on the Foundation's computers and only results come back.</w:t>
            </w:r>
          </w:p>
        </w:tc>
      </w:tr>
    </w:tbl>
    <w:p>
      <w:pPr>
        <w:spacing w:after="40"/>
      </w:pPr>
    </w:p>
    <w:p>
      <w:pPr>
        <w:spacing w:after="120"/>
        <w:jc w:val="both"/>
      </w:pPr>
      <w:r>
        <w:t>Technical finding. The stack is open source and the named algorithm has mature reference implementations. The technical constraint is the content of the records, not the software.</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4. Dataset and Data Feasibility</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2592"/>
            <w:shd w:val="clear" w:color="auto" w:fill="EDEDED"/>
          </w:tcPr>
          <w:p>
            <w:r>
              <w:rPr>
                <w:b/>
                <w:sz w:val="18"/>
              </w:rPr>
              <w:t>Requirement</w:t>
            </w:r>
          </w:p>
        </w:tc>
        <w:tc>
          <w:tcPr>
            <w:tcW w:type="dxa" w:w="7632"/>
            <w:shd w:val="clear" w:color="auto" w:fill="EDEDED"/>
          </w:tcPr>
          <w:p>
            <w:r>
              <w:rPr>
                <w:b/>
                <w:sz w:val="18"/>
              </w:rPr>
              <w:t>Current Assessment</w:t>
            </w:r>
          </w:p>
        </w:tc>
      </w:tr>
      <w:tr>
        <w:tc>
          <w:tcPr>
            <w:tcW w:type="dxa" w:w="2592"/>
          </w:tcPr>
          <w:p>
            <w:r>
              <w:rPr>
                <w:sz w:val="18"/>
              </w:rPr>
              <w:t>Dataset name and description</w:t>
            </w:r>
          </w:p>
        </w:tc>
        <w:tc>
          <w:tcPr>
            <w:tcW w:type="dxa" w:w="7632"/>
          </w:tcPr>
          <w:p>
            <w:r>
              <w:rPr>
                <w:sz w:val="18"/>
              </w:rPr>
              <w:t>SM Foundation KSK farmer training records: an opaque record ID, hashed or phonetic name keys, batch number, training site, province, training dates, and crop or training track.</w:t>
            </w:r>
          </w:p>
        </w:tc>
      </w:tr>
      <w:tr>
        <w:tc>
          <w:tcPr>
            <w:tcW w:type="dxa" w:w="2592"/>
          </w:tcPr>
          <w:p>
            <w:r>
              <w:rPr>
                <w:sz w:val="18"/>
              </w:rPr>
              <w:t>Source, owner, and provider</w:t>
            </w:r>
          </w:p>
        </w:tc>
        <w:tc>
          <w:tcPr>
            <w:tcW w:type="dxa" w:w="7632"/>
          </w:tcPr>
          <w:p>
            <w:r>
              <w:rPr>
                <w:sz w:val="18"/>
              </w:rPr>
              <w:t>SM Foundation. Dawn raised the partnership in person at a Foundation volunteering activity on September 21, 2026 and was invited to email the proposal. The proposal letter was emailed to education@sm-foundation.org on September 23, 2026, and a reply is pending.</w:t>
            </w:r>
          </w:p>
        </w:tc>
      </w:tr>
      <w:tr>
        <w:tc>
          <w:tcPr>
            <w:tcW w:type="dxa" w:w="2592"/>
          </w:tcPr>
          <w:p>
            <w:r>
              <w:rPr>
                <w:sz w:val="18"/>
              </w:rPr>
              <w:t>Public link</w:t>
            </w:r>
          </w:p>
        </w:tc>
        <w:tc>
          <w:tcPr>
            <w:tcW w:type="dxa" w:w="7632"/>
          </w:tcPr>
          <w:p>
            <w:r>
              <w:rPr>
                <w:sz w:val="18"/>
              </w:rPr>
              <w:t>No public dataset. The programme page and news coverage are public evidence of the problem, not the data.</w:t>
            </w:r>
          </w:p>
        </w:tc>
      </w:tr>
      <w:tr>
        <w:tc>
          <w:tcPr>
            <w:tcW w:type="dxa" w:w="2592"/>
          </w:tcPr>
          <w:p>
            <w:r>
              <w:rPr>
                <w:sz w:val="18"/>
              </w:rPr>
              <w:t>Data type and file format</w:t>
            </w:r>
          </w:p>
        </w:tc>
        <w:tc>
          <w:tcPr>
            <w:tcW w:type="dxa" w:w="7632"/>
          </w:tcPr>
          <w:p>
            <w:r>
              <w:rPr>
                <w:sz w:val="18"/>
              </w:rPr>
              <w:t>Tabular records; CSV, XLSX, or a database export.</w:t>
            </w:r>
          </w:p>
        </w:tc>
      </w:tr>
      <w:tr>
        <w:tc>
          <w:tcPr>
            <w:tcW w:type="dxa" w:w="2592"/>
          </w:tcPr>
          <w:p>
            <w:r>
              <w:rPr>
                <w:sz w:val="18"/>
              </w:rPr>
              <w:t>Estimated size</w:t>
            </w:r>
          </w:p>
        </w:tc>
        <w:tc>
          <w:tcPr>
            <w:tcW w:type="dxa" w:w="7632"/>
          </w:tcPr>
          <w:p>
            <w:r>
              <w:rPr>
                <w:sz w:val="18"/>
              </w:rPr>
              <w:t>Over 30,000 graduate records across more than 400 batches by the Foundation's own public figures, above the 10,000-record floor.</w:t>
            </w:r>
          </w:p>
        </w:tc>
      </w:tr>
      <w:tr>
        <w:tc>
          <w:tcPr>
            <w:tcW w:type="dxa" w:w="2592"/>
          </w:tcPr>
          <w:p>
            <w:r>
              <w:rPr>
                <w:sz w:val="18"/>
              </w:rPr>
              <w:t>Features and attributes</w:t>
            </w:r>
          </w:p>
        </w:tc>
        <w:tc>
          <w:tcPr>
            <w:tcW w:type="dxa" w:w="7632"/>
          </w:tcPr>
          <w:p>
            <w:r>
              <w:rPr>
                <w:sz w:val="18"/>
              </w:rPr>
              <w:t>Name comparison keys, batch, site, province, training dates, crop or track.</w:t>
            </w:r>
          </w:p>
        </w:tc>
      </w:tr>
      <w:tr>
        <w:tc>
          <w:tcPr>
            <w:tcW w:type="dxa" w:w="2592"/>
          </w:tcPr>
          <w:p>
            <w:r>
              <w:rPr>
                <w:sz w:val="18"/>
              </w:rPr>
              <w:t>Labels and target variables</w:t>
            </w:r>
          </w:p>
        </w:tc>
        <w:tc>
          <w:tcPr>
            <w:tcW w:type="dxa" w:w="7632"/>
          </w:tcPr>
          <w:p>
            <w:r>
              <w:rPr>
                <w:sz w:val="18"/>
              </w:rPr>
              <w:t>A manually reviewed sample of 300 to 500 record pairs labelled as the same farmer or not, requested from the Foundation or built by the group under supervision.</w:t>
            </w:r>
          </w:p>
        </w:tc>
      </w:tr>
      <w:tr>
        <w:tc>
          <w:tcPr>
            <w:tcW w:type="dxa" w:w="2592"/>
          </w:tcPr>
          <w:p>
            <w:r>
              <w:rPr>
                <w:sz w:val="18"/>
              </w:rPr>
              <w:t>Accessibility and collection</w:t>
            </w:r>
          </w:p>
        </w:tc>
        <w:tc>
          <w:tcPr>
            <w:tcW w:type="dxa" w:w="7632"/>
          </w:tcPr>
          <w:p>
            <w:r>
              <w:rPr>
                <w:sz w:val="18"/>
              </w:rPr>
              <w:t>Through the invited proposal. The letter asks only for agreement in principle first; the data request follows separately.</w:t>
            </w:r>
          </w:p>
        </w:tc>
      </w:tr>
      <w:tr>
        <w:tc>
          <w:tcPr>
            <w:tcW w:type="dxa" w:w="2592"/>
          </w:tcPr>
          <w:p>
            <w:r>
              <w:rPr>
                <w:sz w:val="18"/>
              </w:rPr>
              <w:t>Permission and licensing</w:t>
            </w:r>
          </w:p>
        </w:tc>
        <w:tc>
          <w:tcPr>
            <w:tcW w:type="dxa" w:w="7632"/>
          </w:tcPr>
          <w:p>
            <w:r>
              <w:rPr>
                <w:sz w:val="18"/>
              </w:rPr>
              <w:t>Written data-use terms covering access, retention, deletion, and the group's right to publish the method and aggregate findings.</w:t>
            </w:r>
          </w:p>
        </w:tc>
      </w:tr>
      <w:tr>
        <w:tc>
          <w:tcPr>
            <w:tcW w:type="dxa" w:w="2592"/>
          </w:tcPr>
          <w:p>
            <w:r>
              <w:rPr>
                <w:sz w:val="18"/>
              </w:rPr>
              <w:t>Quality, completeness, and bias</w:t>
            </w:r>
          </w:p>
        </w:tc>
        <w:tc>
          <w:tcPr>
            <w:tcW w:type="dxa" w:w="7632"/>
          </w:tcPr>
          <w:p>
            <w:r>
              <w:rPr>
                <w:sz w:val="18"/>
              </w:rPr>
              <w:t>Early batches may be paper only; name spellings vary; married-name changes break surname agreement.</w:t>
            </w:r>
          </w:p>
        </w:tc>
      </w:tr>
      <w:tr>
        <w:tc>
          <w:tcPr>
            <w:tcW w:type="dxa" w:w="2592"/>
          </w:tcPr>
          <w:p>
            <w:r>
              <w:rPr>
                <w:sz w:val="18"/>
              </w:rPr>
              <w:t>Preprocessing and storage</w:t>
            </w:r>
          </w:p>
        </w:tc>
        <w:tc>
          <w:tcPr>
            <w:tcW w:type="dxa" w:w="7632"/>
          </w:tcPr>
          <w:p>
            <w:r>
              <w:rPr>
                <w:sz w:val="18"/>
              </w:rPr>
              <w:t>Standardise sites, provinces, and dates; phonetic-encode names on the Foundation's side; store on encrypted media.</w:t>
            </w:r>
          </w:p>
        </w:tc>
      </w:tr>
      <w:tr>
        <w:tc>
          <w:tcPr>
            <w:tcW w:type="dxa" w:w="2592"/>
          </w:tcPr>
          <w:p>
            <w:r>
              <w:rPr>
                <w:sz w:val="18"/>
              </w:rPr>
              <w:t>Training, validation, testing</w:t>
            </w:r>
          </w:p>
        </w:tc>
        <w:tc>
          <w:tcPr>
            <w:tcW w:type="dxa" w:w="7632"/>
          </w:tcPr>
          <w:p>
            <w:r>
              <w:rPr>
                <w:sz w:val="18"/>
              </w:rPr>
              <w:t>The labelled pair sample is split for threshold tuning and a held-out evaluation.</w:t>
            </w:r>
          </w:p>
        </w:tc>
      </w:tr>
      <w:tr>
        <w:tc>
          <w:tcPr>
            <w:tcW w:type="dxa" w:w="2592"/>
          </w:tcPr>
          <w:p>
            <w:r>
              <w:rPr>
                <w:sz w:val="18"/>
              </w:rPr>
              <w:t>Alternative data plan</w:t>
            </w:r>
          </w:p>
        </w:tc>
        <w:tc>
          <w:tcPr>
            <w:tcW w:type="dxa" w:w="7632"/>
          </w:tcPr>
          <w:p>
            <w:r>
              <w:rPr>
                <w:sz w:val="18"/>
              </w:rPr>
              <w:t>If only part of the history is digital, link the digitised period and state the coverage. If records are paper only, the title does not proceed on this partner.</w:t>
            </w:r>
          </w:p>
        </w:tc>
      </w:tr>
    </w:tbl>
    <w:p>
      <w:pPr>
        <w:spacing w:after="40"/>
      </w:pPr>
    </w:p>
    <w:p>
      <w:pPr>
        <w:spacing w:after="120"/>
        <w:jc w:val="both"/>
      </w:pPr>
      <w:r>
        <w:t>Dataset finding. Feasibility is conditional. The channel is warm and invited rather than cold, but the record format, the digital coverage, and the ground-truth sample are all unconfirmed.</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5. Algorithm or Model Feasibility</w:t>
            </w:r>
          </w:p>
        </w:tc>
      </w:tr>
    </w:tbl>
    <w:p>
      <w:pPr>
        <w:spacing w:after="40"/>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shd w:val="clear" w:color="auto" w:fill="EDEDED"/>
          </w:tcPr>
          <w:p>
            <w:r>
              <w:rPr>
                <w:b/>
                <w:sz w:val="18"/>
              </w:rPr>
              <w:t>Evaluation Area</w:t>
            </w:r>
          </w:p>
        </w:tc>
        <w:tc>
          <w:tcPr>
            <w:tcW w:type="dxa" w:w="2448"/>
            <w:shd w:val="clear" w:color="auto" w:fill="EDEDED"/>
          </w:tcPr>
          <w:p>
            <w:r>
              <w:rPr>
                <w:b/>
                <w:sz w:val="18"/>
              </w:rPr>
              <w:t>Approach 1</w:t>
            </w:r>
          </w:p>
        </w:tc>
        <w:tc>
          <w:tcPr>
            <w:tcW w:type="dxa" w:w="2592"/>
            <w:shd w:val="clear" w:color="auto" w:fill="EDEDED"/>
          </w:tcPr>
          <w:p>
            <w:r>
              <w:rPr>
                <w:b/>
                <w:sz w:val="18"/>
              </w:rPr>
              <w:t>Approach 2</w:t>
            </w:r>
          </w:p>
        </w:tc>
        <w:tc>
          <w:tcPr>
            <w:tcW w:type="dxa" w:w="2880"/>
            <w:shd w:val="clear" w:color="auto" w:fill="EDEDED"/>
          </w:tcPr>
          <w:p>
            <w:r>
              <w:rPr>
                <w:b/>
                <w:sz w:val="18"/>
              </w:rPr>
              <w:t>Approach 3</w:t>
            </w:r>
          </w:p>
        </w:tc>
      </w:tr>
      <w:tr>
        <w:tc>
          <w:tcPr>
            <w:tcW w:type="dxa" w:w="2304"/>
          </w:tcPr>
          <w:p>
            <w:r>
              <w:rPr>
                <w:sz w:val="18"/>
              </w:rPr>
              <w:t>Name of algorithm or approach</w:t>
            </w:r>
          </w:p>
        </w:tc>
        <w:tc>
          <w:tcPr>
            <w:tcW w:type="dxa" w:w="2448"/>
          </w:tcPr>
          <w:p>
            <w:r>
              <w:rPr>
                <w:sz w:val="18"/>
              </w:rPr>
              <w:t>Deterministic exact matching</w:t>
            </w:r>
          </w:p>
        </w:tc>
        <w:tc>
          <w:tcPr>
            <w:tcW w:type="dxa" w:w="2592"/>
          </w:tcPr>
          <w:p>
            <w:r>
              <w:rPr>
                <w:sz w:val="18"/>
              </w:rPr>
              <w:t>Fuzzy string threshold (Jaro-Winkler)</w:t>
            </w:r>
          </w:p>
        </w:tc>
        <w:tc>
          <w:tcPr>
            <w:tcW w:type="dxa" w:w="2880"/>
          </w:tcPr>
          <w:p>
            <w:r>
              <w:rPr>
                <w:sz w:val="18"/>
              </w:rPr>
              <w:t>Fellegi-Sunter probabilistic record linkage</w:t>
            </w:r>
          </w:p>
        </w:tc>
      </w:tr>
      <w:tr>
        <w:tc>
          <w:tcPr>
            <w:tcW w:type="dxa" w:w="2304"/>
          </w:tcPr>
          <w:p>
            <w:r>
              <w:rPr>
                <w:sz w:val="18"/>
              </w:rPr>
              <w:t>Purpose in the proposed project</w:t>
            </w:r>
          </w:p>
        </w:tc>
        <w:tc>
          <w:tcPr>
            <w:tcW w:type="dxa" w:w="2448"/>
          </w:tcPr>
          <w:p>
            <w:r>
              <w:rPr>
                <w:sz w:val="18"/>
              </w:rPr>
              <w:t>Naive baseline</w:t>
            </w:r>
          </w:p>
        </w:tc>
        <w:tc>
          <w:tcPr>
            <w:tcW w:type="dxa" w:w="2592"/>
          </w:tcPr>
          <w:p>
            <w:r>
              <w:rPr>
                <w:sz w:val="18"/>
              </w:rPr>
              <w:t>Common practical baseline</w:t>
            </w:r>
          </w:p>
        </w:tc>
        <w:tc>
          <w:tcPr>
            <w:tcW w:type="dxa" w:w="2880"/>
          </w:tcPr>
          <w:p>
            <w:r>
              <w:rPr>
                <w:sz w:val="18"/>
              </w:rPr>
              <w:t>Primary linkage model</w:t>
            </w:r>
          </w:p>
        </w:tc>
      </w:tr>
      <w:tr>
        <w:tc>
          <w:tcPr>
            <w:tcW w:type="dxa" w:w="2304"/>
          </w:tcPr>
          <w:p>
            <w:r>
              <w:rPr>
                <w:sz w:val="18"/>
              </w:rPr>
              <w:t>Dataset requirements</w:t>
            </w:r>
          </w:p>
        </w:tc>
        <w:tc>
          <w:tcPr>
            <w:tcW w:type="dxa" w:w="2448"/>
          </w:tcPr>
          <w:p>
            <w:r>
              <w:rPr>
                <w:sz w:val="18"/>
              </w:rPr>
              <w:t>Clean identical fields</w:t>
            </w:r>
          </w:p>
        </w:tc>
        <w:tc>
          <w:tcPr>
            <w:tcW w:type="dxa" w:w="2592"/>
          </w:tcPr>
          <w:p>
            <w:r>
              <w:rPr>
                <w:sz w:val="18"/>
              </w:rPr>
              <w:t>One or two name fields</w:t>
            </w:r>
          </w:p>
        </w:tc>
        <w:tc>
          <w:tcPr>
            <w:tcW w:type="dxa" w:w="2880"/>
          </w:tcPr>
          <w:p>
            <w:r>
              <w:rPr>
                <w:sz w:val="18"/>
              </w:rPr>
              <w:t>Several comparison fields; a labelled sample for evaluation</w:t>
            </w:r>
          </w:p>
        </w:tc>
      </w:tr>
      <w:tr>
        <w:tc>
          <w:tcPr>
            <w:tcW w:type="dxa" w:w="2304"/>
          </w:tcPr>
          <w:p>
            <w:r>
              <w:rPr>
                <w:sz w:val="18"/>
              </w:rPr>
              <w:t>Expected performance</w:t>
            </w:r>
          </w:p>
        </w:tc>
        <w:tc>
          <w:tcPr>
            <w:tcW w:type="dxa" w:w="2448"/>
          </w:tcPr>
          <w:p>
            <w:r>
              <w:rPr>
                <w:sz w:val="18"/>
              </w:rPr>
              <w:t>High precision, very low recall on variant names</w:t>
            </w:r>
          </w:p>
        </w:tc>
        <w:tc>
          <w:tcPr>
            <w:tcW w:type="dxa" w:w="2592"/>
          </w:tcPr>
          <w:p>
            <w:r>
              <w:rPr>
                <w:sz w:val="18"/>
              </w:rPr>
              <w:t>Better recall, but the cutoff has no error meaning</w:t>
            </w:r>
          </w:p>
        </w:tc>
        <w:tc>
          <w:tcPr>
            <w:tcW w:type="dxa" w:w="2880"/>
          </w:tcPr>
          <w:p>
            <w:r>
              <w:rPr>
                <w:sz w:val="18"/>
              </w:rPr>
              <w:t>Chosen error rates on both sides</w:t>
            </w:r>
          </w:p>
        </w:tc>
      </w:tr>
      <w:tr>
        <w:tc>
          <w:tcPr>
            <w:tcW w:type="dxa" w:w="2304"/>
          </w:tcPr>
          <w:p>
            <w:r>
              <w:rPr>
                <w:sz w:val="18"/>
              </w:rPr>
              <w:t>Computational requirements</w:t>
            </w:r>
          </w:p>
        </w:tc>
        <w:tc>
          <w:tcPr>
            <w:tcW w:type="dxa" w:w="2448"/>
          </w:tcPr>
          <w:p>
            <w:r>
              <w:rPr>
                <w:sz w:val="18"/>
              </w:rPr>
              <w:t>Low</w:t>
            </w:r>
          </w:p>
        </w:tc>
        <w:tc>
          <w:tcPr>
            <w:tcW w:type="dxa" w:w="2592"/>
          </w:tcPr>
          <w:p>
            <w:r>
              <w:rPr>
                <w:sz w:val="18"/>
              </w:rPr>
              <w:t>Low</w:t>
            </w:r>
          </w:p>
        </w:tc>
        <w:tc>
          <w:tcPr>
            <w:tcW w:type="dxa" w:w="2880"/>
          </w:tcPr>
          <w:p>
            <w:r>
              <w:rPr>
                <w:sz w:val="18"/>
              </w:rPr>
              <w:t>Low to moderate, with blocking</w:t>
            </w:r>
          </w:p>
        </w:tc>
      </w:tr>
      <w:tr>
        <w:tc>
          <w:tcPr>
            <w:tcW w:type="dxa" w:w="2304"/>
          </w:tcPr>
          <w:p>
            <w:r>
              <w:rPr>
                <w:sz w:val="18"/>
              </w:rPr>
              <w:t>Advantages</w:t>
            </w:r>
          </w:p>
        </w:tc>
        <w:tc>
          <w:tcPr>
            <w:tcW w:type="dxa" w:w="2448"/>
          </w:tcPr>
          <w:p>
            <w:r>
              <w:rPr>
                <w:sz w:val="18"/>
              </w:rPr>
              <w:t>Simple and transparent</w:t>
            </w:r>
          </w:p>
        </w:tc>
        <w:tc>
          <w:tcPr>
            <w:tcW w:type="dxa" w:w="2592"/>
          </w:tcPr>
          <w:p>
            <w:r>
              <w:rPr>
                <w:sz w:val="18"/>
              </w:rPr>
              <w:t>Handles spelling variants</w:t>
            </w:r>
          </w:p>
        </w:tc>
        <w:tc>
          <w:tcPr>
            <w:tcW w:type="dxa" w:w="2880"/>
          </w:tcPr>
          <w:p>
            <w:r>
              <w:rPr>
                <w:sz w:val="18"/>
              </w:rPr>
              <w:t>Decision-theoretic; sends only uncertain pairs to review</w:t>
            </w:r>
          </w:p>
        </w:tc>
      </w:tr>
      <w:tr>
        <w:tc>
          <w:tcPr>
            <w:tcW w:type="dxa" w:w="2304"/>
          </w:tcPr>
          <w:p>
            <w:r>
              <w:rPr>
                <w:sz w:val="18"/>
              </w:rPr>
              <w:t>Limitations</w:t>
            </w:r>
          </w:p>
        </w:tc>
        <w:tc>
          <w:tcPr>
            <w:tcW w:type="dxa" w:w="2448"/>
          </w:tcPr>
          <w:p>
            <w:r>
              <w:rPr>
                <w:sz w:val="18"/>
              </w:rPr>
              <w:t>Misses every variant</w:t>
            </w:r>
          </w:p>
        </w:tc>
        <w:tc>
          <w:tcPr>
            <w:tcW w:type="dxa" w:w="2592"/>
          </w:tcPr>
          <w:p>
            <w:r>
              <w:rPr>
                <w:sz w:val="18"/>
              </w:rPr>
              <w:t>Arbitrary cutoff</w:t>
            </w:r>
          </w:p>
        </w:tc>
        <w:tc>
          <w:tcPr>
            <w:tcW w:type="dxa" w:w="2880"/>
          </w:tcPr>
          <w:p>
            <w:r>
              <w:rPr>
                <w:sz w:val="18"/>
              </w:rPr>
              <w:t>Parameter estimation needs care with missing fields</w:t>
            </w:r>
          </w:p>
        </w:tc>
      </w:tr>
      <w:tr>
        <w:tc>
          <w:tcPr>
            <w:tcW w:type="dxa" w:w="2304"/>
          </w:tcPr>
          <w:p>
            <w:r>
              <w:rPr>
                <w:sz w:val="18"/>
              </w:rPr>
              <w:t>Evaluation metrics</w:t>
            </w:r>
          </w:p>
        </w:tc>
        <w:tc>
          <w:tcPr>
            <w:tcW w:type="dxa" w:w="2448"/>
          </w:tcPr>
          <w:p>
            <w:r>
              <w:rPr>
                <w:sz w:val="18"/>
              </w:rPr>
              <w:t>Precision, recall</w:t>
            </w:r>
          </w:p>
        </w:tc>
        <w:tc>
          <w:tcPr>
            <w:tcW w:type="dxa" w:w="2592"/>
          </w:tcPr>
          <w:p>
            <w:r>
              <w:rPr>
                <w:sz w:val="18"/>
              </w:rPr>
              <w:t>Precision, recall</w:t>
            </w:r>
          </w:p>
        </w:tc>
        <w:tc>
          <w:tcPr>
            <w:tcW w:type="dxa" w:w="2880"/>
          </w:tcPr>
          <w:p>
            <w:r>
              <w:rPr>
                <w:sz w:val="18"/>
              </w:rPr>
              <w:t>Precision and recall across thresholds; reduction ratio and pairs completeness for blocking</w:t>
            </w:r>
          </w:p>
        </w:tc>
      </w:tr>
      <w:tr>
        <w:tc>
          <w:tcPr>
            <w:tcW w:type="dxa" w:w="2304"/>
          </w:tcPr>
          <w:p>
            <w:r>
              <w:rPr>
                <w:sz w:val="18"/>
              </w:rPr>
              <w:t>Implementation complexity</w:t>
            </w:r>
          </w:p>
        </w:tc>
        <w:tc>
          <w:tcPr>
            <w:tcW w:type="dxa" w:w="2448"/>
          </w:tcPr>
          <w:p>
            <w:r>
              <w:rPr>
                <w:sz w:val="18"/>
              </w:rPr>
              <w:t>Low</w:t>
            </w:r>
          </w:p>
        </w:tc>
        <w:tc>
          <w:tcPr>
            <w:tcW w:type="dxa" w:w="2592"/>
          </w:tcPr>
          <w:p>
            <w:r>
              <w:rPr>
                <w:sz w:val="18"/>
              </w:rPr>
              <w:t>Low</w:t>
            </w:r>
          </w:p>
        </w:tc>
        <w:tc>
          <w:tcPr>
            <w:tcW w:type="dxa" w:w="2880"/>
          </w:tcPr>
          <w:p>
            <w:r>
              <w:rPr>
                <w:sz w:val="18"/>
              </w:rPr>
              <w:t>Moderate</w:t>
            </w:r>
          </w:p>
        </w:tc>
      </w:tr>
    </w:tbl>
    <w:p>
      <w:pPr>
        <w:spacing w:after="40"/>
      </w:pPr>
    </w:p>
    <w:p>
      <w:pPr>
        <w:spacing w:after="120"/>
        <w:jc w:val="both"/>
      </w:pPr>
      <w:r>
        <w:t>Recommended approach. Fellegi-Sunter is the primary model, because a disclosure figure needs error rates that were chosen rather than a similarity cutoff nobody can defend. Exact matching and a Jaro-Winkler threshold are kept as baselines. Missing fields follow the data-adaptive approach of Li, Xu, and Grannis (2022), and precision and recall are reported separately rather than as a single F-measure, following Hand and Christen (2018).</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6. Operational Feasibility</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2592"/>
            <w:shd w:val="clear" w:color="auto" w:fill="EDEDED"/>
          </w:tcPr>
          <w:p>
            <w:r>
              <w:rPr>
                <w:b/>
                <w:sz w:val="18"/>
              </w:rPr>
              <w:t>Area</w:t>
            </w:r>
          </w:p>
        </w:tc>
        <w:tc>
          <w:tcPr>
            <w:tcW w:type="dxa" w:w="7632"/>
            <w:shd w:val="clear" w:color="auto" w:fill="EDEDED"/>
          </w:tcPr>
          <w:p>
            <w:r>
              <w:rPr>
                <w:b/>
                <w:sz w:val="18"/>
              </w:rPr>
              <w:t>Assessment</w:t>
            </w:r>
          </w:p>
        </w:tc>
      </w:tr>
      <w:tr>
        <w:tc>
          <w:tcPr>
            <w:tcW w:type="dxa" w:w="2592"/>
          </w:tcPr>
          <w:p>
            <w:r>
              <w:rPr>
                <w:sz w:val="18"/>
              </w:rPr>
              <w:t>Target users and stakeholders</w:t>
            </w:r>
          </w:p>
        </w:tc>
        <w:tc>
          <w:tcPr>
            <w:tcW w:type="dxa" w:w="7632"/>
          </w:tcPr>
          <w:p>
            <w:r>
              <w:rPr>
                <w:sz w:val="18"/>
              </w:rPr>
              <w:t>SM Foundation programme and reporting staff; SM Investments' sustainability reporting as a secondary user.</w:t>
            </w:r>
          </w:p>
        </w:tc>
      </w:tr>
      <w:tr>
        <w:tc>
          <w:tcPr>
            <w:tcW w:type="dxa" w:w="2592"/>
          </w:tcPr>
          <w:p>
            <w:r>
              <w:rPr>
                <w:sz w:val="18"/>
              </w:rPr>
              <w:t>Intended operating environment</w:t>
            </w:r>
          </w:p>
        </w:tc>
        <w:tc>
          <w:tcPr>
            <w:tcW w:type="dxa" w:w="7632"/>
          </w:tcPr>
          <w:p>
            <w:r>
              <w:rPr>
                <w:sz w:val="18"/>
              </w:rPr>
              <w:t>Office computers with a browser; the dashboard runs locally.</w:t>
            </w:r>
          </w:p>
        </w:tc>
      </w:tr>
      <w:tr>
        <w:tc>
          <w:tcPr>
            <w:tcW w:type="dxa" w:w="2592"/>
          </w:tcPr>
          <w:p>
            <w:r>
              <w:rPr>
                <w:sz w:val="18"/>
              </w:rPr>
              <w:t>Availability of participants</w:t>
            </w:r>
          </w:p>
        </w:tc>
        <w:tc>
          <w:tcPr>
            <w:tcW w:type="dxa" w:w="7632"/>
          </w:tcPr>
          <w:p>
            <w:r>
              <w:rPr>
                <w:sz w:val="18"/>
              </w:rPr>
              <w:t>A Foundation contact who knows the programme is needed to explain fields and review a sample. The Foundation invited the proposal, but no named participant has yet agreed.</w:t>
            </w:r>
          </w:p>
        </w:tc>
      </w:tr>
      <w:tr>
        <w:tc>
          <w:tcPr>
            <w:tcW w:type="dxa" w:w="2592"/>
          </w:tcPr>
          <w:p>
            <w:r>
              <w:rPr>
                <w:sz w:val="18"/>
              </w:rPr>
              <w:t>User needs and benefits</w:t>
            </w:r>
          </w:p>
        </w:tc>
        <w:tc>
          <w:tcPr>
            <w:tcW w:type="dxa" w:w="7632"/>
          </w:tcPr>
          <w:p>
            <w:r>
              <w:rPr>
                <w:sz w:val="18"/>
              </w:rPr>
              <w:t>A beneficiary figure the Foundation can state and defend, with a documented method.</w:t>
            </w:r>
          </w:p>
        </w:tc>
      </w:tr>
      <w:tr>
        <w:tc>
          <w:tcPr>
            <w:tcW w:type="dxa" w:w="2592"/>
          </w:tcPr>
          <w:p>
            <w:r>
              <w:rPr>
                <w:sz w:val="18"/>
              </w:rPr>
              <w:t>Devices and facilities</w:t>
            </w:r>
          </w:p>
        </w:tc>
        <w:tc>
          <w:tcPr>
            <w:tcW w:type="dxa" w:w="7632"/>
          </w:tcPr>
          <w:p>
            <w:r>
              <w:rPr>
                <w:sz w:val="18"/>
              </w:rPr>
              <w:t>Standard office computers. No procurement.</w:t>
            </w:r>
          </w:p>
        </w:tc>
      </w:tr>
      <w:tr>
        <w:tc>
          <w:tcPr>
            <w:tcW w:type="dxa" w:w="2592"/>
          </w:tcPr>
          <w:p>
            <w:r>
              <w:rPr>
                <w:sz w:val="18"/>
              </w:rPr>
              <w:t>Usability and accessibility</w:t>
            </w:r>
          </w:p>
        </w:tc>
        <w:tc>
          <w:tcPr>
            <w:tcW w:type="dxa" w:w="7632"/>
          </w:tcPr>
          <w:p>
            <w:r>
              <w:rPr>
                <w:sz w:val="18"/>
              </w:rPr>
              <w:t>Plain-language quality report; review queue tested with Foundation staff.</w:t>
            </w:r>
          </w:p>
        </w:tc>
      </w:tr>
      <w:tr>
        <w:tc>
          <w:tcPr>
            <w:tcW w:type="dxa" w:w="2592"/>
          </w:tcPr>
          <w:p>
            <w:r>
              <w:rPr>
                <w:sz w:val="18"/>
              </w:rPr>
              <w:t>Training and support</w:t>
            </w:r>
          </w:p>
        </w:tc>
        <w:tc>
          <w:tcPr>
            <w:tcW w:type="dxa" w:w="7632"/>
          </w:tcPr>
          <w:p>
            <w:r>
              <w:rPr>
                <w:sz w:val="18"/>
              </w:rPr>
              <w:t>A short user guide for rerunning the linkage on new batches.</w:t>
            </w:r>
          </w:p>
        </w:tc>
      </w:tr>
      <w:tr>
        <w:tc>
          <w:tcPr>
            <w:tcW w:type="dxa" w:w="2592"/>
          </w:tcPr>
          <w:p>
            <w:r>
              <w:rPr>
                <w:sz w:val="18"/>
              </w:rPr>
              <w:t>Maintenance</w:t>
            </w:r>
          </w:p>
        </w:tc>
        <w:tc>
          <w:tcPr>
            <w:tcW w:type="dxa" w:w="7632"/>
          </w:tcPr>
          <w:p>
            <w:r>
              <w:rPr>
                <w:sz w:val="18"/>
              </w:rPr>
              <w:t>New batches are linked incrementally against the existing spine.</w:t>
            </w:r>
          </w:p>
        </w:tc>
      </w:tr>
      <w:tr>
        <w:tc>
          <w:tcPr>
            <w:tcW w:type="dxa" w:w="2592"/>
          </w:tcPr>
          <w:p>
            <w:r>
              <w:rPr>
                <w:sz w:val="18"/>
              </w:rPr>
              <w:t>Adoption challenges</w:t>
            </w:r>
          </w:p>
        </w:tc>
        <w:tc>
          <w:tcPr>
            <w:tcW w:type="dxa" w:w="7632"/>
          </w:tcPr>
          <w:p>
            <w:r>
              <w:rPr>
                <w:sz w:val="18"/>
              </w:rPr>
              <w:t>The Foundation may read the result as a correction of its published figures. The study frames it as a measurement improvement, not an error.</w:t>
            </w:r>
          </w:p>
        </w:tc>
      </w:tr>
    </w:tbl>
    <w:p>
      <w:pPr>
        <w:spacing w:after="40"/>
      </w:pPr>
    </w:p>
    <w:p>
      <w:pPr>
        <w:spacing w:after="120"/>
        <w:jc w:val="both"/>
      </w:pPr>
      <w:r>
        <w:t>Operational finding. The Foundation is both the data owner and the user, which keeps the operational path short once it agrees.</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7. Economic Feasibility</w:t>
            </w:r>
          </w:p>
        </w:tc>
      </w:tr>
    </w:tbl>
    <w:p>
      <w:pPr>
        <w:spacing w:after="40"/>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shd w:val="clear" w:color="auto" w:fill="EDEDED"/>
          </w:tcPr>
          <w:p>
            <w:r>
              <w:rPr>
                <w:b/>
                <w:sz w:val="18"/>
              </w:rPr>
              <w:t>Expense</w:t>
            </w:r>
          </w:p>
        </w:tc>
        <w:tc>
          <w:tcPr>
            <w:tcW w:type="dxa" w:w="1872"/>
            <w:shd w:val="clear" w:color="auto" w:fill="EDEDED"/>
          </w:tcPr>
          <w:p>
            <w:r>
              <w:rPr>
                <w:b/>
                <w:sz w:val="18"/>
              </w:rPr>
              <w:t>Estimated Cost</w:t>
            </w:r>
          </w:p>
        </w:tc>
        <w:tc>
          <w:tcPr>
            <w:tcW w:type="dxa" w:w="3024"/>
            <w:shd w:val="clear" w:color="auto" w:fill="EDEDED"/>
          </w:tcPr>
          <w:p>
            <w:r>
              <w:rPr>
                <w:b/>
                <w:sz w:val="18"/>
              </w:rPr>
              <w:t>Purpose</w:t>
            </w:r>
          </w:p>
        </w:tc>
        <w:tc>
          <w:tcPr>
            <w:tcW w:type="dxa" w:w="2736"/>
            <w:shd w:val="clear" w:color="auto" w:fill="EDEDED"/>
          </w:tcPr>
          <w:p>
            <w:r>
              <w:rPr>
                <w:b/>
                <w:sz w:val="18"/>
              </w:rPr>
              <w:t>Possible Alternative</w:t>
            </w:r>
          </w:p>
        </w:tc>
      </w:tr>
      <w:tr>
        <w:tc>
          <w:tcPr>
            <w:tcW w:type="dxa" w:w="2592"/>
          </w:tcPr>
          <w:p>
            <w:r>
              <w:rPr>
                <w:sz w:val="18"/>
              </w:rPr>
              <w:t>Software licences</w:t>
            </w:r>
          </w:p>
        </w:tc>
        <w:tc>
          <w:tcPr>
            <w:tcW w:type="dxa" w:w="1872"/>
          </w:tcPr>
          <w:p>
            <w:r>
              <w:rPr>
                <w:sz w:val="18"/>
              </w:rPr>
              <w:t>PHP 0</w:t>
            </w:r>
          </w:p>
        </w:tc>
        <w:tc>
          <w:tcPr>
            <w:tcW w:type="dxa" w:w="3024"/>
          </w:tcPr>
          <w:p>
            <w:r>
              <w:rPr>
                <w:sz w:val="18"/>
              </w:rPr>
              <w:t>Open-source linkage and dashboard tools</w:t>
            </w:r>
          </w:p>
        </w:tc>
        <w:tc>
          <w:tcPr>
            <w:tcW w:type="dxa" w:w="2736"/>
          </w:tcPr>
          <w:p>
            <w:r>
              <w:rPr>
                <w:sz w:val="18"/>
              </w:rPr>
              <w:t>None needed</w:t>
            </w:r>
          </w:p>
        </w:tc>
      </w:tr>
      <w:tr>
        <w:tc>
          <w:tcPr>
            <w:tcW w:type="dxa" w:w="2592"/>
          </w:tcPr>
          <w:p>
            <w:r>
              <w:rPr>
                <w:sz w:val="18"/>
              </w:rPr>
              <w:t>APIs and subscriptions</w:t>
            </w:r>
          </w:p>
        </w:tc>
        <w:tc>
          <w:tcPr>
            <w:tcW w:type="dxa" w:w="1872"/>
          </w:tcPr>
          <w:p>
            <w:r>
              <w:rPr>
                <w:sz w:val="18"/>
              </w:rPr>
              <w:t>PHP 0</w:t>
            </w:r>
          </w:p>
        </w:tc>
        <w:tc>
          <w:tcPr>
            <w:tcW w:type="dxa" w:w="3024"/>
          </w:tcPr>
          <w:p>
            <w:r>
              <w:rPr>
                <w:sz w:val="18"/>
              </w:rPr>
              <w:t>None</w:t>
            </w:r>
          </w:p>
        </w:tc>
        <w:tc>
          <w:tcPr>
            <w:tcW w:type="dxa" w:w="2736"/>
          </w:tcPr>
          <w:p>
            <w:r>
              <w:rPr>
                <w:sz w:val="18"/>
              </w:rPr>
              <w:t>None</w:t>
            </w:r>
          </w:p>
        </w:tc>
      </w:tr>
      <w:tr>
        <w:tc>
          <w:tcPr>
            <w:tcW w:type="dxa" w:w="2592"/>
          </w:tcPr>
          <w:p>
            <w:r>
              <w:rPr>
                <w:sz w:val="18"/>
              </w:rPr>
              <w:t>Cloud hosting and storage</w:t>
            </w:r>
          </w:p>
        </w:tc>
        <w:tc>
          <w:tcPr>
            <w:tcW w:type="dxa" w:w="1872"/>
          </w:tcPr>
          <w:p>
            <w:r>
              <w:rPr>
                <w:sz w:val="18"/>
              </w:rPr>
              <w:t>PHP 0 to 1,000</w:t>
            </w:r>
          </w:p>
        </w:tc>
        <w:tc>
          <w:tcPr>
            <w:tcW w:type="dxa" w:w="3024"/>
          </w:tcPr>
          <w:p>
            <w:r>
              <w:rPr>
                <w:sz w:val="18"/>
              </w:rPr>
              <w:t>Encrypted storage and optional hosting</w:t>
            </w:r>
          </w:p>
        </w:tc>
        <w:tc>
          <w:tcPr>
            <w:tcW w:type="dxa" w:w="2736"/>
          </w:tcPr>
          <w:p>
            <w:r>
              <w:rPr>
                <w:sz w:val="18"/>
              </w:rPr>
              <w:t>Local deployment</w:t>
            </w:r>
          </w:p>
        </w:tc>
      </w:tr>
      <w:tr>
        <w:tc>
          <w:tcPr>
            <w:tcW w:type="dxa" w:w="2592"/>
          </w:tcPr>
          <w:p>
            <w:r>
              <w:rPr>
                <w:sz w:val="18"/>
              </w:rPr>
              <w:t>Dataset acquisition or annotation</w:t>
            </w:r>
          </w:p>
        </w:tc>
        <w:tc>
          <w:tcPr>
            <w:tcW w:type="dxa" w:w="1872"/>
          </w:tcPr>
          <w:p>
            <w:r>
              <w:rPr>
                <w:sz w:val="18"/>
              </w:rPr>
              <w:t>PHP 0</w:t>
            </w:r>
          </w:p>
        </w:tc>
        <w:tc>
          <w:tcPr>
            <w:tcW w:type="dxa" w:w="3024"/>
          </w:tcPr>
          <w:p>
            <w:r>
              <w:rPr>
                <w:sz w:val="18"/>
              </w:rPr>
              <w:t>Review of labelled pairs by the group</w:t>
            </w:r>
          </w:p>
        </w:tc>
        <w:tc>
          <w:tcPr>
            <w:tcW w:type="dxa" w:w="2736"/>
          </w:tcPr>
          <w:p>
            <w:r>
              <w:rPr>
                <w:sz w:val="18"/>
              </w:rPr>
              <w:t>Foundation-supplied sample</w:t>
            </w:r>
          </w:p>
        </w:tc>
      </w:tr>
      <w:tr>
        <w:tc>
          <w:tcPr>
            <w:tcW w:type="dxa" w:w="2592"/>
          </w:tcPr>
          <w:p>
            <w:r>
              <w:rPr>
                <w:sz w:val="18"/>
              </w:rPr>
              <w:t>Hardware or equipment</w:t>
            </w:r>
          </w:p>
        </w:tc>
        <w:tc>
          <w:tcPr>
            <w:tcW w:type="dxa" w:w="1872"/>
          </w:tcPr>
          <w:p>
            <w:r>
              <w:rPr>
                <w:sz w:val="18"/>
              </w:rPr>
              <w:t>PHP 0</w:t>
            </w:r>
          </w:p>
        </w:tc>
        <w:tc>
          <w:tcPr>
            <w:tcW w:type="dxa" w:w="3024"/>
          </w:tcPr>
          <w:p>
            <w:r>
              <w:rPr>
                <w:sz w:val="18"/>
              </w:rPr>
              <w:t>Existing laptops</w:t>
            </w:r>
          </w:p>
        </w:tc>
        <w:tc>
          <w:tcPr>
            <w:tcW w:type="dxa" w:w="2736"/>
          </w:tcPr>
          <w:p>
            <w:r>
              <w:rPr>
                <w:sz w:val="18"/>
              </w:rPr>
              <w:t>None</w:t>
            </w:r>
          </w:p>
        </w:tc>
      </w:tr>
      <w:tr>
        <w:tc>
          <w:tcPr>
            <w:tcW w:type="dxa" w:w="2592"/>
          </w:tcPr>
          <w:p>
            <w:r>
              <w:rPr>
                <w:sz w:val="18"/>
              </w:rPr>
              <w:t>Transportation and data collection</w:t>
            </w:r>
          </w:p>
        </w:tc>
        <w:tc>
          <w:tcPr>
            <w:tcW w:type="dxa" w:w="1872"/>
          </w:tcPr>
          <w:p>
            <w:r>
              <w:rPr>
                <w:sz w:val="18"/>
              </w:rPr>
              <w:t>PHP 500 to 1,500</w:t>
            </w:r>
          </w:p>
        </w:tc>
        <w:tc>
          <w:tcPr>
            <w:tcW w:type="dxa" w:w="3024"/>
          </w:tcPr>
          <w:p>
            <w:r>
              <w:rPr>
                <w:sz w:val="18"/>
              </w:rPr>
              <w:t>Meetings at the Foundation in Metro Manila</w:t>
            </w:r>
          </w:p>
        </w:tc>
        <w:tc>
          <w:tcPr>
            <w:tcW w:type="dxa" w:w="2736"/>
          </w:tcPr>
          <w:p>
            <w:r>
              <w:rPr>
                <w:sz w:val="18"/>
              </w:rPr>
              <w:t>Online meetings</w:t>
            </w:r>
          </w:p>
        </w:tc>
      </w:tr>
      <w:tr>
        <w:tc>
          <w:tcPr>
            <w:tcW w:type="dxa" w:w="2592"/>
          </w:tcPr>
          <w:p>
            <w:r>
              <w:rPr>
                <w:sz w:val="18"/>
              </w:rPr>
              <w:t>Testing and deployment</w:t>
            </w:r>
          </w:p>
        </w:tc>
        <w:tc>
          <w:tcPr>
            <w:tcW w:type="dxa" w:w="1872"/>
          </w:tcPr>
          <w:p>
            <w:r>
              <w:rPr>
                <w:sz w:val="18"/>
              </w:rPr>
              <w:t>PHP 500</w:t>
            </w:r>
          </w:p>
        </w:tc>
        <w:tc>
          <w:tcPr>
            <w:tcW w:type="dxa" w:w="3024"/>
          </w:tcPr>
          <w:p>
            <w:r>
              <w:rPr>
                <w:sz w:val="18"/>
              </w:rPr>
              <w:t>User review session</w:t>
            </w:r>
          </w:p>
        </w:tc>
        <w:tc>
          <w:tcPr>
            <w:tcW w:type="dxa" w:w="2736"/>
          </w:tcPr>
          <w:p>
            <w:r>
              <w:rPr>
                <w:sz w:val="18"/>
              </w:rPr>
              <w:t>Remote session</w:t>
            </w:r>
          </w:p>
        </w:tc>
      </w:tr>
      <w:tr>
        <w:tc>
          <w:tcPr>
            <w:tcW w:type="dxa" w:w="2592"/>
          </w:tcPr>
          <w:p>
            <w:r>
              <w:rPr>
                <w:sz w:val="18"/>
              </w:rPr>
              <w:t>Contingency expenses</w:t>
            </w:r>
          </w:p>
        </w:tc>
        <w:tc>
          <w:tcPr>
            <w:tcW w:type="dxa" w:w="1872"/>
          </w:tcPr>
          <w:p>
            <w:r>
              <w:rPr>
                <w:sz w:val="18"/>
              </w:rPr>
              <w:t>PHP 1,000</w:t>
            </w:r>
          </w:p>
        </w:tc>
        <w:tc>
          <w:tcPr>
            <w:tcW w:type="dxa" w:w="3024"/>
          </w:tcPr>
          <w:p>
            <w:r>
              <w:rPr>
                <w:sz w:val="18"/>
              </w:rPr>
              <w:t>Unexpected costs</w:t>
            </w:r>
          </w:p>
        </w:tc>
        <w:tc>
          <w:tcPr>
            <w:tcW w:type="dxa" w:w="2736"/>
          </w:tcPr>
          <w:p>
            <w:r>
              <w:rPr>
                <w:sz w:val="18"/>
              </w:rPr>
              <w:t>Reduce optional hosting</w:t>
            </w:r>
          </w:p>
        </w:tc>
      </w:tr>
      <w:tr>
        <w:tc>
          <w:tcPr>
            <w:tcW w:type="dxa" w:w="2592"/>
          </w:tcPr>
          <w:p>
            <w:r>
              <w:rPr>
                <w:sz w:val="18"/>
              </w:rPr>
              <w:t>Total estimated cost</w:t>
            </w:r>
          </w:p>
        </w:tc>
        <w:tc>
          <w:tcPr>
            <w:tcW w:type="dxa" w:w="1872"/>
          </w:tcPr>
          <w:p>
            <w:r>
              <w:rPr>
                <w:sz w:val="18"/>
              </w:rPr>
              <w:t>PHP 2,000 to 4,000</w:t>
            </w:r>
          </w:p>
        </w:tc>
        <w:tc>
          <w:tcPr>
            <w:tcW w:type="dxa" w:w="3024"/>
          </w:tcPr>
          <w:p>
            <w:r>
              <w:rPr>
                <w:sz w:val="18"/>
              </w:rPr>
              <w:t>Working budget range</w:t>
            </w:r>
          </w:p>
        </w:tc>
        <w:tc>
          <w:tcPr>
            <w:tcW w:type="dxa" w:w="2736"/>
          </w:tcPr>
          <w:p>
            <w:r>
              <w:rPr>
                <w:sz w:val="18"/>
              </w:rPr>
              <w:t>Lower bound uses free tiers</w:t>
            </w:r>
          </w:p>
        </w:tc>
      </w:tr>
    </w:tbl>
    <w:p>
      <w:pPr>
        <w:spacing w:after="40"/>
      </w:pPr>
    </w:p>
    <w:p>
      <w:pPr>
        <w:spacing w:after="120"/>
        <w:jc w:val="both"/>
      </w:pPr>
      <w:r>
        <w:t>Economic finding. Low cost. The Foundation is in Metro Manila, so travel is minor.</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8. Schedule Feasibility</w:t>
            </w:r>
          </w:p>
        </w:tc>
      </w:tr>
    </w:tbl>
    <w:p>
      <w:pPr>
        <w:spacing w:after="40"/>
      </w:pPr>
    </w:p>
    <w:tbl>
      <w:tblPr>
        <w:tblStyle w:val="TableGrid"/>
        <w:tblW w:type="auto" w:w="0"/>
        <w:jc w:val="center"/>
        <w:tblLook w:firstColumn="1" w:firstRow="1" w:lastColumn="0" w:lastRow="0" w:noHBand="0" w:noVBand="1" w:val="04A0"/>
      </w:tblPr>
      <w:tblGrid>
        <w:gridCol w:w="3408"/>
        <w:gridCol w:w="3408"/>
        <w:gridCol w:w="3408"/>
      </w:tblGrid>
      <w:tr>
        <w:tc>
          <w:tcPr>
            <w:tcW w:type="dxa" w:w="3312"/>
            <w:shd w:val="clear" w:color="auto" w:fill="EDEDED"/>
          </w:tcPr>
          <w:p>
            <w:r>
              <w:rPr>
                <w:b/>
                <w:sz w:val="18"/>
              </w:rPr>
              <w:t>Activity</w:t>
            </w:r>
          </w:p>
        </w:tc>
        <w:tc>
          <w:tcPr>
            <w:tcW w:type="dxa" w:w="2160"/>
            <w:shd w:val="clear" w:color="auto" w:fill="EDEDED"/>
          </w:tcPr>
          <w:p>
            <w:r>
              <w:rPr>
                <w:b/>
                <w:sz w:val="18"/>
              </w:rPr>
              <w:t>Estimated Duration</w:t>
            </w:r>
          </w:p>
        </w:tc>
        <w:tc>
          <w:tcPr>
            <w:tcW w:type="dxa" w:w="4752"/>
            <w:shd w:val="clear" w:color="auto" w:fill="EDEDED"/>
          </w:tcPr>
          <w:p>
            <w:r>
              <w:rPr>
                <w:b/>
                <w:sz w:val="18"/>
              </w:rPr>
              <w:t>Dependency or Control</w:t>
            </w:r>
          </w:p>
        </w:tc>
      </w:tr>
      <w:tr>
        <w:tc>
          <w:tcPr>
            <w:tcW w:type="dxa" w:w="3312"/>
          </w:tcPr>
          <w:p>
            <w:r>
              <w:rPr>
                <w:sz w:val="18"/>
              </w:rPr>
              <w:t>Requirements gathering</w:t>
            </w:r>
          </w:p>
        </w:tc>
        <w:tc>
          <w:tcPr>
            <w:tcW w:type="dxa" w:w="2160"/>
          </w:tcPr>
          <w:p>
            <w:r>
              <w:rPr>
                <w:sz w:val="18"/>
              </w:rPr>
              <w:t>Weeks 1 to 2</w:t>
            </w:r>
          </w:p>
        </w:tc>
        <w:tc>
          <w:tcPr>
            <w:tcW w:type="dxa" w:w="4752"/>
          </w:tcPr>
          <w:p>
            <w:r>
              <w:rPr>
                <w:sz w:val="18"/>
              </w:rPr>
              <w:t>Coverage questions to the Foundation; feasibility gate</w:t>
            </w:r>
          </w:p>
        </w:tc>
      </w:tr>
      <w:tr>
        <w:tc>
          <w:tcPr>
            <w:tcW w:type="dxa" w:w="3312"/>
          </w:tcPr>
          <w:p>
            <w:r>
              <w:rPr>
                <w:sz w:val="18"/>
              </w:rPr>
              <w:t>Literature and related-study review</w:t>
            </w:r>
          </w:p>
        </w:tc>
        <w:tc>
          <w:tcPr>
            <w:tcW w:type="dxa" w:w="2160"/>
          </w:tcPr>
          <w:p>
            <w:r>
              <w:rPr>
                <w:sz w:val="18"/>
              </w:rPr>
              <w:t>Weeks 1 to 4</w:t>
            </w:r>
          </w:p>
        </w:tc>
        <w:tc>
          <w:tcPr>
            <w:tcW w:type="dxa" w:w="4752"/>
          </w:tcPr>
          <w:p>
            <w:r>
              <w:rPr>
                <w:sz w:val="18"/>
              </w:rPr>
              <w:t>Continues through method design</w:t>
            </w:r>
          </w:p>
        </w:tc>
      </w:tr>
      <w:tr>
        <w:tc>
          <w:tcPr>
            <w:tcW w:type="dxa" w:w="3312"/>
          </w:tcPr>
          <w:p>
            <w:r>
              <w:rPr>
                <w:sz w:val="18"/>
              </w:rPr>
              <w:t>Dataset acquisition</w:t>
            </w:r>
          </w:p>
        </w:tc>
        <w:tc>
          <w:tcPr>
            <w:tcW w:type="dxa" w:w="2160"/>
          </w:tcPr>
          <w:p>
            <w:r>
              <w:rPr>
                <w:sz w:val="18"/>
              </w:rPr>
              <w:t>Weeks 2 to 4</w:t>
            </w:r>
          </w:p>
        </w:tc>
        <w:tc>
          <w:tcPr>
            <w:tcW w:type="dxa" w:w="4752"/>
          </w:tcPr>
          <w:p>
            <w:r>
              <w:rPr>
                <w:sz w:val="18"/>
              </w:rPr>
              <w:t>Decision point in Week 4</w:t>
            </w:r>
          </w:p>
        </w:tc>
      </w:tr>
      <w:tr>
        <w:tc>
          <w:tcPr>
            <w:tcW w:type="dxa" w:w="3312"/>
          </w:tcPr>
          <w:p>
            <w:r>
              <w:rPr>
                <w:sz w:val="18"/>
              </w:rPr>
              <w:t>Data profiling and preprocessing</w:t>
            </w:r>
          </w:p>
        </w:tc>
        <w:tc>
          <w:tcPr>
            <w:tcW w:type="dxa" w:w="2160"/>
          </w:tcPr>
          <w:p>
            <w:r>
              <w:rPr>
                <w:sz w:val="18"/>
              </w:rPr>
              <w:t>Weeks 4 to 6</w:t>
            </w:r>
          </w:p>
        </w:tc>
        <w:tc>
          <w:tcPr>
            <w:tcW w:type="dxa" w:w="4752"/>
          </w:tcPr>
          <w:p>
            <w:r>
              <w:rPr>
                <w:sz w:val="18"/>
              </w:rPr>
              <w:t>Depends on the received format</w:t>
            </w:r>
          </w:p>
        </w:tc>
      </w:tr>
      <w:tr>
        <w:tc>
          <w:tcPr>
            <w:tcW w:type="dxa" w:w="3312"/>
          </w:tcPr>
          <w:p>
            <w:r>
              <w:rPr>
                <w:sz w:val="18"/>
              </w:rPr>
              <w:t>System design</w:t>
            </w:r>
          </w:p>
        </w:tc>
        <w:tc>
          <w:tcPr>
            <w:tcW w:type="dxa" w:w="2160"/>
          </w:tcPr>
          <w:p>
            <w:r>
              <w:rPr>
                <w:sz w:val="18"/>
              </w:rPr>
              <w:t>Weeks 3 to 5</w:t>
            </w:r>
          </w:p>
        </w:tc>
        <w:tc>
          <w:tcPr>
            <w:tcW w:type="dxa" w:w="4752"/>
          </w:tcPr>
          <w:p>
            <w:r>
              <w:rPr>
                <w:sz w:val="18"/>
              </w:rPr>
              <w:t>Pipeline and dashboard flow</w:t>
            </w:r>
          </w:p>
        </w:tc>
      </w:tr>
      <w:tr>
        <w:tc>
          <w:tcPr>
            <w:tcW w:type="dxa" w:w="3312"/>
          </w:tcPr>
          <w:p>
            <w:r>
              <w:rPr>
                <w:sz w:val="18"/>
              </w:rPr>
              <w:t>Model development</w:t>
            </w:r>
          </w:p>
        </w:tc>
        <w:tc>
          <w:tcPr>
            <w:tcW w:type="dxa" w:w="2160"/>
          </w:tcPr>
          <w:p>
            <w:r>
              <w:rPr>
                <w:sz w:val="18"/>
              </w:rPr>
              <w:t>Weeks 5 to 9</w:t>
            </w:r>
          </w:p>
        </w:tc>
        <w:tc>
          <w:tcPr>
            <w:tcW w:type="dxa" w:w="4752"/>
          </w:tcPr>
          <w:p>
            <w:r>
              <w:rPr>
                <w:sz w:val="18"/>
              </w:rPr>
              <w:t>Blocking, comparison, Fellegi-Sunter fit</w:t>
            </w:r>
          </w:p>
        </w:tc>
      </w:tr>
      <w:tr>
        <w:tc>
          <w:tcPr>
            <w:tcW w:type="dxa" w:w="3312"/>
          </w:tcPr>
          <w:p>
            <w:r>
              <w:rPr>
                <w:sz w:val="18"/>
              </w:rPr>
              <w:t>System implementation</w:t>
            </w:r>
          </w:p>
        </w:tc>
        <w:tc>
          <w:tcPr>
            <w:tcW w:type="dxa" w:w="2160"/>
          </w:tcPr>
          <w:p>
            <w:r>
              <w:rPr>
                <w:sz w:val="18"/>
              </w:rPr>
              <w:t>Weeks 6 to 11</w:t>
            </w:r>
          </w:p>
        </w:tc>
        <w:tc>
          <w:tcPr>
            <w:tcW w:type="dxa" w:w="4752"/>
          </w:tcPr>
          <w:p>
            <w:r>
              <w:rPr>
                <w:sz w:val="18"/>
              </w:rPr>
              <w:t>Review queue and dashboard in parallel</w:t>
            </w:r>
          </w:p>
        </w:tc>
      </w:tr>
      <w:tr>
        <w:tc>
          <w:tcPr>
            <w:tcW w:type="dxa" w:w="3312"/>
          </w:tcPr>
          <w:p>
            <w:r>
              <w:rPr>
                <w:sz w:val="18"/>
              </w:rPr>
              <w:t>Evaluation</w:t>
            </w:r>
          </w:p>
        </w:tc>
        <w:tc>
          <w:tcPr>
            <w:tcW w:type="dxa" w:w="2160"/>
          </w:tcPr>
          <w:p>
            <w:r>
              <w:rPr>
                <w:sz w:val="18"/>
              </w:rPr>
              <w:t>Weeks 9 to 13</w:t>
            </w:r>
          </w:p>
        </w:tc>
        <w:tc>
          <w:tcPr>
            <w:tcW w:type="dxa" w:w="4752"/>
          </w:tcPr>
          <w:p>
            <w:r>
              <w:rPr>
                <w:sz w:val="18"/>
              </w:rPr>
              <w:t>Precision and recall on the labelled sample</w:t>
            </w:r>
          </w:p>
        </w:tc>
      </w:tr>
      <w:tr>
        <w:tc>
          <w:tcPr>
            <w:tcW w:type="dxa" w:w="3312"/>
          </w:tcPr>
          <w:p>
            <w:r>
              <w:rPr>
                <w:sz w:val="18"/>
              </w:rPr>
              <w:t>Software and user testing</w:t>
            </w:r>
          </w:p>
        </w:tc>
        <w:tc>
          <w:tcPr>
            <w:tcW w:type="dxa" w:w="2160"/>
          </w:tcPr>
          <w:p>
            <w:r>
              <w:rPr>
                <w:sz w:val="18"/>
              </w:rPr>
              <w:t>Weeks 11 to 14</w:t>
            </w:r>
          </w:p>
        </w:tc>
        <w:tc>
          <w:tcPr>
            <w:tcW w:type="dxa" w:w="4752"/>
          </w:tcPr>
          <w:p>
            <w:r>
              <w:rPr>
                <w:sz w:val="18"/>
              </w:rPr>
              <w:t>Foundation staff review</w:t>
            </w:r>
          </w:p>
        </w:tc>
      </w:tr>
      <w:tr>
        <w:tc>
          <w:tcPr>
            <w:tcW w:type="dxa" w:w="3312"/>
          </w:tcPr>
          <w:p>
            <w:r>
              <w:rPr>
                <w:sz w:val="18"/>
              </w:rPr>
              <w:t>Revision and improvement</w:t>
            </w:r>
          </w:p>
        </w:tc>
        <w:tc>
          <w:tcPr>
            <w:tcW w:type="dxa" w:w="2160"/>
          </w:tcPr>
          <w:p>
            <w:r>
              <w:rPr>
                <w:sz w:val="18"/>
              </w:rPr>
              <w:t>Weeks 14 to 16</w:t>
            </w:r>
          </w:p>
        </w:tc>
        <w:tc>
          <w:tcPr>
            <w:tcW w:type="dxa" w:w="4752"/>
          </w:tcPr>
          <w:p>
            <w:r>
              <w:rPr>
                <w:sz w:val="18"/>
              </w:rPr>
              <w:t>Threshold and report refinement</w:t>
            </w:r>
          </w:p>
        </w:tc>
      </w:tr>
      <w:tr>
        <w:tc>
          <w:tcPr>
            <w:tcW w:type="dxa" w:w="3312"/>
          </w:tcPr>
          <w:p>
            <w:r>
              <w:rPr>
                <w:sz w:val="18"/>
              </w:rPr>
              <w:t>Documentation</w:t>
            </w:r>
          </w:p>
        </w:tc>
        <w:tc>
          <w:tcPr>
            <w:tcW w:type="dxa" w:w="2160"/>
          </w:tcPr>
          <w:p>
            <w:r>
              <w:rPr>
                <w:sz w:val="18"/>
              </w:rPr>
              <w:t>Weeks 4 to 17</w:t>
            </w:r>
          </w:p>
        </w:tc>
        <w:tc>
          <w:tcPr>
            <w:tcW w:type="dxa" w:w="4752"/>
          </w:tcPr>
          <w:p>
            <w:r>
              <w:rPr>
                <w:sz w:val="18"/>
              </w:rPr>
              <w:t>Maintained throughout</w:t>
            </w:r>
          </w:p>
        </w:tc>
      </w:tr>
      <w:tr>
        <w:tc>
          <w:tcPr>
            <w:tcW w:type="dxa" w:w="3312"/>
          </w:tcPr>
          <w:p>
            <w:r>
              <w:rPr>
                <w:sz w:val="18"/>
              </w:rPr>
              <w:t>Deployment and final presentation</w:t>
            </w:r>
          </w:p>
        </w:tc>
        <w:tc>
          <w:tcPr>
            <w:tcW w:type="dxa" w:w="2160"/>
          </w:tcPr>
          <w:p>
            <w:r>
              <w:rPr>
                <w:sz w:val="18"/>
              </w:rPr>
              <w:t>Weeks 17 to 18</w:t>
            </w:r>
          </w:p>
        </w:tc>
        <w:tc>
          <w:tcPr>
            <w:tcW w:type="dxa" w:w="4752"/>
          </w:tcPr>
          <w:p>
            <w:r>
              <w:rPr>
                <w:sz w:val="18"/>
              </w:rPr>
              <w:t>Handover of the linkage layer</w:t>
            </w:r>
          </w:p>
        </w:tc>
      </w:tr>
    </w:tbl>
    <w:p>
      <w:pPr>
        <w:spacing w:after="40"/>
      </w:pPr>
    </w:p>
    <w:p>
      <w:pPr>
        <w:spacing w:after="120"/>
        <w:jc w:val="both"/>
      </w:pPr>
      <w:r>
        <w:t>Activities that may cause delays. The Foundation's reply time and the format of its records. Managed by a Week 4 decision point: proceed if digital records and a hashing arrangement are confirmed; otherwise the group moves to its backup title.</w:t>
      </w:r>
    </w:p>
    <w:p>
      <w:pPr>
        <w:spacing w:after="120"/>
        <w:jc w:val="both"/>
      </w:pPr>
      <w:r>
        <w:t>Schedule finding. Achievable in 18 weeks if the Foundation answers early; the waiting time is the main schedule risk.</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9. Legal and Ethical Feasibility</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2880"/>
            <w:shd w:val="clear" w:color="auto" w:fill="EDEDED"/>
          </w:tcPr>
          <w:p>
            <w:r>
              <w:rPr>
                <w:b/>
                <w:sz w:val="18"/>
              </w:rPr>
              <w:t>Requirement</w:t>
            </w:r>
          </w:p>
        </w:tc>
        <w:tc>
          <w:tcPr>
            <w:tcW w:type="dxa" w:w="7344"/>
            <w:shd w:val="clear" w:color="auto" w:fill="EDEDED"/>
          </w:tcPr>
          <w:p>
            <w:r>
              <w:rPr>
                <w:b/>
                <w:sz w:val="18"/>
              </w:rPr>
              <w:t>Planned Control</w:t>
            </w:r>
          </w:p>
        </w:tc>
      </w:tr>
      <w:tr>
        <w:tc>
          <w:tcPr>
            <w:tcW w:type="dxa" w:w="2880"/>
          </w:tcPr>
          <w:p>
            <w:r>
              <w:rPr>
                <w:sz w:val="18"/>
              </w:rPr>
              <w:t>Data Privacy Act compliance</w:t>
            </w:r>
          </w:p>
        </w:tc>
        <w:tc>
          <w:tcPr>
            <w:tcW w:type="dxa" w:w="7344"/>
          </w:tcPr>
          <w:p>
            <w:r>
              <w:rPr>
                <w:sz w:val="18"/>
              </w:rPr>
              <w:t>Data minimisation: hashed or phonetic name keys only, municipality-level geography, no contact details.</w:t>
            </w:r>
          </w:p>
        </w:tc>
      </w:tr>
      <w:tr>
        <w:tc>
          <w:tcPr>
            <w:tcW w:type="dxa" w:w="2880"/>
          </w:tcPr>
          <w:p>
            <w:r>
              <w:rPr>
                <w:sz w:val="18"/>
              </w:rPr>
              <w:t>Informed consent</w:t>
            </w:r>
          </w:p>
        </w:tc>
        <w:tc>
          <w:tcPr>
            <w:tcW w:type="dxa" w:w="7344"/>
          </w:tcPr>
          <w:p>
            <w:r>
              <w:rPr>
                <w:sz w:val="18"/>
              </w:rPr>
              <w:t>Not needed for de-identified records; obtained for any staff usability session.</w:t>
            </w:r>
          </w:p>
        </w:tc>
      </w:tr>
      <w:tr>
        <w:tc>
          <w:tcPr>
            <w:tcW w:type="dxa" w:w="2880"/>
          </w:tcPr>
          <w:p>
            <w:r>
              <w:rPr>
                <w:sz w:val="18"/>
              </w:rPr>
              <w:t>Research ethics approval</w:t>
            </w:r>
          </w:p>
        </w:tc>
        <w:tc>
          <w:tcPr>
            <w:tcW w:type="dxa" w:w="7344"/>
          </w:tcPr>
          <w:p>
            <w:r>
              <w:rPr>
                <w:sz w:val="18"/>
              </w:rPr>
              <w:t>Exempt classification targeted, holding only if the field exclusions hold.</w:t>
            </w:r>
          </w:p>
        </w:tc>
      </w:tr>
      <w:tr>
        <w:tc>
          <w:tcPr>
            <w:tcW w:type="dxa" w:w="2880"/>
          </w:tcPr>
          <w:p>
            <w:r>
              <w:rPr>
                <w:sz w:val="18"/>
              </w:rPr>
              <w:t>Confidentiality and anonymisation</w:t>
            </w:r>
          </w:p>
        </w:tc>
        <w:tc>
          <w:tcPr>
            <w:tcW w:type="dxa" w:w="7344"/>
          </w:tcPr>
          <w:p>
            <w:r>
              <w:rPr>
                <w:sz w:val="18"/>
              </w:rPr>
              <w:t>4Ps status is means-tested and therefore sensitive personal information under RA 10173; it is excluded even if offered, as are income, household, health, disability, and PhilSys numbers.</w:t>
            </w:r>
          </w:p>
        </w:tc>
      </w:tr>
      <w:tr>
        <w:tc>
          <w:tcPr>
            <w:tcW w:type="dxa" w:w="2880"/>
          </w:tcPr>
          <w:p>
            <w:r>
              <w:rPr>
                <w:sz w:val="18"/>
              </w:rPr>
              <w:t>Intellectual property and copyright</w:t>
            </w:r>
          </w:p>
        </w:tc>
        <w:tc>
          <w:tcPr>
            <w:tcW w:type="dxa" w:w="7344"/>
          </w:tcPr>
          <w:p>
            <w:r>
              <w:rPr>
                <w:sz w:val="18"/>
              </w:rPr>
              <w:t>The linkage layer is handed to the Foundation at no cost; the group keeps the right to publish the method and aggregate findings.</w:t>
            </w:r>
          </w:p>
        </w:tc>
      </w:tr>
      <w:tr>
        <w:tc>
          <w:tcPr>
            <w:tcW w:type="dxa" w:w="2880"/>
          </w:tcPr>
          <w:p>
            <w:r>
              <w:rPr>
                <w:sz w:val="18"/>
              </w:rPr>
              <w:t>Data ownership and sharing restrictions</w:t>
            </w:r>
          </w:p>
        </w:tc>
        <w:tc>
          <w:tcPr>
            <w:tcW w:type="dxa" w:w="7344"/>
          </w:tcPr>
          <w:p>
            <w:r>
              <w:rPr>
                <w:sz w:val="18"/>
              </w:rPr>
              <w:t>Written data-use terms before any transfer; deletion at the end of the study.</w:t>
            </w:r>
          </w:p>
        </w:tc>
      </w:tr>
      <w:tr>
        <w:tc>
          <w:tcPr>
            <w:tcW w:type="dxa" w:w="2880"/>
          </w:tcPr>
          <w:p>
            <w:r>
              <w:rPr>
                <w:sz w:val="18"/>
              </w:rPr>
              <w:t>Cybersecurity</w:t>
            </w:r>
          </w:p>
        </w:tc>
        <w:tc>
          <w:tcPr>
            <w:tcW w:type="dxa" w:w="7344"/>
          </w:tcPr>
          <w:p>
            <w:r>
              <w:rPr>
                <w:sz w:val="18"/>
              </w:rPr>
              <w:t>Encrypted storage, restricted access, audit log.</w:t>
            </w:r>
          </w:p>
        </w:tc>
      </w:tr>
      <w:tr>
        <w:tc>
          <w:tcPr>
            <w:tcW w:type="dxa" w:w="2880"/>
          </w:tcPr>
          <w:p>
            <w:r>
              <w:rPr>
                <w:sz w:val="18"/>
              </w:rPr>
              <w:t>AI fairness, transparency, accountability, bias</w:t>
            </w:r>
          </w:p>
        </w:tc>
        <w:tc>
          <w:tcPr>
            <w:tcW w:type="dxa" w:w="7344"/>
          </w:tcPr>
          <w:p>
            <w:r>
              <w:rPr>
                <w:sz w:val="18"/>
              </w:rPr>
              <w:t>Report linkage error by province and name pattern so that no group is systematically over- or under-counted.</w:t>
            </w:r>
          </w:p>
        </w:tc>
      </w:tr>
      <w:tr>
        <w:tc>
          <w:tcPr>
            <w:tcW w:type="dxa" w:w="2880"/>
          </w:tcPr>
          <w:p>
            <w:r>
              <w:rPr>
                <w:sz w:val="18"/>
              </w:rPr>
              <w:t>Possible misuse or harm</w:t>
            </w:r>
          </w:p>
        </w:tc>
        <w:tc>
          <w:tcPr>
            <w:tcW w:type="dxa" w:w="7344"/>
          </w:tcPr>
          <w:p>
            <w:r>
              <w:rPr>
                <w:sz w:val="18"/>
              </w:rPr>
              <w:t>Batch plus site plus exact date can single out a person; date windows are used where linkage quality allows.</w:t>
            </w:r>
          </w:p>
        </w:tc>
      </w:tr>
    </w:tbl>
    <w:p>
      <w:pPr>
        <w:spacing w:after="40"/>
      </w:pPr>
    </w:p>
    <w:p>
      <w:pPr>
        <w:spacing w:after="120"/>
        <w:jc w:val="both"/>
      </w:pPr>
      <w:r>
        <w:t>Legal and ethical finding. Exempt review is achievable because the group never holds identifiable records, provided the field exclusions are stated in writing and kept.</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10. Risk Assessment and Feasibility Conclusion</w:t>
            </w:r>
          </w:p>
        </w:tc>
      </w:tr>
    </w:tbl>
    <w:p>
      <w:pPr>
        <w:spacing w:after="40"/>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168"/>
            <w:shd w:val="clear" w:color="auto" w:fill="EDEDED"/>
          </w:tcPr>
          <w:p>
            <w:r>
              <w:rPr>
                <w:b/>
                <w:sz w:val="18"/>
              </w:rPr>
              <w:t>Identified Risk</w:t>
            </w:r>
          </w:p>
        </w:tc>
        <w:tc>
          <w:tcPr>
            <w:tcW w:type="dxa" w:w="1296"/>
            <w:shd w:val="clear" w:color="auto" w:fill="EDEDED"/>
          </w:tcPr>
          <w:p>
            <w:r>
              <w:rPr>
                <w:b/>
                <w:sz w:val="18"/>
              </w:rPr>
              <w:t>Likelihood</w:t>
            </w:r>
          </w:p>
        </w:tc>
        <w:tc>
          <w:tcPr>
            <w:tcW w:type="dxa" w:w="1152"/>
            <w:shd w:val="clear" w:color="auto" w:fill="EDEDED"/>
          </w:tcPr>
          <w:p>
            <w:r>
              <w:rPr>
                <w:b/>
                <w:sz w:val="18"/>
              </w:rPr>
              <w:t>Impact</w:t>
            </w:r>
          </w:p>
        </w:tc>
        <w:tc>
          <w:tcPr>
            <w:tcW w:type="dxa" w:w="4608"/>
            <w:shd w:val="clear" w:color="auto" w:fill="EDEDED"/>
          </w:tcPr>
          <w:p>
            <w:r>
              <w:rPr>
                <w:b/>
                <w:sz w:val="18"/>
              </w:rPr>
              <w:t>Mitigation Strategy</w:t>
            </w:r>
          </w:p>
        </w:tc>
      </w:tr>
      <w:tr>
        <w:tc>
          <w:tcPr>
            <w:tcW w:type="dxa" w:w="3168"/>
          </w:tcPr>
          <w:p>
            <w:r>
              <w:rPr>
                <w:sz w:val="18"/>
              </w:rPr>
              <w:t>Records are paper for the early years</w:t>
            </w:r>
          </w:p>
        </w:tc>
        <w:tc>
          <w:tcPr>
            <w:tcW w:type="dxa" w:w="1296"/>
          </w:tcPr>
          <w:p>
            <w:r>
              <w:rPr>
                <w:sz w:val="18"/>
              </w:rPr>
              <w:t>High</w:t>
            </w:r>
          </w:p>
        </w:tc>
        <w:tc>
          <w:tcPr>
            <w:tcW w:type="dxa" w:w="1152"/>
          </w:tcPr>
          <w:p>
            <w:r>
              <w:rPr>
                <w:sz w:val="18"/>
              </w:rPr>
              <w:t>Medium</w:t>
            </w:r>
          </w:p>
        </w:tc>
        <w:tc>
          <w:tcPr>
            <w:tcW w:type="dxa" w:w="4608"/>
          </w:tcPr>
          <w:p>
            <w:r>
              <w:rPr>
                <w:sz w:val="18"/>
              </w:rPr>
              <w:t>Link the digital period and state the coverage</w:t>
            </w:r>
          </w:p>
        </w:tc>
      </w:tr>
      <w:tr>
        <w:tc>
          <w:tcPr>
            <w:tcW w:type="dxa" w:w="3168"/>
          </w:tcPr>
          <w:p>
            <w:r>
              <w:rPr>
                <w:sz w:val="18"/>
              </w:rPr>
              <w:t>No ground-truth sample available</w:t>
            </w:r>
          </w:p>
        </w:tc>
        <w:tc>
          <w:tcPr>
            <w:tcW w:type="dxa" w:w="1296"/>
          </w:tcPr>
          <w:p>
            <w:r>
              <w:rPr>
                <w:sz w:val="18"/>
              </w:rPr>
              <w:t>Medium</w:t>
            </w:r>
          </w:p>
        </w:tc>
        <w:tc>
          <w:tcPr>
            <w:tcW w:type="dxa" w:w="1152"/>
          </w:tcPr>
          <w:p>
            <w:r>
              <w:rPr>
                <w:sz w:val="18"/>
              </w:rPr>
              <w:t>High</w:t>
            </w:r>
          </w:p>
        </w:tc>
        <w:tc>
          <w:tcPr>
            <w:tcW w:type="dxa" w:w="4608"/>
          </w:tcPr>
          <w:p>
            <w:r>
              <w:rPr>
                <w:sz w:val="18"/>
              </w:rPr>
              <w:t>Negotiate the labelled sample as part of the request, or build it under supervision</w:t>
            </w:r>
          </w:p>
        </w:tc>
      </w:tr>
      <w:tr>
        <w:tc>
          <w:tcPr>
            <w:tcW w:type="dxa" w:w="3168"/>
          </w:tcPr>
          <w:p>
            <w:r>
              <w:rPr>
                <w:sz w:val="18"/>
              </w:rPr>
              <w:t>4Ps status arrives in the extract unasked</w:t>
            </w:r>
          </w:p>
        </w:tc>
        <w:tc>
          <w:tcPr>
            <w:tcW w:type="dxa" w:w="1296"/>
          </w:tcPr>
          <w:p>
            <w:r>
              <w:rPr>
                <w:sz w:val="18"/>
              </w:rPr>
              <w:t>Medium</w:t>
            </w:r>
          </w:p>
        </w:tc>
        <w:tc>
          <w:tcPr>
            <w:tcW w:type="dxa" w:w="1152"/>
          </w:tcPr>
          <w:p>
            <w:r>
              <w:rPr>
                <w:sz w:val="18"/>
              </w:rPr>
              <w:t>High</w:t>
            </w:r>
          </w:p>
        </w:tc>
        <w:tc>
          <w:tcPr>
            <w:tcW w:type="dxa" w:w="4608"/>
          </w:tcPr>
          <w:p>
            <w:r>
              <w:rPr>
                <w:sz w:val="18"/>
              </w:rPr>
              <w:t>Exclusion stated in writing; if it arrives, it is not loaded and the adviser is told</w:t>
            </w:r>
          </w:p>
        </w:tc>
      </w:tr>
      <w:tr>
        <w:tc>
          <w:tcPr>
            <w:tcW w:type="dxa" w:w="3168"/>
          </w:tcPr>
          <w:p>
            <w:r>
              <w:rPr>
                <w:sz w:val="18"/>
              </w:rPr>
              <w:t>Foundation reads the pitch as an accusation</w:t>
            </w:r>
          </w:p>
        </w:tc>
        <w:tc>
          <w:tcPr>
            <w:tcW w:type="dxa" w:w="1296"/>
          </w:tcPr>
          <w:p>
            <w:r>
              <w:rPr>
                <w:sz w:val="18"/>
              </w:rPr>
              <w:t>Medium</w:t>
            </w:r>
          </w:p>
        </w:tc>
        <w:tc>
          <w:tcPr>
            <w:tcW w:type="dxa" w:w="1152"/>
          </w:tcPr>
          <w:p>
            <w:r>
              <w:rPr>
                <w:sz w:val="18"/>
              </w:rPr>
              <w:t>High</w:t>
            </w:r>
          </w:p>
        </w:tc>
        <w:tc>
          <w:tcPr>
            <w:tcW w:type="dxa" w:w="4608"/>
          </w:tcPr>
          <w:p>
            <w:r>
              <w:rPr>
                <w:sz w:val="18"/>
              </w:rPr>
              <w:t>Framed as a measurement improvement, not an error</w:t>
            </w:r>
          </w:p>
        </w:tc>
      </w:tr>
      <w:tr>
        <w:tc>
          <w:tcPr>
            <w:tcW w:type="dxa" w:w="3168"/>
          </w:tcPr>
          <w:p>
            <w:r>
              <w:rPr>
                <w:sz w:val="18"/>
              </w:rPr>
              <w:t>Foundation reply is slow</w:t>
            </w:r>
          </w:p>
        </w:tc>
        <w:tc>
          <w:tcPr>
            <w:tcW w:type="dxa" w:w="1296"/>
          </w:tcPr>
          <w:p>
            <w:r>
              <w:rPr>
                <w:sz w:val="18"/>
              </w:rPr>
              <w:t>Medium</w:t>
            </w:r>
          </w:p>
        </w:tc>
        <w:tc>
          <w:tcPr>
            <w:tcW w:type="dxa" w:w="1152"/>
          </w:tcPr>
          <w:p>
            <w:r>
              <w:rPr>
                <w:sz w:val="18"/>
              </w:rPr>
              <w:t>Medium</w:t>
            </w:r>
          </w:p>
        </w:tc>
        <w:tc>
          <w:tcPr>
            <w:tcW w:type="dxa" w:w="4608"/>
          </w:tcPr>
          <w:p>
            <w:r>
              <w:rPr>
                <w:sz w:val="18"/>
              </w:rPr>
              <w:t>Week 4 decision point</w:t>
            </w:r>
          </w:p>
        </w:tc>
      </w:tr>
      <w:tr>
        <w:tc>
          <w:tcPr>
            <w:tcW w:type="dxa" w:w="3168"/>
          </w:tcPr>
          <w:p>
            <w:r>
              <w:rPr>
                <w:sz w:val="18"/>
              </w:rPr>
              <w:t>Project cannot be completed on time</w:t>
            </w:r>
          </w:p>
        </w:tc>
        <w:tc>
          <w:tcPr>
            <w:tcW w:type="dxa" w:w="1296"/>
          </w:tcPr>
          <w:p>
            <w:r>
              <w:rPr>
                <w:sz w:val="18"/>
              </w:rPr>
              <w:t>Low</w:t>
            </w:r>
          </w:p>
        </w:tc>
        <w:tc>
          <w:tcPr>
            <w:tcW w:type="dxa" w:w="1152"/>
          </w:tcPr>
          <w:p>
            <w:r>
              <w:rPr>
                <w:sz w:val="18"/>
              </w:rPr>
              <w:t>High</w:t>
            </w:r>
          </w:p>
        </w:tc>
        <w:tc>
          <w:tcPr>
            <w:tcW w:type="dxa" w:w="4608"/>
          </w:tcPr>
          <w:p>
            <w:r>
              <w:rPr>
                <w:sz w:val="18"/>
              </w:rPr>
              <w:t>Mature libraries; minimum viable dashboard first</w:t>
            </w:r>
          </w:p>
        </w:tc>
      </w:tr>
    </w:tbl>
    <w:p>
      <w:pPr>
        <w:spacing w:after="40"/>
      </w:pPr>
    </w:p>
    <w:p>
      <w:pPr>
        <w:spacing w:after="120"/>
        <w:jc w:val="both"/>
      </w:pPr>
      <w:r>
        <w:t>Conclusion for this title: FEASIBLE WITH MODIFICATIONS.</w:t>
      </w:r>
    </w:p>
    <w:p>
      <w:pPr>
        <w:spacing w:after="120"/>
        <w:jc w:val="both"/>
      </w:pPr>
      <w:r>
        <w:t>Supporting findings. To conclude, the method, the tools, and the cost are all within reach, and the problem is visible in the Foundation's own published figures. The partner channel is warm and the Foundation invited the proposal. However, whether the records are digital, whether names can be hashed on the Foundation's side, and whether a reviewed sample can be built are all unconfirmed, and those decide the title.</w:t>
      </w:r>
    </w:p>
    <w:p>
      <w:pPr>
        <w:keepNext/>
        <w:spacing w:before="160" w:after="80"/>
      </w:pPr>
      <w:r>
        <w:rPr>
          <w:b/>
          <w:sz w:val="22"/>
        </w:rPr>
        <w:t>Provisional Feasibility Score for This Title</w:t>
      </w:r>
    </w:p>
    <w:p>
      <w:pPr>
        <w:spacing w:after="120"/>
        <w:jc w:val="both"/>
      </w:pPr>
      <w:r>
        <w:t>Scores use the activity's 1 to 5 scale, where 5 is highly feasible. The group's ranking across all six titles is carried in the final comparison table.</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val="clear" w:color="auto" w:fill="EDEDED"/>
          </w:tcPr>
          <w:p>
            <w:r>
              <w:rPr>
                <w:b/>
                <w:sz w:val="18"/>
              </w:rPr>
              <w:t>Criterion</w:t>
            </w:r>
          </w:p>
        </w:tc>
        <w:tc>
          <w:tcPr>
            <w:tcW w:type="dxa" w:w="864"/>
            <w:shd w:val="clear" w:color="auto" w:fill="EDEDED"/>
          </w:tcPr>
          <w:p>
            <w:r>
              <w:rPr>
                <w:b/>
                <w:sz w:val="18"/>
              </w:rPr>
              <w:t>Score</w:t>
            </w:r>
          </w:p>
        </w:tc>
        <w:tc>
          <w:tcPr>
            <w:tcW w:type="dxa" w:w="6192"/>
            <w:shd w:val="clear" w:color="auto" w:fill="EDEDED"/>
          </w:tcPr>
          <w:p>
            <w:r>
              <w:rPr>
                <w:b/>
                <w:sz w:val="18"/>
              </w:rPr>
              <w:t>Basis</w:t>
            </w:r>
          </w:p>
        </w:tc>
      </w:tr>
      <w:tr>
        <w:tc>
          <w:tcPr>
            <w:tcW w:type="dxa" w:w="3168"/>
          </w:tcPr>
          <w:p>
            <w:r>
              <w:rPr>
                <w:sz w:val="18"/>
              </w:rPr>
              <w:t>Technical and technology feasibility</w:t>
            </w:r>
          </w:p>
        </w:tc>
        <w:tc>
          <w:tcPr>
            <w:tcW w:type="dxa" w:w="864"/>
          </w:tcPr>
          <w:p>
            <w:r>
              <w:rPr>
                <w:sz w:val="18"/>
              </w:rPr>
              <w:t>4</w:t>
            </w:r>
          </w:p>
        </w:tc>
        <w:tc>
          <w:tcPr>
            <w:tcW w:type="dxa" w:w="6192"/>
          </w:tcPr>
          <w:p>
            <w:r>
              <w:rPr>
                <w:sz w:val="18"/>
              </w:rPr>
              <w:t>Mature open-source linkage libraries</w:t>
            </w:r>
          </w:p>
        </w:tc>
      </w:tr>
      <w:tr>
        <w:tc>
          <w:tcPr>
            <w:tcW w:type="dxa" w:w="3168"/>
          </w:tcPr>
          <w:p>
            <w:r>
              <w:rPr>
                <w:sz w:val="18"/>
              </w:rPr>
              <w:t>Dataset and data feasibility</w:t>
            </w:r>
          </w:p>
        </w:tc>
        <w:tc>
          <w:tcPr>
            <w:tcW w:type="dxa" w:w="864"/>
          </w:tcPr>
          <w:p>
            <w:r>
              <w:rPr>
                <w:sz w:val="18"/>
              </w:rPr>
              <w:t>3</w:t>
            </w:r>
          </w:p>
        </w:tc>
        <w:tc>
          <w:tcPr>
            <w:tcW w:type="dxa" w:w="6192"/>
          </w:tcPr>
          <w:p>
            <w:r>
              <w:rPr>
                <w:sz w:val="18"/>
              </w:rPr>
              <w:t>Warm invited channel, but record format and ground truth unconfirmed</w:t>
            </w:r>
          </w:p>
        </w:tc>
      </w:tr>
      <w:tr>
        <w:tc>
          <w:tcPr>
            <w:tcW w:type="dxa" w:w="3168"/>
          </w:tcPr>
          <w:p>
            <w:r>
              <w:rPr>
                <w:sz w:val="18"/>
              </w:rPr>
              <w:t>Algorithm or model feasibility</w:t>
            </w:r>
          </w:p>
        </w:tc>
        <w:tc>
          <w:tcPr>
            <w:tcW w:type="dxa" w:w="864"/>
          </w:tcPr>
          <w:p>
            <w:r>
              <w:rPr>
                <w:sz w:val="18"/>
              </w:rPr>
              <w:t>5</w:t>
            </w:r>
          </w:p>
        </w:tc>
        <w:tc>
          <w:tcPr>
            <w:tcW w:type="dxa" w:w="6192"/>
          </w:tcPr>
          <w:p>
            <w:r>
              <w:rPr>
                <w:sz w:val="18"/>
              </w:rPr>
              <w:t>Named algorithm with a reference implementation</w:t>
            </w:r>
          </w:p>
        </w:tc>
      </w:tr>
      <w:tr>
        <w:tc>
          <w:tcPr>
            <w:tcW w:type="dxa" w:w="3168"/>
          </w:tcPr>
          <w:p>
            <w:r>
              <w:rPr>
                <w:sz w:val="18"/>
              </w:rPr>
              <w:t>Operational feasibility</w:t>
            </w:r>
          </w:p>
        </w:tc>
        <w:tc>
          <w:tcPr>
            <w:tcW w:type="dxa" w:w="864"/>
          </w:tcPr>
          <w:p>
            <w:r>
              <w:rPr>
                <w:sz w:val="18"/>
              </w:rPr>
              <w:t>4</w:t>
            </w:r>
          </w:p>
        </w:tc>
        <w:tc>
          <w:tcPr>
            <w:tcW w:type="dxa" w:w="6192"/>
          </w:tcPr>
          <w:p>
            <w:r>
              <w:rPr>
                <w:sz w:val="18"/>
              </w:rPr>
              <w:t>The Foundation is the data owner and the user</w:t>
            </w:r>
          </w:p>
        </w:tc>
      </w:tr>
      <w:tr>
        <w:tc>
          <w:tcPr>
            <w:tcW w:type="dxa" w:w="3168"/>
          </w:tcPr>
          <w:p>
            <w:r>
              <w:rPr>
                <w:sz w:val="18"/>
              </w:rPr>
              <w:t>Economic feasibility</w:t>
            </w:r>
          </w:p>
        </w:tc>
        <w:tc>
          <w:tcPr>
            <w:tcW w:type="dxa" w:w="864"/>
          </w:tcPr>
          <w:p>
            <w:r>
              <w:rPr>
                <w:sz w:val="18"/>
              </w:rPr>
              <w:t>5</w:t>
            </w:r>
          </w:p>
        </w:tc>
        <w:tc>
          <w:tcPr>
            <w:tcW w:type="dxa" w:w="6192"/>
          </w:tcPr>
          <w:p>
            <w:r>
              <w:rPr>
                <w:sz w:val="18"/>
              </w:rPr>
              <w:t>No paid tools; partner is in Metro Manila</w:t>
            </w:r>
          </w:p>
        </w:tc>
      </w:tr>
      <w:tr>
        <w:tc>
          <w:tcPr>
            <w:tcW w:type="dxa" w:w="3168"/>
          </w:tcPr>
          <w:p>
            <w:r>
              <w:rPr>
                <w:sz w:val="18"/>
              </w:rPr>
              <w:t>Schedule feasibility</w:t>
            </w:r>
          </w:p>
        </w:tc>
        <w:tc>
          <w:tcPr>
            <w:tcW w:type="dxa" w:w="864"/>
          </w:tcPr>
          <w:p>
            <w:r>
              <w:rPr>
                <w:sz w:val="18"/>
              </w:rPr>
              <w:t>3</w:t>
            </w:r>
          </w:p>
        </w:tc>
        <w:tc>
          <w:tcPr>
            <w:tcW w:type="dxa" w:w="6192"/>
          </w:tcPr>
          <w:p>
            <w:r>
              <w:rPr>
                <w:sz w:val="18"/>
              </w:rPr>
              <w:t>Depends on the Foundation's reply time</w:t>
            </w:r>
          </w:p>
        </w:tc>
      </w:tr>
      <w:tr>
        <w:tc>
          <w:tcPr>
            <w:tcW w:type="dxa" w:w="3168"/>
          </w:tcPr>
          <w:p>
            <w:r>
              <w:rPr>
                <w:sz w:val="18"/>
              </w:rPr>
              <w:t>Legal and ethical feasibility</w:t>
            </w:r>
          </w:p>
        </w:tc>
        <w:tc>
          <w:tcPr>
            <w:tcW w:type="dxa" w:w="864"/>
          </w:tcPr>
          <w:p>
            <w:r>
              <w:rPr>
                <w:sz w:val="18"/>
              </w:rPr>
              <w:t>4</w:t>
            </w:r>
          </w:p>
        </w:tc>
        <w:tc>
          <w:tcPr>
            <w:tcW w:type="dxa" w:w="6192"/>
          </w:tcPr>
          <w:p>
            <w:r>
              <w:rPr>
                <w:sz w:val="18"/>
              </w:rPr>
              <w:t>Exempt only if the field exclusions hold</w:t>
            </w:r>
          </w:p>
        </w:tc>
      </w:tr>
      <w:tr>
        <w:tc>
          <w:tcPr>
            <w:tcW w:type="dxa" w:w="3168"/>
          </w:tcPr>
          <w:p>
            <w:r>
              <w:rPr>
                <w:sz w:val="18"/>
              </w:rPr>
              <w:t>Risk manageability</w:t>
            </w:r>
          </w:p>
        </w:tc>
        <w:tc>
          <w:tcPr>
            <w:tcW w:type="dxa" w:w="864"/>
          </w:tcPr>
          <w:p>
            <w:r>
              <w:rPr>
                <w:sz w:val="18"/>
              </w:rPr>
              <w:t>4</w:t>
            </w:r>
          </w:p>
        </w:tc>
        <w:tc>
          <w:tcPr>
            <w:tcW w:type="dxa" w:w="6192"/>
          </w:tcPr>
          <w:p>
            <w:r>
              <w:rPr>
                <w:sz w:val="18"/>
              </w:rPr>
              <w:t>Clear go and no-go conditions</w:t>
            </w:r>
          </w:p>
        </w:tc>
      </w:tr>
      <w:tr>
        <w:tc>
          <w:tcPr>
            <w:tcW w:type="dxa" w:w="3168"/>
          </w:tcPr>
          <w:p>
            <w:r>
              <w:rPr>
                <w:b/>
                <w:sz w:val="18"/>
              </w:rPr>
              <w:t>Total score</w:t>
            </w:r>
          </w:p>
        </w:tc>
        <w:tc>
          <w:tcPr>
            <w:tcW w:type="dxa" w:w="864"/>
          </w:tcPr>
          <w:p>
            <w:r>
              <w:rPr>
                <w:b/>
                <w:sz w:val="18"/>
              </w:rPr>
              <w:t>32/40</w:t>
            </w:r>
          </w:p>
        </w:tc>
        <w:tc>
          <w:tcPr>
            <w:tcW w:type="dxa" w:w="6192"/>
          </w:tcPr>
          <w:p/>
        </w:tc>
      </w:tr>
      <w:tr>
        <w:tc>
          <w:tcPr>
            <w:tcW w:type="dxa" w:w="3168"/>
          </w:tcPr>
          <w:p>
            <w:r>
              <w:rPr>
                <w:b/>
                <w:sz w:val="18"/>
              </w:rPr>
              <w:t>Group's ranking</w:t>
            </w:r>
          </w:p>
        </w:tc>
        <w:tc>
          <w:tcPr>
            <w:tcW w:type="dxa" w:w="864"/>
          </w:tcPr>
          <w:p>
            <w:r>
              <w:rPr>
                <w:sz w:val="18"/>
              </w:rPr>
              <w:t>4</w:t>
            </w:r>
          </w:p>
        </w:tc>
        <w:tc>
          <w:tcPr>
            <w:tcW w:type="dxa" w:w="6192"/>
          </w:tcPr>
          <w:p>
            <w:r>
              <w:rPr>
                <w:sz w:val="18"/>
              </w:rPr>
              <w:t>See the final comparison table</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Supporting Review of Related Literature and Studies</w:t>
            </w:r>
          </w:p>
        </w:tc>
      </w:tr>
    </w:tbl>
    <w:p>
      <w:pPr>
        <w:spacing w:after="40"/>
      </w:pPr>
    </w:p>
    <w:p>
      <w:pPr>
        <w:keepNext/>
        <w:spacing w:before="40" w:after="80"/>
      </w:pPr>
      <w:r>
        <w:rPr>
          <w:b/>
          <w:sz w:val="22"/>
        </w:rPr>
        <w:t>Proposal Thesis Title</w:t>
      </w:r>
    </w:p>
    <w:p>
      <w:pPr>
        <w:spacing w:after="120"/>
        <w:jc w:val="both"/>
      </w:pPr>
      <w:r>
        <w:rPr>
          <w:b/>
        </w:rPr>
        <w:t>A Data Governance System for Verifiable CSR Impact Reporting Using Fellegi-Sunter Record Linkage</w:t>
      </w:r>
    </w:p>
    <w:p>
      <w:pPr>
        <w:keepNext/>
        <w:spacing w:before="160" w:after="80"/>
      </w:pPr>
      <w:r>
        <w:rPr>
          <w:b/>
          <w:sz w:val="22"/>
        </w:rPr>
        <w:t>Review of Related Literature (RRL/s)</w:t>
      </w:r>
    </w:p>
    <w:p>
      <w:pPr>
        <w:spacing w:after="120"/>
        <w:jc w:val="both"/>
      </w:pPr>
      <w:r>
        <w:rPr>
          <w:sz w:val="18"/>
        </w:rPr>
        <w:t>The RRL helps the group understand the chosen area, the problem being addressed, and the concepts or approaches relevant to the proposed solution.</w:t>
      </w:r>
    </w:p>
    <w:p>
      <w:pPr>
        <w:keepNext/>
        <w:spacing w:before="80" w:after="80"/>
      </w:pPr>
      <w:r>
        <w:rPr>
          <w:b/>
          <w:sz w:val="20"/>
        </w:rPr>
        <w:t>Local Literatures:</w:t>
      </w:r>
    </w:p>
    <w:p>
      <w:pPr>
        <w:keepNext/>
        <w:spacing w:before="120" w:after="40"/>
        <w:ind w:left="432" w:hanging="432"/>
      </w:pPr>
      <w:r>
        <w:t>1.</w:t>
        <w:tab/>
      </w:r>
      <w:r>
        <w:rPr>
          <w:b/>
        </w:rPr>
        <w:t>Republic Act No. 11055, the Philippine Identification System Act</w:t>
      </w:r>
    </w:p>
    <w:p>
      <w:pPr>
        <w:spacing w:after="40"/>
        <w:ind w:left="432"/>
        <w:jc w:val="both"/>
      </w:pPr>
      <w:r>
        <w:rPr>
          <w:b/>
        </w:rPr>
        <w:t>Description / Summary (Local Literature).</w:t>
      </w:r>
      <w:r>
        <w:t xml:space="preserve"> The law established the Philippine Identification System, a single national identification system for citizens and resident aliens with a unique PhilSys Number for each registered person. It recognises that fragmented identification across many agencies creates inefficiency, and it includes provisions protecting registered information from unauthorised disclosure.</w:t>
      </w:r>
    </w:p>
    <w:p>
      <w:pPr>
        <w:spacing w:after="40"/>
        <w:ind w:left="432"/>
        <w:jc w:val="both"/>
      </w:pPr>
      <w:r>
        <w:rPr>
          <w:b/>
        </w:rPr>
        <w:t>Relevance to the proposed study.</w:t>
      </w:r>
      <w:r>
        <w:t xml:space="preserve"> It shows that the lack of a common identifier across records is a recognised Philippine problem. It also explains why the proposed study will not request PhilSys numbers, and will instead build the link from the fields the Foundation already keeps.</w:t>
      </w:r>
    </w:p>
    <w:p>
      <w:pPr>
        <w:spacing w:after="40"/>
        <w:ind w:left="432"/>
        <w:jc w:val="left"/>
      </w:pPr>
      <w:r>
        <w:t>Source: https://lawphil.net/statutes/repacts/ra2018/ra_11055_2018.html</w:t>
      </w:r>
    </w:p>
    <w:p>
      <w:pPr>
        <w:spacing w:before="120" w:after="40"/>
        <w:ind w:left="432" w:hanging="432"/>
      </w:pPr>
      <w:r>
        <w:t>2.</w:t>
        <w:tab/>
      </w:r>
      <w:r>
        <w:rPr>
          <w:highlight w:val="yellow"/>
        </w:rPr>
        <w:t>[Open slot: add one local literature here.]</w:t>
      </w:r>
    </w:p>
    <w:p>
      <w:pPr>
        <w:spacing w:before="120" w:after="40"/>
        <w:ind w:left="432" w:hanging="432"/>
      </w:pPr>
      <w:r>
        <w:t>3.</w:t>
        <w:tab/>
      </w:r>
      <w:r>
        <w:rPr>
          <w:highlight w:val="yellow"/>
        </w:rPr>
        <w:t>[Open slot: add one local literature here.]</w:t>
      </w:r>
    </w:p>
    <w:p>
      <w:pPr>
        <w:spacing w:before="120" w:after="40"/>
        <w:ind w:left="432" w:hanging="432"/>
      </w:pPr>
      <w:r>
        <w:t>4.</w:t>
        <w:tab/>
      </w:r>
      <w:r>
        <w:rPr>
          <w:highlight w:val="yellow"/>
        </w:rPr>
        <w:t>[Open slot: add one local literature here.]</w:t>
      </w:r>
    </w:p>
    <w:p>
      <w:pPr>
        <w:spacing w:before="120" w:after="40"/>
        <w:ind w:left="432" w:hanging="432"/>
      </w:pPr>
      <w:r>
        <w:t>5.</w:t>
        <w:tab/>
      </w:r>
      <w:r>
        <w:rPr>
          <w:highlight w:val="yellow"/>
        </w:rPr>
        <w:t>[Open slot: add one local literature here.]</w:t>
      </w:r>
    </w:p>
    <w:p>
      <w:pPr>
        <w:keepNext/>
        <w:spacing w:before="80" w:after="80"/>
      </w:pPr>
      <w:r>
        <w:rPr>
          <w:b/>
          <w:sz w:val="20"/>
        </w:rPr>
        <w:t>Foreign Literatures:</w:t>
      </w:r>
    </w:p>
    <w:p>
      <w:pPr>
        <w:keepNext/>
        <w:spacing w:before="120" w:after="40"/>
        <w:ind w:left="432" w:hanging="432"/>
      </w:pPr>
      <w:r>
        <w:t>6.</w:t>
        <w:tab/>
      </w:r>
      <w:r>
        <w:rPr>
          <w:b/>
        </w:rPr>
        <w:t>A Theory for Record Linkage</w:t>
      </w:r>
    </w:p>
    <w:p>
      <w:pPr>
        <w:spacing w:after="40"/>
        <w:ind w:left="432"/>
        <w:jc w:val="both"/>
      </w:pPr>
      <w:r>
        <w:rPr>
          <w:b/>
        </w:rPr>
        <w:t>Description / Summary (Foreign Literature).</w:t>
      </w:r>
      <w:r>
        <w:t xml:space="preserve"> Fellegi and Sunter (1969) gave record linkage its formal decision-theoretic foundation. Every pair of records is compared field by field, and the pattern of agreements is used to place the pair into one of three groups: a link, a possible link that needs a human to decide, or a non-link. They showed that the best rule is based on a ratio of how likely that agreement pattern is among true matches versus non-matches, and that this rule keeps the number of pairs sent for manual review as small as possible for the two error rates the user chooses.</w:t>
      </w:r>
    </w:p>
    <w:p>
      <w:pPr>
        <w:spacing w:after="40"/>
        <w:ind w:left="432"/>
        <w:jc w:val="both"/>
      </w:pPr>
      <w:r>
        <w:rPr>
          <w:b/>
        </w:rPr>
        <w:t>Relevance to the proposed study.</w:t>
      </w:r>
      <w:r>
        <w:t xml:space="preserve"> It is the algorithm named in the proposed title, and it is what allows the system to attach chosen error rates to the beneficiary count instead of relying on an arbitrary similarity cutoff.</w:t>
      </w:r>
    </w:p>
    <w:p>
      <w:pPr>
        <w:spacing w:after="40"/>
        <w:ind w:left="432"/>
        <w:jc w:val="left"/>
      </w:pPr>
      <w:r>
        <w:t>Source: https://doi.org/10.1080/01621459.1969.10501049</w:t>
      </w:r>
    </w:p>
    <w:p>
      <w:pPr>
        <w:keepNext/>
        <w:spacing w:before="120" w:after="40"/>
        <w:ind w:left="432" w:hanging="432"/>
      </w:pPr>
      <w:r>
        <w:t>7.</w:t>
        <w:tab/>
      </w:r>
      <w:r>
        <w:rPr>
          <w:b/>
        </w:rPr>
        <w:t>Quality and Complexity Measures for Data Linkage and Deduplication</w:t>
      </w:r>
    </w:p>
    <w:p>
      <w:pPr>
        <w:spacing w:after="40"/>
        <w:ind w:left="432"/>
        <w:jc w:val="both"/>
      </w:pPr>
      <w:r>
        <w:rPr>
          <w:b/>
        </w:rPr>
        <w:t>Description / Summary (Foreign Literature).</w:t>
      </w:r>
      <w:r>
        <w:t xml:space="preserve"> Christen and Goiser (2007) examined how the quality and the cost of linkage and deduplication should be measured. They discussed measures for blocking, such as how much the number of candidate pairs is reduced and how many true matches survive that reduction, and they warned that some common classification measures become misleading because non-matching pairs vastly outnumber matching ones.</w:t>
      </w:r>
    </w:p>
    <w:p>
      <w:pPr>
        <w:spacing w:after="40"/>
        <w:ind w:left="432"/>
        <w:jc w:val="both"/>
      </w:pPr>
      <w:r>
        <w:rPr>
          <w:b/>
        </w:rPr>
        <w:t>Relevance to the proposed study.</w:t>
      </w:r>
      <w:r>
        <w:t xml:space="preserve"> It supplies the evaluation measures for the blocking and classification modules, so the system's results can be reported in the terms used by the record linkage field.</w:t>
      </w:r>
    </w:p>
    <w:p>
      <w:pPr>
        <w:spacing w:after="40"/>
        <w:ind w:left="432"/>
        <w:jc w:val="left"/>
      </w:pPr>
      <w:r>
        <w:t>Source: https://doi.org/10.1007/978-3-540-44918-8_6</w:t>
      </w:r>
    </w:p>
    <w:p>
      <w:pPr>
        <w:keepNext/>
        <w:spacing w:before="120" w:after="40"/>
        <w:ind w:left="432" w:hanging="432"/>
      </w:pPr>
      <w:r>
        <w:t>8.</w:t>
        <w:tab/>
      </w:r>
      <w:r>
        <w:rPr>
          <w:b/>
        </w:rPr>
        <w:t>(Almost) All of Entity Resolution</w:t>
      </w:r>
    </w:p>
    <w:p>
      <w:pPr>
        <w:spacing w:after="40"/>
        <w:ind w:left="432"/>
        <w:jc w:val="both"/>
      </w:pPr>
      <w:r>
        <w:rPr>
          <w:b/>
        </w:rPr>
        <w:t>Description / Summary (Foreign Literature).</w:t>
      </w:r>
      <w:r>
        <w:t xml:space="preserve"> Binette and Steorts (2022) reviewed entity resolution, the task of finding which records refer to the same real-world entity when no shared unique identifier exists. The review walks through the stages of a typical pipeline, from blocking and comparison to classification and evaluation, and compares probabilistic, machine learning and Bayesian approaches.</w:t>
      </w:r>
    </w:p>
    <w:p>
      <w:pPr>
        <w:spacing w:after="40"/>
        <w:ind w:left="432"/>
        <w:jc w:val="both"/>
      </w:pPr>
      <w:r>
        <w:rPr>
          <w:b/>
        </w:rPr>
        <w:t>Relevance to the proposed study.</w:t>
      </w:r>
      <w:r>
        <w:t xml:space="preserve"> It frames the proposed system within the wider entity resolution field and supports the design of the system as a pipeline of separate blocking, comparison and classification modules.</w:t>
      </w:r>
    </w:p>
    <w:p>
      <w:pPr>
        <w:spacing w:after="40"/>
        <w:ind w:left="432"/>
        <w:jc w:val="left"/>
      </w:pPr>
      <w:r>
        <w:t>Source: https://doi.org/10.1126/sciadv.abi8021</w:t>
      </w:r>
    </w:p>
    <w:p>
      <w:pPr>
        <w:keepNext/>
        <w:spacing w:before="120" w:after="40"/>
        <w:ind w:left="432" w:hanging="432"/>
      </w:pPr>
      <w:r>
        <w:t>9.</w:t>
        <w:tab/>
      </w:r>
      <w:r>
        <w:rPr>
          <w:b/>
        </w:rPr>
        <w:t>Challenges in Administrative Data Linkage for Research</w:t>
      </w:r>
    </w:p>
    <w:p>
      <w:pPr>
        <w:spacing w:after="40"/>
        <w:ind w:left="432"/>
        <w:jc w:val="both"/>
      </w:pPr>
      <w:r>
        <w:rPr>
          <w:b/>
        </w:rPr>
        <w:t>Description / Summary (Foreign Literature).</w:t>
      </w:r>
      <w:r>
        <w:t xml:space="preserve"> Harron et al. (2017) discussed the problems that arise when administrative records are linked for research. A central concern is bias from linkage errors, where records that belong together are missed or records that do not belong together are joined, and the authors argue for transparent reporting of linkage quality alongside the results.</w:t>
      </w:r>
    </w:p>
    <w:p>
      <w:pPr>
        <w:spacing w:after="40"/>
        <w:ind w:left="432"/>
        <w:jc w:val="both"/>
      </w:pPr>
      <w:r>
        <w:rPr>
          <w:b/>
        </w:rPr>
        <w:t>Relevance to the proposed study.</w:t>
      </w:r>
      <w:r>
        <w:t xml:space="preserve"> It supports the system's requirement to report its beneficiary count with a stated uncertainty and a linkage quality report, instead of presenting a single number as exact.</w:t>
      </w:r>
    </w:p>
    <w:p>
      <w:pPr>
        <w:spacing w:after="40"/>
        <w:ind w:left="432"/>
        <w:jc w:val="left"/>
      </w:pPr>
      <w:r>
        <w:t>Source: https://doi.org/10.1177/2053951717745678</w:t>
      </w:r>
    </w:p>
    <w:p>
      <w:pPr>
        <w:spacing w:before="120" w:after="40"/>
        <w:ind w:left="432" w:hanging="432"/>
      </w:pPr>
      <w:r>
        <w:t>10.</w:t>
        <w:tab/>
      </w:r>
      <w:r>
        <w:rPr>
          <w:highlight w:val="yellow"/>
        </w:rPr>
        <w:t>[Open slot: add one foreign literature here.]</w:t>
      </w:r>
    </w:p>
    <w:p>
      <w:pPr>
        <w:keepNext/>
        <w:spacing w:before="160" w:after="80"/>
      </w:pPr>
      <w:r>
        <w:rPr>
          <w:b/>
          <w:sz w:val="22"/>
        </w:rPr>
        <w:t>Review of Related Studies (RRS/s)</w:t>
      </w:r>
    </w:p>
    <w:p>
      <w:pPr>
        <w:spacing w:after="120"/>
        <w:jc w:val="both"/>
      </w:pPr>
      <w:r>
        <w:rPr>
          <w:sz w:val="18"/>
        </w:rPr>
        <w:t>The RRS focuses on existing research, systems, applications, or projects that address a problem similar to the one the group wants to solve.</w:t>
      </w:r>
    </w:p>
    <w:p>
      <w:pPr>
        <w:keepNext/>
        <w:spacing w:before="80" w:after="80"/>
      </w:pPr>
      <w:r>
        <w:rPr>
          <w:b/>
          <w:sz w:val="20"/>
        </w:rPr>
        <w:t>Local Studies:</w:t>
      </w:r>
    </w:p>
    <w:p>
      <w:pPr>
        <w:keepNext/>
        <w:spacing w:before="120" w:after="40"/>
        <w:ind w:left="432" w:hanging="432"/>
      </w:pPr>
      <w:r>
        <w:t>1.</w:t>
        <w:tab/>
      </w:r>
      <w:r>
        <w:rPr>
          <w:b/>
        </w:rPr>
        <w:t>Enhancing CRVS Data Quality and Inclusivity through Integration with PhilSys</w:t>
      </w:r>
    </w:p>
    <w:p>
      <w:pPr>
        <w:spacing w:after="40"/>
        <w:ind w:left="432"/>
        <w:jc w:val="both"/>
      </w:pPr>
      <w:r>
        <w:rPr>
          <w:b/>
        </w:rPr>
        <w:t>Description / Summary (Local Study).</w:t>
      </w:r>
      <w:r>
        <w:t xml:space="preserve"> Du (2026), writing from the Philippine Statistics Authority, assessed early efforts to integrate civil registration with the Philippine Identification System in selected local government units. The paper identifies duplicate records as a persistent data quality problem and describes how PhilSys numbers and authentication can support record verification and reduce duplication. It found that structured verification, coordination between agencies and capacity-building were the key enablers.</w:t>
      </w:r>
    </w:p>
    <w:p>
      <w:pPr>
        <w:spacing w:after="40"/>
        <w:ind w:left="432"/>
        <w:jc w:val="both"/>
      </w:pPr>
      <w:r>
        <w:rPr>
          <w:b/>
        </w:rPr>
        <w:t>Relevance to the proposed study.</w:t>
      </w:r>
      <w:r>
        <w:t xml:space="preserve"> It is Philippine evidence that duplicate records are a recognised national data quality problem. The proposed study addresses the same problem for a programme where no shared identifier exists.</w:t>
      </w:r>
    </w:p>
    <w:p>
      <w:pPr>
        <w:spacing w:after="40"/>
        <w:ind w:left="432"/>
        <w:jc w:val="left"/>
      </w:pPr>
      <w:r>
        <w:t>Source: https://getinthepicture.org/system/files/sites/default/files/B1_Session%203.2_102_Du_Paper_0.pdf</w:t>
      </w:r>
    </w:p>
    <w:p>
      <w:pPr>
        <w:keepNext/>
        <w:spacing w:before="120" w:after="40"/>
        <w:ind w:left="432" w:hanging="432"/>
      </w:pPr>
      <w:r>
        <w:t>2.</w:t>
        <w:tab/>
      </w:r>
      <w:r>
        <w:rPr>
          <w:b/>
        </w:rPr>
        <w:t>Development and Implementation of an Interoperable Local Health Information Exchange Platform for the Attainment of Universal Health Coverage in the Philippines</w:t>
      </w:r>
    </w:p>
    <w:p>
      <w:pPr>
        <w:spacing w:after="40"/>
        <w:ind w:left="432"/>
        <w:jc w:val="both"/>
      </w:pPr>
      <w:r>
        <w:rPr>
          <w:b/>
        </w:rPr>
        <w:t>Description / Summary (Local Study).</w:t>
      </w:r>
      <w:r>
        <w:t xml:space="preserve"> Zuniga, Carpio and Tayam (2026) described SMILHIS, an open-source health information exchange deployed in three Philippine local government units using the HL7 FHIR standard. It includes a client registry that serves as a central identity record for patients, and the authors propose PhilSys as the primary registry so that patient records can be deduplicated across facilities.</w:t>
      </w:r>
    </w:p>
    <w:p>
      <w:pPr>
        <w:spacing w:after="40"/>
        <w:ind w:left="432"/>
        <w:jc w:val="both"/>
      </w:pPr>
      <w:r>
        <w:rPr>
          <w:b/>
        </w:rPr>
        <w:t>Relevance to the proposed study.</w:t>
      </w:r>
      <w:r>
        <w:t xml:space="preserve"> It shows a Philippine system that needed a single identity record to stop the same person being counted in several places. The proposed study builds that kind of record for a programme through probabilistic linkage.</w:t>
      </w:r>
    </w:p>
    <w:p>
      <w:pPr>
        <w:spacing w:after="40"/>
        <w:ind w:left="432"/>
        <w:jc w:val="left"/>
      </w:pPr>
      <w:r>
        <w:t>Source: https://doi.org/10.3389/fdgth.2025.1650273</w:t>
      </w:r>
    </w:p>
    <w:p>
      <w:pPr>
        <w:spacing w:before="120" w:after="40"/>
        <w:ind w:left="432" w:hanging="432"/>
      </w:pPr>
      <w:r>
        <w:t>3.</w:t>
        <w:tab/>
      </w:r>
      <w:r>
        <w:rPr>
          <w:highlight w:val="yellow"/>
        </w:rPr>
        <w:t>[Open slot: add one local study here.]</w:t>
      </w:r>
    </w:p>
    <w:p>
      <w:pPr>
        <w:spacing w:before="120" w:after="40"/>
        <w:ind w:left="432" w:hanging="432"/>
      </w:pPr>
      <w:r>
        <w:t>4.</w:t>
        <w:tab/>
      </w:r>
      <w:r>
        <w:rPr>
          <w:highlight w:val="yellow"/>
        </w:rPr>
        <w:t>[Open slot: add one local study here.]</w:t>
      </w:r>
    </w:p>
    <w:p>
      <w:pPr>
        <w:spacing w:before="120" w:after="40"/>
        <w:ind w:left="432" w:hanging="432"/>
      </w:pPr>
      <w:r>
        <w:t>5.</w:t>
        <w:tab/>
      </w:r>
      <w:r>
        <w:rPr>
          <w:highlight w:val="yellow"/>
        </w:rPr>
        <w:t>[Open slot: add one local study here.]</w:t>
      </w:r>
    </w:p>
    <w:p>
      <w:pPr>
        <w:keepNext/>
        <w:spacing w:before="80" w:after="80"/>
      </w:pPr>
      <w:r>
        <w:rPr>
          <w:b/>
          <w:sz w:val="20"/>
        </w:rPr>
        <w:t>Foreign Studies:</w:t>
      </w:r>
    </w:p>
    <w:p>
      <w:pPr>
        <w:keepNext/>
        <w:spacing w:before="120" w:after="40"/>
        <w:ind w:left="432" w:hanging="432"/>
      </w:pPr>
      <w:r>
        <w:t>6.</w:t>
        <w:tab/>
      </w:r>
      <w:r>
        <w:rPr>
          <w:b/>
        </w:rPr>
        <w:t>Using a Probabilistic Model to Assist Merging of Large-Scale Administrative Records</w:t>
      </w:r>
    </w:p>
    <w:p>
      <w:pPr>
        <w:spacing w:after="40"/>
        <w:ind w:left="432"/>
        <w:jc w:val="both"/>
      </w:pPr>
      <w:r>
        <w:rPr>
          <w:b/>
        </w:rPr>
        <w:t>Description / Summary (Foreign Study).</w:t>
      </w:r>
      <w:r>
        <w:t xml:space="preserve"> Enamorado, Fifield and Imai (2019) developed fastLink, a fast and scalable implementation of the Fellegi-Sunter model. It handles millions of records while accounting for missing data and measurement error, and it carries uncertainty about the merge into later analysis. They tested it through simulations and applied it to campaign contribution records, survey data and nationwide voter files.</w:t>
      </w:r>
    </w:p>
    <w:p>
      <w:pPr>
        <w:spacing w:after="40"/>
        <w:ind w:left="432"/>
        <w:jc w:val="both"/>
      </w:pPr>
      <w:r>
        <w:rPr>
          <w:b/>
        </w:rPr>
        <w:t>Relevance to the proposed study.</w:t>
      </w:r>
      <w:r>
        <w:t xml:space="preserve"> It shows the Fellegi-Sunter model working at a scale larger than the KSK records and gives the study an open-source reference implementation to compare against.</w:t>
      </w:r>
    </w:p>
    <w:p>
      <w:pPr>
        <w:spacing w:after="40"/>
        <w:ind w:left="432"/>
        <w:jc w:val="left"/>
      </w:pPr>
      <w:r>
        <w:t>Source: https://doi.org/10.1017/S0003055418000783</w:t>
      </w:r>
    </w:p>
    <w:p>
      <w:pPr>
        <w:keepNext/>
        <w:spacing w:before="120" w:after="40"/>
        <w:ind w:left="432" w:hanging="432"/>
      </w:pPr>
      <w:r>
        <w:t>7.</w:t>
        <w:tab/>
      </w:r>
      <w:r>
        <w:rPr>
          <w:b/>
        </w:rPr>
        <w:t>The Data-Adaptive Fellegi-Sunter Model for Probabilistic Record Linkage</w:t>
      </w:r>
    </w:p>
    <w:p>
      <w:pPr>
        <w:spacing w:after="40"/>
        <w:ind w:left="432"/>
        <w:jc w:val="both"/>
      </w:pPr>
      <w:r>
        <w:rPr>
          <w:b/>
        </w:rPr>
        <w:t>Description / Summary (Foreign Study).</w:t>
      </w:r>
      <w:r>
        <w:t xml:space="preserve"> Li, Xu and Grannis (2022) tested ways of handling missing fields in the Fellegi-Sunter model. Treating missing values as missing at random maintained or improved F1-scores in all four of their use cases, and combining that assumption with data-driven selection of matching fields gave the best overall performance. They noted this is especially useful in privacy-preserving linkage.</w:t>
      </w:r>
    </w:p>
    <w:p>
      <w:pPr>
        <w:spacing w:after="40"/>
        <w:ind w:left="432"/>
        <w:jc w:val="both"/>
      </w:pPr>
      <w:r>
        <w:rPr>
          <w:b/>
        </w:rPr>
        <w:t>Relevance to the proposed study.</w:t>
      </w:r>
      <w:r>
        <w:t xml:space="preserve"> Programme records gathered across many sites and years will have gaps, and the study will link on hashed keys. This gives the study a tested way to handle missing fields instead of discarding those record pairs.</w:t>
      </w:r>
    </w:p>
    <w:p>
      <w:pPr>
        <w:spacing w:after="40"/>
        <w:ind w:left="432"/>
        <w:jc w:val="left"/>
      </w:pPr>
      <w:r>
        <w:t>Source: https://doi.org/10.2196/33775</w:t>
      </w:r>
    </w:p>
    <w:p>
      <w:pPr>
        <w:keepNext/>
        <w:spacing w:before="120" w:after="40"/>
        <w:ind w:left="432" w:hanging="432"/>
      </w:pPr>
      <w:r>
        <w:t>8.</w:t>
        <w:tab/>
      </w:r>
      <w:r>
        <w:rPr>
          <w:b/>
        </w:rPr>
        <w:t>A Note on Using the F-Measure for Evaluating Record Linkage Algorithms</w:t>
      </w:r>
    </w:p>
    <w:p>
      <w:pPr>
        <w:spacing w:after="40"/>
        <w:ind w:left="432"/>
        <w:jc w:val="both"/>
      </w:pPr>
      <w:r>
        <w:rPr>
          <w:b/>
        </w:rPr>
        <w:t>Description / Summary (Foreign Study).</w:t>
      </w:r>
      <w:r>
        <w:t xml:space="preserve"> Hand and Christen (2018) showed that the F-measure is a poor basis for comparing record linkage methods. The relative weight it places on precision and recall depends on the number of pairs each method predicts as matches, so two methods end up being judged on different scales.</w:t>
      </w:r>
    </w:p>
    <w:p>
      <w:pPr>
        <w:spacing w:after="40"/>
        <w:ind w:left="432"/>
        <w:jc w:val="both"/>
      </w:pPr>
      <w:r>
        <w:rPr>
          <w:b/>
        </w:rPr>
        <w:t>Relevance to the proposed study.</w:t>
      </w:r>
      <w:r>
        <w:t xml:space="preserve"> It is the reason the proposed study will report precision and recall separately, and show how they trade off as the thresholds move, instead of relying on a single F-score.</w:t>
      </w:r>
    </w:p>
    <w:p>
      <w:pPr>
        <w:spacing w:after="40"/>
        <w:ind w:left="432"/>
        <w:jc w:val="left"/>
      </w:pPr>
      <w:r>
        <w:t>Source: https://doi.org/10.1007/s11222-017-9746-6</w:t>
      </w:r>
    </w:p>
    <w:p>
      <w:pPr>
        <w:spacing w:before="120" w:after="40"/>
        <w:ind w:left="432" w:hanging="432"/>
      </w:pPr>
      <w:r>
        <w:t>9.</w:t>
        <w:tab/>
      </w:r>
      <w:r>
        <w:rPr>
          <w:highlight w:val="yellow"/>
        </w:rPr>
        <w:t>[Open slot: add one foreign study here.]</w:t>
      </w:r>
    </w:p>
    <w:p>
      <w:pPr>
        <w:spacing w:before="120" w:after="40"/>
        <w:ind w:left="432" w:hanging="432"/>
      </w:pPr>
      <w:r>
        <w:t>10.</w:t>
        <w:tab/>
      </w:r>
      <w:r>
        <w:rPr>
          <w:highlight w:val="yellow"/>
        </w:rPr>
        <w:t>[Open slot: add one foreign study here.]</w:t>
      </w:r>
    </w:p>
    <w:p>
      <w:pPr>
        <w:keepNext/>
        <w:spacing w:before="160" w:after="80"/>
      </w:pPr>
      <w:r>
        <w:rPr>
          <w:b/>
          <w:sz w:val="22"/>
        </w:rPr>
        <w:t>Research and System Gap</w:t>
      </w:r>
    </w:p>
    <w:p>
      <w:pPr>
        <w:spacing w:after="120"/>
        <w:jc w:val="both"/>
      </w:pPr>
      <w:r>
        <w:t>Probabilistic record linkage is a mature and well-evaluated method. Fellegi-Sunter gives it a decision-theoretic basis, fastLink shows it working on millions of records, and later work shows how to handle missing fields and why linkage quality must be reported alongside the results. The Philippine sources show that duplicate records are a recognised national data quality problem, and that the government's answer has been a shared identifier such as PhilSys.</w:t>
      </w:r>
    </w:p>
    <w:p>
      <w:pPr>
        <w:spacing w:after="120"/>
        <w:jc w:val="both"/>
      </w:pPr>
      <w:r>
        <w:rPr>
          <w:b/>
        </w:rPr>
        <w:t>The gap.</w:t>
      </w:r>
      <w:r>
        <w:t xml:space="preserve"> No published study applies probabilistic linkage to a Philippine corporate or NGO livelihood programme where no shared identifier exists and none can be added retroactively. No study measures linkage performance on Philippine name conventions, and none turns a programme's beneficiary count from a sum of site records into a figure with a stated error.</w:t>
      </w:r>
    </w:p>
    <w:p>
      <w:pPr>
        <w:keepNext/>
        <w:spacing w:before="160" w:after="80"/>
      </w:pPr>
      <w:r>
        <w:rPr>
          <w:b/>
          <w:sz w:val="22"/>
        </w:rPr>
        <w:t>Refined Proposed Title and Solution</w:t>
      </w:r>
    </w:p>
    <w:p>
      <w:pPr>
        <w:spacing w:after="120"/>
        <w:jc w:val="both"/>
      </w:pPr>
      <w:r>
        <w:rPr>
          <w:b/>
        </w:rPr>
        <w:t>A Data Governance System for Verifiable CSR Impact Reporting Using Fellegi-Sunter Record Linkage</w:t>
      </w:r>
      <w:r>
        <w:t xml:space="preserve"> (13 words). The title is kept, because the review confirmed that the named algorithm fits the problem.</w:t>
      </w:r>
    </w:p>
    <w:p>
      <w:pPr>
        <w:keepNext/>
        <w:spacing w:before="160" w:after="80"/>
      </w:pPr>
      <w:r>
        <w:rPr>
          <w:b/>
          <w:sz w:val="22"/>
        </w:rPr>
        <w:t>References for the RRL and RRS</w:t>
      </w:r>
    </w:p>
    <w:p>
      <w:pPr>
        <w:spacing w:after="60"/>
        <w:ind w:left="576" w:hanging="576"/>
        <w:jc w:val="left"/>
      </w:pPr>
      <w:r>
        <w:t>Binette, O., &amp; Steorts, R. C. (2022). (Almost) all of entity resolution. Science Advances, 8(12), eabi8021. https://doi.org/10.1126/sciadv.abi8021</w:t>
      </w:r>
    </w:p>
    <w:p>
      <w:pPr>
        <w:spacing w:after="60"/>
        <w:ind w:left="576" w:hanging="576"/>
        <w:jc w:val="left"/>
      </w:pPr>
      <w:r>
        <w:t>Christen, P., &amp; Goiser, K. (2007). Quality and complexity measures for data linkage and deduplication. In Quality measures in data mining (pp. 127-151). Springer. https://doi.org/10.1007/978-3-540-44918-8_6</w:t>
      </w:r>
    </w:p>
    <w:p>
      <w:pPr>
        <w:spacing w:after="60"/>
        <w:ind w:left="576" w:hanging="576"/>
        <w:jc w:val="left"/>
      </w:pPr>
      <w:r>
        <w:t xml:space="preserve">Du, </w:t>
      </w:r>
      <w:r>
        <w:rPr>
          <w:highlight w:val="yellow"/>
        </w:rPr>
        <w:t>[author initials]</w:t>
      </w:r>
      <w:r>
        <w:t>. (2026). Enhancing CRVS data quality and inclusivity through integration with PhilSys. https://getinthepicture.org/system/files/sites/default/files/B1_Session%203.2_102_Du_Paper_0.pdf</w:t>
      </w:r>
    </w:p>
    <w:p>
      <w:pPr>
        <w:spacing w:after="60"/>
        <w:ind w:left="576" w:hanging="576"/>
        <w:jc w:val="left"/>
      </w:pPr>
      <w:r>
        <w:t>Enamorado, T., Fifield, B., &amp; Imai, K. (2019). Using a probabilistic model to assist merging of large-scale administrative records. American Political Science Review, 113(2), 353-371. https://doi.org/10.1017/S0003055418000783</w:t>
      </w:r>
    </w:p>
    <w:p>
      <w:pPr>
        <w:spacing w:after="60"/>
        <w:ind w:left="576" w:hanging="576"/>
        <w:jc w:val="left"/>
      </w:pPr>
      <w:r>
        <w:t>Fellegi, I. P., &amp; Sunter, A. B. (1969). A theory for record linkage. Journal of the American Statistical Association, 64(328), 1183-1210. https://doi.org/10.1080/01621459.1969.10501049</w:t>
      </w:r>
    </w:p>
    <w:p>
      <w:pPr>
        <w:spacing w:after="60"/>
        <w:ind w:left="576" w:hanging="576"/>
        <w:jc w:val="left"/>
      </w:pPr>
      <w:r>
        <w:t>Hand, D., &amp; Christen, P. (2018). A note on using the F-measure for evaluating record linkage algorithms. Statistics and Computing, 28(3), 539-547. https://doi.org/10.1007/s11222-017-9746-6</w:t>
      </w:r>
    </w:p>
    <w:p>
      <w:pPr>
        <w:spacing w:after="60"/>
        <w:ind w:left="576" w:hanging="576"/>
        <w:jc w:val="left"/>
      </w:pPr>
      <w:r>
        <w:t>Harron, K., Dibben, C., Boyd, J., Hjern, A., Azimaee, M., Barreto, M. L., &amp; Goldstein, H. (2017). Challenges in administrative data linkage for research. Big Data &amp; Society, 4(2). https://doi.org/10.1177/2053951717745678</w:t>
      </w:r>
    </w:p>
    <w:p>
      <w:pPr>
        <w:spacing w:after="60"/>
        <w:ind w:left="576" w:hanging="576"/>
        <w:jc w:val="left"/>
      </w:pPr>
      <w:r>
        <w:t>Li, X., Xu, H., &amp; Grannis, S. (2022). The data-adaptive Fellegi-Sunter model for probabilistic record linkage. Journal of Medical Internet Research, 24(9), e33775. https://doi.org/10.2196/33775</w:t>
      </w:r>
    </w:p>
    <w:p>
      <w:pPr>
        <w:spacing w:after="60"/>
        <w:ind w:left="576" w:hanging="576"/>
        <w:jc w:val="left"/>
      </w:pPr>
      <w:r>
        <w:t>Republic Act No. 11055. (2018). Philippine Identification System Act. https://lawphil.net/statutes/repacts/ra2018/ra_11055_2018.html</w:t>
      </w:r>
    </w:p>
    <w:p>
      <w:pPr>
        <w:spacing w:after="60"/>
        <w:ind w:left="576" w:hanging="576"/>
        <w:jc w:val="left"/>
      </w:pPr>
      <w:r>
        <w:t>Zuniga, P., Carpio, J., Tayam, Q., Garcia, P., Lacsina, A., Calderon, J., et al. (2026). Development and implementation of an interoperable local health information exchange platform for the attainment of universal health coverage in the Philippines. Frontiers in Digital Health, 7. https://doi.org/10.3389/fdgth.2025.1650273</w:t>
      </w:r>
    </w:p>
    <w:p>
      <w:r>
        <w:br w:type="page"/>
      </w:r>
    </w:p>
    <w:tbl>
      <w:tblPr>
        <w:tblStyle w:val="TableGrid"/>
        <w:tblW w:w="0" w:type="auto"/>
        <w:tblLook w:val="04A0" w:firstRow="1" w:lastRow="0" w:firstColumn="1" w:lastColumn="0" w:noHBand="0" w:noVBand="1"/>
      </w:tblPr>
      <w:tblGrid>
        <w:gridCol w:w="10224"/>
      </w:tblGrid>
      <w:tr w:rsidR="00706138" w14:paraId="5D58BDE9" w14:textId="77777777">
        <w:tc>
          <w:tcPr>
            <w:tcW w:w="10224" w:type="dxa"/>
            <w:shd w:val="clear" w:color="auto" w:fill="404040"/>
          </w:tcPr>
          <w:p w14:paraId="2BDF006D" w14:textId="77777777" w:rsidR="00706138" w:rsidRDefault="00000000">
            <w:pPr>
              <w:spacing w:before="60" w:after="60"/>
            </w:pPr>
            <w:r>
              <w:rPr>
                <w:b/>
                <w:color w:val="FFFFFF"/>
                <w:sz w:val="26"/>
              </w:rPr>
              <w:t xml:space="preserve">TARGET TITLE 3 OF 6</w:t>
            </w:r>
          </w:p>
          <w:p w14:paraId="252025D9" w14:textId="77777777" w:rsidR="00706138" w:rsidRDefault="00000000">
            <w:pPr>
              <w:spacing w:after="60"/>
            </w:pPr>
            <w:r>
              <w:rPr>
                <w:color w:val="E0E0E0"/>
                <w:sz w:val="18"/>
              </w:rPr>
              <w:t>A Data Governance System for Privacy Release Readiness of Quezon City Open Data Using Mondrian k-Anonymity</w:t>
            </w:r>
          </w:p>
        </w:tc>
      </w:tr>
    </w:tbl>
    <w:p w14:paraId="307A89CF" w14:textId="77777777" w:rsidR="00706138" w:rsidRDefault="00706138">
      <w:pPr>
        <w:spacing w:after="80"/>
      </w:pPr>
    </w:p>
    <w:tbl>
      <w:tblPr>
        <w:tblStyle w:val="TableGrid"/>
        <w:tblW w:w="0" w:type="auto"/>
        <w:jc w:val="center"/>
        <w:tblLook w:val="04A0" w:firstRow="1" w:lastRow="0" w:firstColumn="1" w:lastColumn="0" w:noHBand="0" w:noVBand="1"/>
      </w:tblPr>
      <w:tblGrid>
        <w:gridCol w:w="10224"/>
      </w:tblGrid>
      <w:tr w:rsidR="00706138" w14:paraId="384569E8" w14:textId="77777777">
        <w:trPr>
          <w:jc w:val="center"/>
        </w:trPr>
        <w:tc>
          <w:tcPr>
            <w:tcW w:w="10224" w:type="dxa"/>
            <w:shd w:val="clear" w:color="auto" w:fill="4EA72E"/>
          </w:tcPr>
          <w:p w14:paraId="68058ED5" w14:textId="77777777" w:rsidR="00706138" w:rsidRDefault="00000000">
            <w:pPr>
              <w:spacing w:before="40" w:after="40"/>
            </w:pPr>
            <w:r>
              <w:rPr>
                <w:b/>
                <w:sz w:val="22"/>
              </w:rPr>
              <w:t>1. Target Thesis Title</w:t>
            </w:r>
          </w:p>
        </w:tc>
      </w:tr>
    </w:tbl>
    <w:p w14:paraId="59FCABAB" w14:textId="77777777" w:rsidR="00706138" w:rsidRDefault="00706138">
      <w:pPr>
        <w:spacing w:after="40"/>
      </w:pPr>
    </w:p>
    <w:p w14:paraId="4D529669" w14:textId="77777777" w:rsidR="00706138" w:rsidRDefault="00000000">
      <w:pPr>
        <w:jc w:val="both"/>
      </w:pPr>
      <w:r>
        <w:rPr>
          <w:b/>
        </w:rPr>
        <w:t>A Data Governance System for Privacy Release Readiness of Quezon City Open Data Using Mondrian k-Anonymity</w:t>
      </w:r>
    </w:p>
    <w:p w14:paraId="74612B6F" w14:textId="77777777" w:rsidR="00706138" w:rsidRDefault="00000000">
      <w:pPr>
        <w:spacing w:after="40"/>
      </w:pPr>
      <w:r>
        <w:t>Thesis specialization: Data Science</w:t>
      </w:r>
    </w:p>
    <w:p w14:paraId="4ECC33BD" w14:textId="77777777" w:rsidR="00706138" w:rsidRDefault="00000000">
      <w:pPr>
        <w:spacing w:after="40"/>
      </w:pPr>
      <w:r>
        <w:t>Primary technique: Data Governance and Ethics, from the approved Data Science technique list</w:t>
      </w:r>
    </w:p>
    <w:p w14:paraId="0AE9C197" w14:textId="77777777" w:rsidR="00706138" w:rsidRDefault="00000000">
      <w:pPr>
        <w:spacing w:after="40"/>
      </w:pPr>
      <w:r>
        <w:t>Research domain: Statistical disclosure control, open government data, and privacy-preserving data publishing</w:t>
      </w:r>
    </w:p>
    <w:p w14:paraId="590DBFD1" w14:textId="7C569525" w:rsidR="00706138" w:rsidRDefault="00000000" w:rsidP="00CB276A">
      <w:pPr>
        <w:spacing w:after="40"/>
      </w:pPr>
      <w:r>
        <w:t>Proponents: Dawn Andrei Pamesa (Leader), Rogelio Porras, John Ashley Alba, Ralph Blanco</w:t>
      </w:r>
    </w:p>
    <w:tbl>
      <w:tblPr>
        <w:tblStyle w:val="TableGrid"/>
        <w:tblW w:w="0" w:type="auto"/>
        <w:jc w:val="center"/>
        <w:tblLook w:val="04A0" w:firstRow="1" w:lastRow="0" w:firstColumn="1" w:lastColumn="0" w:noHBand="0" w:noVBand="1"/>
      </w:tblPr>
      <w:tblGrid>
        <w:gridCol w:w="10224"/>
      </w:tblGrid>
      <w:tr w:rsidR="00706138" w14:paraId="1E768392" w14:textId="77777777">
        <w:trPr>
          <w:jc w:val="center"/>
        </w:trPr>
        <w:tc>
          <w:tcPr>
            <w:tcW w:w="10224" w:type="dxa"/>
            <w:shd w:val="clear" w:color="auto" w:fill="4EA72E"/>
          </w:tcPr>
          <w:p w14:paraId="7F84A337" w14:textId="77777777" w:rsidR="00706138" w:rsidRDefault="00000000">
            <w:pPr>
              <w:spacing w:before="40" w:after="40"/>
            </w:pPr>
            <w:r>
              <w:rPr>
                <w:b/>
                <w:sz w:val="22"/>
              </w:rPr>
              <w:t>2. Project Overview</w:t>
            </w:r>
          </w:p>
        </w:tc>
      </w:tr>
    </w:tbl>
    <w:p w14:paraId="43A244FE" w14:textId="77777777" w:rsidR="00706138" w:rsidRDefault="00706138">
      <w:pPr>
        <w:spacing w:after="40"/>
      </w:pPr>
    </w:p>
    <w:p w14:paraId="433D8CA8" w14:textId="77777777" w:rsidR="00706138" w:rsidRDefault="00000000">
      <w:pPr>
        <w:jc w:val="both"/>
      </w:pPr>
      <w:r>
        <w:t>Background of the problem. Quezon City publishes an Open Data Dashboard through its Information Technology Development Department together with source departments, with listed dashboards containing data from 2019 onward. Current programmes include Helpline 122, QCitizen ID, the PWD community, maintenance medicine, Pangkabuhayang QC, and scholarships, and the city has stated its intent to publish more. The official ITDD page lists a service called Control of Data Services in Conformity with the Data Privacy Act, under which an approved letter is forwarded to the Database Management Division for extraction, which is direct evidence that ITDD is the correct office to approach.</w:t>
      </w:r>
    </w:p>
    <w:p w14:paraId="2B49CE57" w14:textId="77777777" w:rsidR="00706138" w:rsidRDefault="00000000">
      <w:pPr>
        <w:jc w:val="both"/>
      </w:pPr>
      <w:r>
        <w:t>Specific problem. Every release has to answer two questions at once: whether the source data is fit for public use, and how much detail can be published without making a person identifiable. Removing names does not settle the second question. A rare category combined with a small geography and a narrow date can single out a person even when no direct identifier remains. At the same time, aggregating everything to be safe can make a dataset too coarse to answer any useful question. At present there is no documented procedure for comparing candidate publication granularities in terms of both residual disclosure risk and analytical utility, and no auditable record of why a given date, geography, category, or suppression level was chosen.</w:t>
      </w:r>
    </w:p>
    <w:p w14:paraId="497DBA1E" w14:textId="77777777" w:rsidR="00706138" w:rsidRDefault="00000000">
      <w:pPr>
        <w:jc w:val="both"/>
      </w:pPr>
      <w:r>
        <w:t>Target users and beneficiaries. The direct users are ITDD staff and source-department data owners who decide what a release should look like. The beneficiaries are the residents whose records appear in those datasets, and the researchers, journalists, and civic groups who use QC open data and currently have no documented statement of what a published dataset can and cannot support.</w:t>
      </w:r>
    </w:p>
    <w:p w14:paraId="7759FAEB" w14:textId="77777777" w:rsidR="00706138" w:rsidRDefault="00000000">
      <w:pPr>
        <w:jc w:val="both"/>
      </w:pPr>
      <w:r>
        <w:t>Proposed solution. A web-based governance system that profiles an ITDD-approved de-identified extract, classifies every field as a direct identifier, quasi-identifier, sensitive attribute, or ordinary attribute, generates candidate release profiles by generalising dates, geography, and categories, measures residual disclosure risk and information loss for each profile using Mondrian k-anonymity, and produces an auditable release-readiness report recommending publication settings.</w:t>
      </w:r>
    </w:p>
    <w:p w14:paraId="51FC0A66" w14:textId="77777777" w:rsidR="00706138" w:rsidRDefault="00000000">
      <w:pPr>
        <w:spacing w:after="40"/>
      </w:pPr>
      <w:r>
        <w:t>Main objectives.</w:t>
      </w:r>
    </w:p>
    <w:p w14:paraId="4D27BCCD" w14:textId="77777777" w:rsidR="00706138" w:rsidRDefault="00000000">
      <w:pPr>
        <w:spacing w:after="60"/>
        <w:ind w:left="432"/>
      </w:pPr>
      <w:r>
        <w:t>•  Define a release-readiness metadata profile for a selected QC Open Data source.</w:t>
      </w:r>
    </w:p>
    <w:p w14:paraId="0882E4D6" w14:textId="77777777" w:rsidR="00706138" w:rsidRDefault="00000000">
      <w:pPr>
        <w:spacing w:after="60"/>
        <w:ind w:left="432"/>
      </w:pPr>
      <w:r>
        <w:t>•  Measure completeness, validity, consistency, uniqueness, and timeliness using versioned rules.</w:t>
      </w:r>
    </w:p>
    <w:p w14:paraId="2091897C" w14:textId="77777777" w:rsidR="00706138" w:rsidRDefault="00000000">
      <w:pPr>
        <w:spacing w:after="60"/>
        <w:ind w:left="432"/>
      </w:pPr>
      <w:r>
        <w:t>•  Classify direct identifiers, quasi-identifiers, sensitive attributes, and non-identifying fields from the approved schema.</w:t>
      </w:r>
    </w:p>
    <w:p w14:paraId="0A54262D" w14:textId="77777777" w:rsidR="00706138" w:rsidRDefault="00000000">
      <w:pPr>
        <w:spacing w:after="60"/>
        <w:ind w:left="432"/>
      </w:pPr>
      <w:r>
        <w:t>•  Measure equivalence-class and small-cell risk under candidate publication granularities.</w:t>
      </w:r>
    </w:p>
    <w:p w14:paraId="594954CD" w14:textId="77777777" w:rsidR="00706138" w:rsidRDefault="00000000">
      <w:pPr>
        <w:spacing w:after="60"/>
        <w:ind w:left="432"/>
      </w:pPr>
      <w:r>
        <w:t>•  Apply controlled generalisation and suppression without altering the restricted source copy.</w:t>
      </w:r>
    </w:p>
    <w:p w14:paraId="6D472F1C" w14:textId="77777777" w:rsidR="00706138" w:rsidRDefault="00000000">
      <w:pPr>
        <w:spacing w:after="60"/>
        <w:ind w:left="432"/>
      </w:pPr>
      <w:r>
        <w:lastRenderedPageBreak/>
        <w:t>•  Quantify information loss and aggregate-query error produced by each strategy.</w:t>
      </w:r>
    </w:p>
    <w:p w14:paraId="5EE741ED" w14:textId="77777777" w:rsidR="00706138" w:rsidRDefault="00000000">
      <w:pPr>
        <w:spacing w:after="60"/>
        <w:ind w:left="432"/>
      </w:pPr>
      <w:r>
        <w:t>•  Compare a fixed suppression baseline against Mondrian k-anonymity on the same risk threshold.</w:t>
      </w:r>
    </w:p>
    <w:p w14:paraId="68D90B92" w14:textId="77777777" w:rsidR="00706138" w:rsidRDefault="00000000">
      <w:pPr>
        <w:spacing w:after="60"/>
        <w:ind w:left="432"/>
      </w:pPr>
      <w:r>
        <w:t>•  Produce an auditable release-readiness report documenting assumptions and unresolved risks.</w:t>
      </w:r>
    </w:p>
    <w:p w14:paraId="699DBE26" w14:textId="77777777" w:rsidR="00706138" w:rsidRDefault="00000000">
      <w:pPr>
        <w:jc w:val="both"/>
      </w:pPr>
      <w:r>
        <w:t>Expected output. A field governance classification for the selected dataset, a measured risk and utility comparison across candidate release profiles, a working release-readiness system with an aggregate dashboard, an exportable report, and a reusable configuration format adaptable to other QC datasets.</w:t>
      </w:r>
    </w:p>
    <w:p w14:paraId="63949709" w14:textId="77777777" w:rsidR="00706138" w:rsidRDefault="00000000">
      <w:pPr>
        <w:jc w:val="both"/>
      </w:pPr>
      <w:r>
        <w:t>Intended contribution. An evaluated and reusable procedure for measuring the quality, risk, and utility trade-off of a specific Philippine local government open-data release. National Privacy Commission guidance establishes that de-identification is not automatically anonymisation, but no published work applies that standard as a measurable, auditable workflow to a Philippine city release.</w:t>
      </w:r>
    </w:p>
    <w:tbl>
      <w:tblPr>
        <w:tblStyle w:val="TableGrid"/>
        <w:tblW w:w="0" w:type="auto"/>
        <w:jc w:val="center"/>
        <w:tblLook w:val="04A0" w:firstRow="1" w:lastRow="0" w:firstColumn="1" w:lastColumn="0" w:noHBand="0" w:noVBand="1"/>
      </w:tblPr>
      <w:tblGrid>
        <w:gridCol w:w="10224"/>
      </w:tblGrid>
      <w:tr w:rsidR="00706138" w14:paraId="1BEA808E" w14:textId="77777777">
        <w:trPr>
          <w:jc w:val="center"/>
        </w:trPr>
        <w:tc>
          <w:tcPr>
            <w:tcW w:w="10224" w:type="dxa"/>
            <w:shd w:val="clear" w:color="auto" w:fill="4EA72E"/>
          </w:tcPr>
          <w:p w14:paraId="56732F4D" w14:textId="77777777" w:rsidR="00706138" w:rsidRDefault="00000000">
            <w:pPr>
              <w:spacing w:before="40" w:after="40"/>
            </w:pPr>
            <w:r>
              <w:rPr>
                <w:b/>
                <w:sz w:val="22"/>
              </w:rPr>
              <w:t>3. Technical and Technology Feasibility</w:t>
            </w:r>
          </w:p>
        </w:tc>
      </w:tr>
    </w:tbl>
    <w:p w14:paraId="0E528A6D" w14:textId="77777777" w:rsidR="00706138" w:rsidRDefault="00706138">
      <w:pPr>
        <w:spacing w:after="40"/>
      </w:pPr>
    </w:p>
    <w:tbl>
      <w:tblPr>
        <w:tblStyle w:val="TableGrid"/>
        <w:tblW w:w="0" w:type="auto"/>
        <w:tblLook w:val="04A0" w:firstRow="1" w:lastRow="0" w:firstColumn="1" w:lastColumn="0" w:noHBand="0" w:noVBand="1"/>
      </w:tblPr>
      <w:tblGrid>
        <w:gridCol w:w="1944"/>
        <w:gridCol w:w="4032"/>
        <w:gridCol w:w="4248"/>
      </w:tblGrid>
      <w:tr w:rsidR="00706138" w14:paraId="39FAAD68" w14:textId="77777777">
        <w:tc>
          <w:tcPr>
            <w:tcW w:w="1944" w:type="dxa"/>
            <w:shd w:val="clear" w:color="auto" w:fill="EDEDED"/>
          </w:tcPr>
          <w:p w14:paraId="0F952BFA" w14:textId="77777777" w:rsidR="00706138" w:rsidRDefault="00000000">
            <w:pPr>
              <w:spacing w:before="40" w:after="40"/>
            </w:pPr>
            <w:r>
              <w:rPr>
                <w:b/>
                <w:sz w:val="18"/>
              </w:rPr>
              <w:t>Area</w:t>
            </w:r>
          </w:p>
        </w:tc>
        <w:tc>
          <w:tcPr>
            <w:tcW w:w="4032" w:type="dxa"/>
            <w:shd w:val="clear" w:color="auto" w:fill="EDEDED"/>
          </w:tcPr>
          <w:p w14:paraId="68C4C805" w14:textId="77777777" w:rsidR="00706138" w:rsidRDefault="00000000">
            <w:pPr>
              <w:spacing w:before="40" w:after="40"/>
            </w:pPr>
            <w:r>
              <w:rPr>
                <w:b/>
                <w:sz w:val="18"/>
              </w:rPr>
              <w:t>Proposed Choice</w:t>
            </w:r>
          </w:p>
        </w:tc>
        <w:tc>
          <w:tcPr>
            <w:tcW w:w="4248" w:type="dxa"/>
            <w:shd w:val="clear" w:color="auto" w:fill="EDEDED"/>
          </w:tcPr>
          <w:p w14:paraId="603A5C7A" w14:textId="77777777" w:rsidR="00706138" w:rsidRDefault="00000000">
            <w:pPr>
              <w:spacing w:before="40" w:after="40"/>
            </w:pPr>
            <w:r>
              <w:rPr>
                <w:b/>
                <w:sz w:val="18"/>
              </w:rPr>
              <w:t>Feasibility and Alternative</w:t>
            </w:r>
          </w:p>
        </w:tc>
      </w:tr>
      <w:tr w:rsidR="00706138" w14:paraId="42B3AE0B" w14:textId="77777777">
        <w:tc>
          <w:tcPr>
            <w:tcW w:w="1944" w:type="dxa"/>
          </w:tcPr>
          <w:p w14:paraId="60DB36A3" w14:textId="77777777" w:rsidR="00706138" w:rsidRDefault="00000000">
            <w:pPr>
              <w:spacing w:before="40" w:after="40"/>
            </w:pPr>
            <w:r>
              <w:rPr>
                <w:sz w:val="18"/>
              </w:rPr>
              <w:t>Programming languages</w:t>
            </w:r>
          </w:p>
        </w:tc>
        <w:tc>
          <w:tcPr>
            <w:tcW w:w="4032" w:type="dxa"/>
          </w:tcPr>
          <w:p w14:paraId="54CBEC79" w14:textId="77777777" w:rsidR="00706138" w:rsidRDefault="00000000">
            <w:pPr>
              <w:spacing w:before="40" w:after="40"/>
            </w:pPr>
            <w:r>
              <w:rPr>
                <w:sz w:val="18"/>
              </w:rPr>
              <w:t>Python 3.11 for profiling, risk measurement, generalisation, and dashboard logic; SQL for staging queries; minor HTML and CSS for styling</w:t>
            </w:r>
          </w:p>
        </w:tc>
        <w:tc>
          <w:tcPr>
            <w:tcW w:w="4248" w:type="dxa"/>
          </w:tcPr>
          <w:p w14:paraId="2E3BAEF5" w14:textId="77777777" w:rsidR="00706138" w:rsidRDefault="00000000">
            <w:pPr>
              <w:spacing w:before="40" w:after="40"/>
            </w:pPr>
            <w:r>
              <w:rPr>
                <w:sz w:val="18"/>
              </w:rPr>
              <w:t>Standard undergraduate skills already used by the group.</w:t>
            </w:r>
          </w:p>
        </w:tc>
      </w:tr>
      <w:tr w:rsidR="00706138" w14:paraId="5F242CE8" w14:textId="77777777">
        <w:tc>
          <w:tcPr>
            <w:tcW w:w="1944" w:type="dxa"/>
          </w:tcPr>
          <w:p w14:paraId="0228A8F4" w14:textId="77777777" w:rsidR="00706138" w:rsidRDefault="00000000">
            <w:pPr>
              <w:spacing w:before="40" w:after="40"/>
            </w:pPr>
            <w:r>
              <w:rPr>
                <w:sz w:val="18"/>
              </w:rPr>
              <w:t>Frameworks and libraries</w:t>
            </w:r>
          </w:p>
        </w:tc>
        <w:tc>
          <w:tcPr>
            <w:tcW w:w="4032" w:type="dxa"/>
          </w:tcPr>
          <w:p w14:paraId="6CE63AA8" w14:textId="77777777" w:rsidR="00706138" w:rsidRDefault="00000000">
            <w:pPr>
              <w:spacing w:before="40" w:after="40"/>
            </w:pPr>
            <w:r>
              <w:rPr>
                <w:sz w:val="18"/>
              </w:rPr>
              <w:t>pandas and NumPy for profiling and equivalence-class computation; a custom Mondrian implementation, with ARX or pycanon as cross-check references; scikit-learn for encoding utilities; Plotly for risk and utility charts; Streamlit for the dashboard</w:t>
            </w:r>
          </w:p>
        </w:tc>
        <w:tc>
          <w:tcPr>
            <w:tcW w:w="4248" w:type="dxa"/>
          </w:tcPr>
          <w:p w14:paraId="57652AB4" w14:textId="77777777" w:rsidR="00706138" w:rsidRDefault="00000000">
            <w:pPr>
              <w:spacing w:before="40" w:after="40"/>
            </w:pPr>
            <w:r>
              <w:rPr>
                <w:sz w:val="18"/>
              </w:rPr>
              <w:t>Mondrian is roughly 200 lines of recursive partitioning code and is well documented in the literature, so a custom implementation is realistic and also makes the mechanism defensible at the defence.</w:t>
            </w:r>
          </w:p>
        </w:tc>
      </w:tr>
      <w:tr w:rsidR="00706138" w14:paraId="4CBE3978" w14:textId="77777777">
        <w:tc>
          <w:tcPr>
            <w:tcW w:w="1944" w:type="dxa"/>
          </w:tcPr>
          <w:p w14:paraId="09DBA13E" w14:textId="77777777" w:rsidR="00706138" w:rsidRDefault="00000000">
            <w:pPr>
              <w:spacing w:before="40" w:after="40"/>
            </w:pPr>
            <w:r>
              <w:rPr>
                <w:sz w:val="18"/>
              </w:rPr>
              <w:t>Database and storage</w:t>
            </w:r>
          </w:p>
        </w:tc>
        <w:tc>
          <w:tcPr>
            <w:tcW w:w="4032" w:type="dxa"/>
          </w:tcPr>
          <w:p w14:paraId="49C57CA6" w14:textId="77777777" w:rsidR="00706138" w:rsidRDefault="00000000">
            <w:pPr>
              <w:spacing w:before="40" w:after="40"/>
            </w:pPr>
            <w:r>
              <w:rPr>
                <w:sz w:val="18"/>
              </w:rPr>
              <w:t>SQLite for the immutable staging copy and release-profile versions; PostgreSQL if shared deployment is later required; CSV or database export accepted on import</w:t>
            </w:r>
          </w:p>
        </w:tc>
        <w:tc>
          <w:tcPr>
            <w:tcW w:w="4248" w:type="dxa"/>
          </w:tcPr>
          <w:p w14:paraId="384BBDD4" w14:textId="77777777" w:rsidR="00706138" w:rsidRDefault="00000000">
            <w:pPr>
              <w:spacing w:before="40" w:after="40"/>
            </w:pPr>
            <w:r>
              <w:rPr>
                <w:sz w:val="18"/>
              </w:rPr>
              <w:t>No server administration needed during the study.</w:t>
            </w:r>
          </w:p>
        </w:tc>
      </w:tr>
      <w:tr w:rsidR="00706138" w14:paraId="4ED48EA5" w14:textId="77777777">
        <w:tc>
          <w:tcPr>
            <w:tcW w:w="1944" w:type="dxa"/>
          </w:tcPr>
          <w:p w14:paraId="38AF8710" w14:textId="77777777" w:rsidR="00706138" w:rsidRDefault="00000000">
            <w:pPr>
              <w:spacing w:before="40" w:after="40"/>
            </w:pPr>
            <w:r>
              <w:rPr>
                <w:sz w:val="18"/>
              </w:rPr>
              <w:t>APIs and third-party services</w:t>
            </w:r>
          </w:p>
        </w:tc>
        <w:tc>
          <w:tcPr>
            <w:tcW w:w="4032" w:type="dxa"/>
          </w:tcPr>
          <w:p w14:paraId="40DD3BD1" w14:textId="77777777" w:rsidR="00706138" w:rsidRDefault="00000000">
            <w:pPr>
              <w:spacing w:before="40" w:after="40"/>
            </w:pPr>
            <w:r>
              <w:rPr>
                <w:sz w:val="18"/>
              </w:rPr>
              <w:t>None on the critical path. The QC Open Data Dashboard is inspected manually through the browser to record what the public surface exposes.</w:t>
            </w:r>
          </w:p>
        </w:tc>
        <w:tc>
          <w:tcPr>
            <w:tcW w:w="4248" w:type="dxa"/>
          </w:tcPr>
          <w:p w14:paraId="024C93F3" w14:textId="77777777" w:rsidR="00706138" w:rsidRDefault="00000000">
            <w:pPr>
              <w:spacing w:before="40" w:after="40"/>
            </w:pPr>
            <w:r>
              <w:rPr>
                <w:sz w:val="18"/>
              </w:rPr>
              <w:t>Nothing behind a login is scraped or automated, which is both a policy requirement and a removal of technical risk.</w:t>
            </w:r>
          </w:p>
        </w:tc>
      </w:tr>
      <w:tr w:rsidR="00706138" w14:paraId="373E6068" w14:textId="77777777">
        <w:tc>
          <w:tcPr>
            <w:tcW w:w="1944" w:type="dxa"/>
          </w:tcPr>
          <w:p w14:paraId="4B7120B7" w14:textId="77777777" w:rsidR="00706138" w:rsidRDefault="00000000">
            <w:pPr>
              <w:spacing w:before="40" w:after="40"/>
            </w:pPr>
            <w:r>
              <w:rPr>
                <w:sz w:val="18"/>
              </w:rPr>
              <w:t>Platform</w:t>
            </w:r>
          </w:p>
        </w:tc>
        <w:tc>
          <w:tcPr>
            <w:tcW w:w="4032" w:type="dxa"/>
          </w:tcPr>
          <w:p w14:paraId="4E00F5FB" w14:textId="77777777" w:rsidR="00706138" w:rsidRDefault="00000000">
            <w:pPr>
              <w:spacing w:before="40" w:after="40"/>
            </w:pPr>
            <w:r>
              <w:rPr>
                <w:sz w:val="18"/>
              </w:rPr>
              <w:t>Browser-based application run locally. A free-tier host is used only for a synthetic or already-public demonstration dataset.</w:t>
            </w:r>
          </w:p>
        </w:tc>
        <w:tc>
          <w:tcPr>
            <w:tcW w:w="4248" w:type="dxa"/>
          </w:tcPr>
          <w:p w14:paraId="15E96E6F" w14:textId="77777777" w:rsidR="00706138" w:rsidRDefault="00000000">
            <w:pPr>
              <w:spacing w:before="40" w:after="40"/>
            </w:pPr>
            <w:r>
              <w:rPr>
                <w:sz w:val="18"/>
              </w:rPr>
              <w:t>The restricted record-level extract is never hosted externally under any circumstance.</w:t>
            </w:r>
          </w:p>
        </w:tc>
      </w:tr>
      <w:tr w:rsidR="00706138" w14:paraId="0197068A" w14:textId="77777777">
        <w:tc>
          <w:tcPr>
            <w:tcW w:w="1944" w:type="dxa"/>
          </w:tcPr>
          <w:p w14:paraId="6F054594" w14:textId="77777777" w:rsidR="00706138" w:rsidRDefault="00000000">
            <w:pPr>
              <w:spacing w:before="40" w:after="40"/>
            </w:pPr>
            <w:r>
              <w:rPr>
                <w:sz w:val="18"/>
              </w:rPr>
              <w:t>Hardware and equipment</w:t>
            </w:r>
          </w:p>
        </w:tc>
        <w:tc>
          <w:tcPr>
            <w:tcW w:w="4032" w:type="dxa"/>
          </w:tcPr>
          <w:p w14:paraId="384B29C4" w14:textId="77777777" w:rsidR="00706138" w:rsidRDefault="00000000">
            <w:pPr>
              <w:spacing w:before="40" w:after="40"/>
            </w:pPr>
            <w:r>
              <w:rPr>
                <w:sz w:val="18"/>
              </w:rPr>
              <w:t>Existing group laptops with 8 GB RAM. No sensors, no GPU.</w:t>
            </w:r>
          </w:p>
        </w:tc>
        <w:tc>
          <w:tcPr>
            <w:tcW w:w="4248" w:type="dxa"/>
          </w:tcPr>
          <w:p w14:paraId="368E065E" w14:textId="77777777" w:rsidR="00706138" w:rsidRDefault="00000000">
            <w:pPr>
              <w:spacing w:before="40" w:after="40"/>
            </w:pPr>
            <w:r>
              <w:rPr>
                <w:sz w:val="18"/>
              </w:rPr>
              <w:t>Mondrian partitioning on tens of thousands of rows completes in seconds to minutes on a CPU.</w:t>
            </w:r>
          </w:p>
        </w:tc>
      </w:tr>
      <w:tr w:rsidR="00706138" w14:paraId="16F67EE7" w14:textId="77777777">
        <w:tc>
          <w:tcPr>
            <w:tcW w:w="1944" w:type="dxa"/>
          </w:tcPr>
          <w:p w14:paraId="19E28D10" w14:textId="77777777" w:rsidR="00706138" w:rsidRDefault="00000000">
            <w:pPr>
              <w:spacing w:before="40" w:after="40"/>
            </w:pPr>
            <w:r>
              <w:rPr>
                <w:sz w:val="18"/>
              </w:rPr>
              <w:t>Architecture and integration</w:t>
            </w:r>
          </w:p>
        </w:tc>
        <w:tc>
          <w:tcPr>
            <w:tcW w:w="4032" w:type="dxa"/>
          </w:tcPr>
          <w:p w14:paraId="234A69BE" w14:textId="77777777" w:rsidR="00706138" w:rsidRDefault="00000000">
            <w:pPr>
              <w:spacing w:before="40" w:after="40"/>
            </w:pPr>
            <w:r>
              <w:rPr>
                <w:sz w:val="18"/>
              </w:rPr>
              <w:t>ITDD-approved de-identified source copy, then prohibited-field and provenance gate, then quality profiler, then field governance classifier, then candidate release-profile generator, then equivalence-class and small-cell risk engine, then generalisation and suppression engine, then utility evaluator, then release-readiness report and dashboard</w:t>
            </w:r>
          </w:p>
        </w:tc>
        <w:tc>
          <w:tcPr>
            <w:tcW w:w="4248" w:type="dxa"/>
          </w:tcPr>
          <w:p w14:paraId="78C77593" w14:textId="77777777" w:rsidR="00706138" w:rsidRDefault="00000000">
            <w:pPr>
              <w:spacing w:before="40" w:after="40"/>
            </w:pPr>
            <w:r>
              <w:rPr>
                <w:sz w:val="18"/>
              </w:rPr>
              <w:t>File-based import only. No connection to any city production system, which is an ethics requirement as much as an engineering choice.</w:t>
            </w:r>
          </w:p>
        </w:tc>
      </w:tr>
      <w:tr w:rsidR="00706138" w14:paraId="60B9680E" w14:textId="77777777">
        <w:tc>
          <w:tcPr>
            <w:tcW w:w="1944" w:type="dxa"/>
          </w:tcPr>
          <w:p w14:paraId="096F34C5" w14:textId="77777777" w:rsidR="00706138" w:rsidRDefault="00000000">
            <w:pPr>
              <w:spacing w:before="40" w:after="40"/>
            </w:pPr>
            <w:r>
              <w:rPr>
                <w:sz w:val="18"/>
              </w:rPr>
              <w:t>Security and maintenance</w:t>
            </w:r>
          </w:p>
        </w:tc>
        <w:tc>
          <w:tcPr>
            <w:tcW w:w="4032" w:type="dxa"/>
          </w:tcPr>
          <w:p w14:paraId="0A481CAC" w14:textId="77777777" w:rsidR="00706138" w:rsidRDefault="00000000">
            <w:pPr>
              <w:spacing w:before="40" w:after="40"/>
            </w:pPr>
            <w:r>
              <w:rPr>
                <w:sz w:val="18"/>
              </w:rPr>
              <w:t>Restricted external storage path outside Git and outside the thesis vault; checksum, schema version, and provenance recorded on import; prohibited-field scan before any analytical module loads data; no linkage attempt against any external source; audit logging</w:t>
            </w:r>
          </w:p>
        </w:tc>
        <w:tc>
          <w:tcPr>
            <w:tcW w:w="4248" w:type="dxa"/>
          </w:tcPr>
          <w:p w14:paraId="0B80A151" w14:textId="77777777" w:rsidR="00706138" w:rsidRDefault="00000000">
            <w:pPr>
              <w:spacing w:before="40" w:after="40"/>
            </w:pPr>
            <w:r>
              <w:rPr>
                <w:sz w:val="18"/>
              </w:rPr>
              <w:t>The no-linkage rule is enforced by design, since the system holds no external dataset to link against.</w:t>
            </w:r>
          </w:p>
        </w:tc>
      </w:tr>
      <w:tr w:rsidR="00706138" w14:paraId="37C60D8C" w14:textId="77777777">
        <w:tc>
          <w:tcPr>
            <w:tcW w:w="1944" w:type="dxa"/>
          </w:tcPr>
          <w:p w14:paraId="43D9D3CD" w14:textId="77777777" w:rsidR="00706138" w:rsidRDefault="00000000">
            <w:pPr>
              <w:spacing w:before="40" w:after="40"/>
            </w:pPr>
            <w:r>
              <w:rPr>
                <w:sz w:val="18"/>
              </w:rPr>
              <w:t>Technical expertise</w:t>
            </w:r>
          </w:p>
        </w:tc>
        <w:tc>
          <w:tcPr>
            <w:tcW w:w="4032" w:type="dxa"/>
          </w:tcPr>
          <w:p w14:paraId="169F3CD6" w14:textId="77777777" w:rsidR="00706138" w:rsidRDefault="00000000">
            <w:pPr>
              <w:spacing w:before="40" w:after="40"/>
            </w:pPr>
            <w:r>
              <w:rPr>
                <w:sz w:val="18"/>
              </w:rPr>
              <w:t xml:space="preserve">Python, pandas, SQL, and Streamlit are all in hand. Mondrian and equivalence-class risk </w:t>
            </w:r>
            <w:r>
              <w:rPr>
                <w:sz w:val="18"/>
              </w:rPr>
              <w:lastRenderedPageBreak/>
              <w:t>measurement are new to the group but are well specified in published pseudocode.</w:t>
            </w:r>
          </w:p>
        </w:tc>
        <w:tc>
          <w:tcPr>
            <w:tcW w:w="4248" w:type="dxa"/>
          </w:tcPr>
          <w:p w14:paraId="75ED9DA7" w14:textId="77777777" w:rsidR="00706138" w:rsidRDefault="00000000">
            <w:pPr>
              <w:spacing w:before="40" w:after="40"/>
            </w:pPr>
            <w:r>
              <w:rPr>
                <w:sz w:val="18"/>
              </w:rPr>
              <w:lastRenderedPageBreak/>
              <w:t xml:space="preserve">ARX or pycanon serve as reference implementations to validate the custom Mondrian </w:t>
            </w:r>
            <w:r>
              <w:rPr>
                <w:sz w:val="18"/>
              </w:rPr>
              <w:lastRenderedPageBreak/>
              <w:t>output against, so a subtle implementation error can be caught rather than defended.</w:t>
            </w:r>
          </w:p>
        </w:tc>
      </w:tr>
      <w:tr w:rsidR="00706138" w14:paraId="5F4FE851" w14:textId="77777777">
        <w:tc>
          <w:tcPr>
            <w:tcW w:w="1944" w:type="dxa"/>
          </w:tcPr>
          <w:p w14:paraId="440293B1" w14:textId="77777777" w:rsidR="00706138" w:rsidRDefault="00000000">
            <w:pPr>
              <w:spacing w:before="40" w:after="40"/>
            </w:pPr>
            <w:r>
              <w:rPr>
                <w:sz w:val="18"/>
              </w:rPr>
              <w:lastRenderedPageBreak/>
              <w:t>Limitations and alternatives</w:t>
            </w:r>
          </w:p>
        </w:tc>
        <w:tc>
          <w:tcPr>
            <w:tcW w:w="4032" w:type="dxa"/>
          </w:tcPr>
          <w:p w14:paraId="31E8D35B" w14:textId="77777777" w:rsidR="00706138" w:rsidRDefault="00000000">
            <w:pPr>
              <w:spacing w:before="40" w:after="40"/>
            </w:pPr>
            <w:r>
              <w:rPr>
                <w:sz w:val="18"/>
              </w:rPr>
              <w:t>Generalisation hierarchies cannot be finalised until the approved schema and data dictionary are seen.</w:t>
            </w:r>
          </w:p>
        </w:tc>
        <w:tc>
          <w:tcPr>
            <w:tcW w:w="4248" w:type="dxa"/>
          </w:tcPr>
          <w:p w14:paraId="4C010CAB" w14:textId="77777777" w:rsidR="00706138" w:rsidRDefault="00000000">
            <w:pPr>
              <w:spacing w:before="40" w:after="40"/>
            </w:pPr>
            <w:r>
              <w:rPr>
                <w:sz w:val="18"/>
              </w:rPr>
              <w:t>Hierarchies are drafted against the public dashboard's visible fields, and the pipeline is developed and validated on a public benchmark microdata set such as the UCI Adult dataset before the real extract arrives.</w:t>
            </w:r>
          </w:p>
        </w:tc>
      </w:tr>
    </w:tbl>
    <w:p w14:paraId="1790505B" w14:textId="77777777" w:rsidR="00706138" w:rsidRDefault="00706138">
      <w:pPr>
        <w:spacing w:after="40"/>
      </w:pPr>
    </w:p>
    <w:p w14:paraId="1667803D" w14:textId="77777777" w:rsidR="00706138" w:rsidRDefault="00000000">
      <w:pPr>
        <w:jc w:val="both"/>
      </w:pPr>
      <w:r>
        <w:t>Technical finding. The stack is open source and familiar, and the only genuinely new component, Mondrian, has published pseudocode and reference implementations available for cross-checking. The critical path holds no external API and no specialised hardware. The technical risk is low; the constraint is data access, treated in section 4.</w:t>
      </w:r>
    </w:p>
    <w:tbl>
      <w:tblPr>
        <w:tblStyle w:val="TableGrid"/>
        <w:tblW w:w="0" w:type="auto"/>
        <w:jc w:val="center"/>
        <w:tblLook w:val="04A0" w:firstRow="1" w:lastRow="0" w:firstColumn="1" w:lastColumn="0" w:noHBand="0" w:noVBand="1"/>
      </w:tblPr>
      <w:tblGrid>
        <w:gridCol w:w="10224"/>
      </w:tblGrid>
      <w:tr w:rsidR="00706138" w14:paraId="314613F0" w14:textId="77777777">
        <w:trPr>
          <w:jc w:val="center"/>
        </w:trPr>
        <w:tc>
          <w:tcPr>
            <w:tcW w:w="10224" w:type="dxa"/>
            <w:shd w:val="clear" w:color="auto" w:fill="4EA72E"/>
          </w:tcPr>
          <w:p w14:paraId="1BAF5B16" w14:textId="77777777" w:rsidR="00706138" w:rsidRDefault="00000000">
            <w:pPr>
              <w:spacing w:before="40" w:after="40"/>
            </w:pPr>
            <w:r>
              <w:rPr>
                <w:b/>
                <w:sz w:val="22"/>
              </w:rPr>
              <w:t>4. Dataset and Data Feasibility</w:t>
            </w:r>
          </w:p>
        </w:tc>
      </w:tr>
    </w:tbl>
    <w:p w14:paraId="6877B9D3" w14:textId="77777777" w:rsidR="00706138" w:rsidRDefault="00706138">
      <w:pPr>
        <w:spacing w:after="40"/>
      </w:pPr>
    </w:p>
    <w:tbl>
      <w:tblPr>
        <w:tblStyle w:val="TableGrid"/>
        <w:tblW w:w="0" w:type="auto"/>
        <w:tblLook w:val="04A0" w:firstRow="1" w:lastRow="0" w:firstColumn="1" w:lastColumn="0" w:noHBand="0" w:noVBand="1"/>
      </w:tblPr>
      <w:tblGrid>
        <w:gridCol w:w="2304"/>
        <w:gridCol w:w="7920"/>
      </w:tblGrid>
      <w:tr w:rsidR="00706138" w14:paraId="3935D09B" w14:textId="77777777">
        <w:tc>
          <w:tcPr>
            <w:tcW w:w="2304" w:type="dxa"/>
            <w:shd w:val="clear" w:color="auto" w:fill="EDEDED"/>
          </w:tcPr>
          <w:p w14:paraId="5420B31C" w14:textId="77777777" w:rsidR="00706138" w:rsidRDefault="00000000">
            <w:pPr>
              <w:spacing w:before="40" w:after="40"/>
            </w:pPr>
            <w:r>
              <w:rPr>
                <w:b/>
                <w:sz w:val="18"/>
              </w:rPr>
              <w:t>Requirement</w:t>
            </w:r>
          </w:p>
        </w:tc>
        <w:tc>
          <w:tcPr>
            <w:tcW w:w="7920" w:type="dxa"/>
            <w:shd w:val="clear" w:color="auto" w:fill="EDEDED"/>
          </w:tcPr>
          <w:p w14:paraId="058422C0" w14:textId="77777777" w:rsidR="00706138" w:rsidRDefault="00000000">
            <w:pPr>
              <w:spacing w:before="40" w:after="40"/>
            </w:pPr>
            <w:r>
              <w:rPr>
                <w:b/>
                <w:sz w:val="18"/>
              </w:rPr>
              <w:t>Current Assessment</w:t>
            </w:r>
          </w:p>
        </w:tc>
      </w:tr>
      <w:tr w:rsidR="00706138" w14:paraId="5E9EB4A2" w14:textId="77777777">
        <w:tc>
          <w:tcPr>
            <w:tcW w:w="2304" w:type="dxa"/>
          </w:tcPr>
          <w:p w14:paraId="60908E44" w14:textId="77777777" w:rsidR="00706138" w:rsidRDefault="00000000">
            <w:pPr>
              <w:spacing w:before="40" w:after="40"/>
            </w:pPr>
            <w:r>
              <w:rPr>
                <w:sz w:val="18"/>
              </w:rPr>
              <w:t>Dataset name and description</w:t>
            </w:r>
          </w:p>
        </w:tc>
        <w:tc>
          <w:tcPr>
            <w:tcW w:w="7920" w:type="dxa"/>
          </w:tcPr>
          <w:p w14:paraId="24AEBD3E" w14:textId="77777777" w:rsidR="00706138" w:rsidRDefault="00000000">
            <w:pPr>
              <w:spacing w:before="40" w:after="40"/>
            </w:pPr>
            <w:r>
              <w:rPr>
                <w:sz w:val="18"/>
              </w:rPr>
              <w:t>One ITDD-approved de-identified record-level dataset from the QC Open Data programme, most likely Helpline 122 service-request records, requested after direct-identifier removal but before dashboard aggregation, together with its data dictionary, category definitions, refresh schedule, and known quality notes.</w:t>
            </w:r>
          </w:p>
        </w:tc>
      </w:tr>
      <w:tr w:rsidR="00706138" w14:paraId="1EFF8382" w14:textId="77777777">
        <w:tc>
          <w:tcPr>
            <w:tcW w:w="2304" w:type="dxa"/>
          </w:tcPr>
          <w:p w14:paraId="0984A523" w14:textId="77777777" w:rsidR="00706138" w:rsidRDefault="00000000">
            <w:pPr>
              <w:spacing w:before="40" w:after="40"/>
            </w:pPr>
            <w:r>
              <w:rPr>
                <w:sz w:val="18"/>
              </w:rPr>
              <w:t>Source, owner, and provider</w:t>
            </w:r>
          </w:p>
        </w:tc>
        <w:tc>
          <w:tcPr>
            <w:tcW w:w="7920" w:type="dxa"/>
          </w:tcPr>
          <w:p w14:paraId="40BFF3FA" w14:textId="77777777" w:rsidR="00706138" w:rsidRDefault="00000000">
            <w:pPr>
              <w:spacing w:before="40" w:after="40"/>
            </w:pPr>
            <w:r>
              <w:rPr>
                <w:sz w:val="18"/>
              </w:rPr>
              <w:t>Quezon City Information Technology Development Department, with the originating source department as a probable co-approver.</w:t>
            </w:r>
          </w:p>
        </w:tc>
      </w:tr>
      <w:tr w:rsidR="00706138" w14:paraId="14C1F35C" w14:textId="77777777">
        <w:tc>
          <w:tcPr>
            <w:tcW w:w="2304" w:type="dxa"/>
          </w:tcPr>
          <w:p w14:paraId="4B64C2DB" w14:textId="77777777" w:rsidR="00706138" w:rsidRDefault="00000000">
            <w:pPr>
              <w:spacing w:before="40" w:after="40"/>
            </w:pPr>
            <w:r>
              <w:rPr>
                <w:sz w:val="18"/>
              </w:rPr>
              <w:t>Public link</w:t>
            </w:r>
          </w:p>
        </w:tc>
        <w:tc>
          <w:tcPr>
            <w:tcW w:w="7920" w:type="dxa"/>
          </w:tcPr>
          <w:p w14:paraId="739420F9" w14:textId="77777777" w:rsidR="00706138" w:rsidRDefault="00000000">
            <w:pPr>
              <w:spacing w:before="40" w:after="40"/>
            </w:pPr>
            <w:r>
              <w:rPr>
                <w:sz w:val="18"/>
              </w:rPr>
              <w:t>The QC Open Data Dashboard is publicly viewable at quezoncity.gov.ph/program/qc-open-data-dashboard/, and the city publishes a documented Request Information service. The dashboards present aggregated views; a record-level extract is not publicly downloadable and must be requested.</w:t>
            </w:r>
          </w:p>
        </w:tc>
      </w:tr>
      <w:tr w:rsidR="00706138" w14:paraId="6E47A83D" w14:textId="77777777">
        <w:tc>
          <w:tcPr>
            <w:tcW w:w="2304" w:type="dxa"/>
          </w:tcPr>
          <w:p w14:paraId="6FA1D07C" w14:textId="77777777" w:rsidR="00706138" w:rsidRDefault="00000000">
            <w:pPr>
              <w:spacing w:before="40" w:after="40"/>
            </w:pPr>
            <w:r>
              <w:rPr>
                <w:sz w:val="18"/>
              </w:rPr>
              <w:t>Data type and file format</w:t>
            </w:r>
          </w:p>
        </w:tc>
        <w:tc>
          <w:tcPr>
            <w:tcW w:w="7920" w:type="dxa"/>
          </w:tcPr>
          <w:p w14:paraId="2DC80A80" w14:textId="77777777" w:rsidR="00706138" w:rsidRDefault="00000000">
            <w:pPr>
              <w:spacing w:before="40" w:after="40"/>
            </w:pPr>
            <w:r>
              <w:rPr>
                <w:sz w:val="18"/>
              </w:rPr>
              <w:t>Expected CSV or a database export. The dashboard surface must be inspected first to record which fields, filters, periods, and aggregation levels are already public, since that inspection needs nobody's permission and can be done in Week 1.</w:t>
            </w:r>
          </w:p>
        </w:tc>
      </w:tr>
      <w:tr w:rsidR="00706138" w14:paraId="1809815E" w14:textId="77777777">
        <w:tc>
          <w:tcPr>
            <w:tcW w:w="2304" w:type="dxa"/>
          </w:tcPr>
          <w:p w14:paraId="4E0E20E6" w14:textId="77777777" w:rsidR="00706138" w:rsidRDefault="00000000">
            <w:pPr>
              <w:spacing w:before="40" w:after="40"/>
            </w:pPr>
            <w:r>
              <w:rPr>
                <w:sz w:val="18"/>
              </w:rPr>
              <w:t>Estimated size</w:t>
            </w:r>
          </w:p>
        </w:tc>
        <w:tc>
          <w:tcPr>
            <w:tcW w:w="7920" w:type="dxa"/>
          </w:tcPr>
          <w:p w14:paraId="0F10F166" w14:textId="77777777" w:rsidR="00706138" w:rsidRDefault="00000000">
            <w:pPr>
              <w:spacing w:before="40" w:after="40"/>
            </w:pPr>
            <w:r>
              <w:rPr>
                <w:sz w:val="18"/>
              </w:rPr>
              <w:t>The study requires at least 10,000 usable rows. Helpline 122 is a citywide complaint and service channel with dashboards covering 2019 onward, so the volume is plausible, and the exact record count will be confirmed when ITDD replies to the request already sent.</w:t>
            </w:r>
          </w:p>
        </w:tc>
      </w:tr>
      <w:tr w:rsidR="00706138" w14:paraId="15690528" w14:textId="77777777">
        <w:tc>
          <w:tcPr>
            <w:tcW w:w="2304" w:type="dxa"/>
          </w:tcPr>
          <w:p w14:paraId="3FB4A62D" w14:textId="77777777" w:rsidR="00706138" w:rsidRDefault="00000000">
            <w:pPr>
              <w:spacing w:before="40" w:after="40"/>
            </w:pPr>
            <w:r>
              <w:rPr>
                <w:sz w:val="18"/>
              </w:rPr>
              <w:t>Features and attributes</w:t>
            </w:r>
          </w:p>
        </w:tc>
        <w:tc>
          <w:tcPr>
            <w:tcW w:w="7920" w:type="dxa"/>
          </w:tcPr>
          <w:p w14:paraId="1057DA93" w14:textId="77777777" w:rsidR="00706138" w:rsidRDefault="00000000">
            <w:pPr>
              <w:spacing w:before="40" w:after="40"/>
            </w:pPr>
            <w:r>
              <w:rPr>
                <w:sz w:val="18"/>
              </w:rPr>
              <w:t>Request or transaction date, service or concern category and sub-category, barangay or district, status, resolution time, and operational metadata. Narrative text, exact locations, account identifiers, and direct identifiers are excluded at source and must not be received.</w:t>
            </w:r>
          </w:p>
        </w:tc>
      </w:tr>
      <w:tr w:rsidR="00706138" w14:paraId="305225C4" w14:textId="77777777">
        <w:tc>
          <w:tcPr>
            <w:tcW w:w="2304" w:type="dxa"/>
          </w:tcPr>
          <w:p w14:paraId="78F79B81" w14:textId="77777777" w:rsidR="00706138" w:rsidRDefault="00000000">
            <w:pPr>
              <w:spacing w:before="40" w:after="40"/>
            </w:pPr>
            <w:r>
              <w:rPr>
                <w:sz w:val="18"/>
              </w:rPr>
              <w:t>Labels and target variables</w:t>
            </w:r>
          </w:p>
        </w:tc>
        <w:tc>
          <w:tcPr>
            <w:tcW w:w="7920" w:type="dxa"/>
          </w:tcPr>
          <w:p w14:paraId="4E15AB1C" w14:textId="77777777" w:rsidR="00706138" w:rsidRDefault="00000000">
            <w:pPr>
              <w:spacing w:before="40" w:after="40"/>
            </w:pPr>
            <w:r>
              <w:rPr>
                <w:sz w:val="18"/>
              </w:rPr>
              <w:t>Not a prediction task, so no outcome label is required. The measured quantities are equivalence-class size distribution, minimum k, proportion of records in small cells, information loss, and aggregate-query error under each candidate release profile.</w:t>
            </w:r>
          </w:p>
        </w:tc>
      </w:tr>
      <w:tr w:rsidR="00706138" w14:paraId="29FD7C77" w14:textId="77777777">
        <w:tc>
          <w:tcPr>
            <w:tcW w:w="2304" w:type="dxa"/>
          </w:tcPr>
          <w:p w14:paraId="5A7FACD0" w14:textId="77777777" w:rsidR="00706138" w:rsidRDefault="00000000">
            <w:pPr>
              <w:spacing w:before="40" w:after="40"/>
            </w:pPr>
            <w:r>
              <w:rPr>
                <w:sz w:val="18"/>
              </w:rPr>
              <w:t>Accessibility and collection</w:t>
            </w:r>
          </w:p>
        </w:tc>
        <w:tc>
          <w:tcPr>
            <w:tcW w:w="7920" w:type="dxa"/>
          </w:tcPr>
          <w:p w14:paraId="6F1594E1" w14:textId="77777777" w:rsidR="00706138" w:rsidRDefault="00000000">
            <w:pPr>
              <w:spacing w:before="40" w:after="40"/>
            </w:pPr>
            <w:r>
              <w:rPr>
                <w:sz w:val="18"/>
              </w:rPr>
              <w:t>Four steps. First, verify the public surface through the browser and record what is already exposed. Second, review the exact field list, ethics route, and letter wording with the adviser. Third, submit a formal request through QC's Request Information service addressed to ITDD. Fourth, receive under agreed terms only after ethics clearance. A complete letter draft already exists in the group's working files.</w:t>
            </w:r>
          </w:p>
        </w:tc>
      </w:tr>
      <w:tr w:rsidR="00706138" w14:paraId="183AF4A9" w14:textId="77777777">
        <w:tc>
          <w:tcPr>
            <w:tcW w:w="2304" w:type="dxa"/>
          </w:tcPr>
          <w:p w14:paraId="7C9CBD77" w14:textId="77777777" w:rsidR="00706138" w:rsidRDefault="00000000">
            <w:pPr>
              <w:spacing w:before="40" w:after="40"/>
            </w:pPr>
            <w:r>
              <w:rPr>
                <w:sz w:val="18"/>
              </w:rPr>
              <w:t>Permission and licensing</w:t>
            </w:r>
          </w:p>
        </w:tc>
        <w:tc>
          <w:tcPr>
            <w:tcW w:w="7920" w:type="dxa"/>
          </w:tcPr>
          <w:p w14:paraId="241D6F13" w14:textId="77777777" w:rsidR="00706138" w:rsidRDefault="00000000">
            <w:pPr>
              <w:spacing w:before="40" w:after="40"/>
            </w:pPr>
            <w:r>
              <w:rPr>
                <w:sz w:val="18"/>
              </w:rPr>
              <w:t>The approved scope, publication conditions, and any data-sharing requirements are set by ITDD and the source department. The group does not publish the approved record-level extract under any circumstance.</w:t>
            </w:r>
          </w:p>
        </w:tc>
      </w:tr>
      <w:tr w:rsidR="00706138" w14:paraId="1F735A15" w14:textId="77777777">
        <w:tc>
          <w:tcPr>
            <w:tcW w:w="2304" w:type="dxa"/>
          </w:tcPr>
          <w:p w14:paraId="28C8B92F" w14:textId="77777777" w:rsidR="00706138" w:rsidRDefault="00000000">
            <w:pPr>
              <w:spacing w:before="40" w:after="40"/>
            </w:pPr>
            <w:r>
              <w:rPr>
                <w:sz w:val="18"/>
              </w:rPr>
              <w:t>Quality, completeness, and bias</w:t>
            </w:r>
          </w:p>
        </w:tc>
        <w:tc>
          <w:tcPr>
            <w:tcW w:w="7920" w:type="dxa"/>
          </w:tcPr>
          <w:p w14:paraId="377505FC" w14:textId="77777777" w:rsidR="00706138" w:rsidRDefault="00000000">
            <w:pPr>
              <w:spacing w:before="40" w:after="40"/>
            </w:pPr>
            <w:r>
              <w:rPr>
                <w:sz w:val="18"/>
              </w:rPr>
              <w:t>Expected issues include missing or inconsistent categories, changing status codes across years, unknown refresh delays, schema changes, and reporting bias toward barangays and populations that use the channel more. That reporting bias is reported as a limitation and is not corrected for, since correcting it would require assumptions the data cannot support.</w:t>
            </w:r>
          </w:p>
        </w:tc>
      </w:tr>
      <w:tr w:rsidR="00706138" w14:paraId="437BD496" w14:textId="77777777">
        <w:tc>
          <w:tcPr>
            <w:tcW w:w="2304" w:type="dxa"/>
          </w:tcPr>
          <w:p w14:paraId="2753A0B0" w14:textId="77777777" w:rsidR="00706138" w:rsidRDefault="00000000">
            <w:pPr>
              <w:spacing w:before="40" w:after="40"/>
            </w:pPr>
            <w:r>
              <w:rPr>
                <w:sz w:val="18"/>
              </w:rPr>
              <w:t>Preprocessing and storage</w:t>
            </w:r>
          </w:p>
        </w:tc>
        <w:tc>
          <w:tcPr>
            <w:tcW w:w="7920" w:type="dxa"/>
          </w:tcPr>
          <w:p w14:paraId="4E48373C" w14:textId="77777777" w:rsidR="00706138" w:rsidRDefault="00000000">
            <w:pPr>
              <w:spacing w:before="40" w:after="40"/>
            </w:pPr>
            <w:r>
              <w:rPr>
                <w:sz w:val="18"/>
              </w:rPr>
              <w:t>Immutable restricted copy with checksum and provenance; prohibited-field scan before any analytical module runs; all work on versioned derivatives; no attempt to link the research copy to any public dataset or to recover identities.</w:t>
            </w:r>
          </w:p>
        </w:tc>
      </w:tr>
      <w:tr w:rsidR="00706138" w14:paraId="7A40D60E" w14:textId="77777777">
        <w:tc>
          <w:tcPr>
            <w:tcW w:w="2304" w:type="dxa"/>
          </w:tcPr>
          <w:p w14:paraId="00974587" w14:textId="77777777" w:rsidR="00706138" w:rsidRDefault="00000000">
            <w:pPr>
              <w:spacing w:before="40" w:after="40"/>
            </w:pPr>
            <w:r>
              <w:rPr>
                <w:sz w:val="18"/>
              </w:rPr>
              <w:t xml:space="preserve">Training, validation, </w:t>
            </w:r>
            <w:r>
              <w:rPr>
                <w:sz w:val="18"/>
              </w:rPr>
              <w:lastRenderedPageBreak/>
              <w:t>testing</w:t>
            </w:r>
          </w:p>
        </w:tc>
        <w:tc>
          <w:tcPr>
            <w:tcW w:w="7920" w:type="dxa"/>
          </w:tcPr>
          <w:p w14:paraId="46530703" w14:textId="77777777" w:rsidR="00706138" w:rsidRDefault="00000000">
            <w:pPr>
              <w:spacing w:before="40" w:after="40"/>
            </w:pPr>
            <w:r>
              <w:rPr>
                <w:sz w:val="18"/>
              </w:rPr>
              <w:lastRenderedPageBreak/>
              <w:t xml:space="preserve">Not a supervised split. Evaluation compares release profiles on the same dataset across multiple </w:t>
            </w:r>
            <w:r>
              <w:rPr>
                <w:sz w:val="18"/>
              </w:rPr>
              <w:lastRenderedPageBreak/>
              <w:t>values of k, reporting risk and utility for each. The pipeline is first validated on a public benchmark microdata set with published k-anonymity results, so correctness is established before the real extract is touched.</w:t>
            </w:r>
          </w:p>
        </w:tc>
      </w:tr>
      <w:tr w:rsidR="00706138" w14:paraId="18F49732" w14:textId="77777777">
        <w:tc>
          <w:tcPr>
            <w:tcW w:w="2304" w:type="dxa"/>
          </w:tcPr>
          <w:p w14:paraId="2460C5D5" w14:textId="77777777" w:rsidR="00706138" w:rsidRDefault="00000000">
            <w:pPr>
              <w:spacing w:before="40" w:after="40"/>
            </w:pPr>
            <w:r>
              <w:rPr>
                <w:sz w:val="18"/>
              </w:rPr>
              <w:lastRenderedPageBreak/>
              <w:t>Alternative data plan</w:t>
            </w:r>
          </w:p>
        </w:tc>
        <w:tc>
          <w:tcPr>
            <w:tcW w:w="7920" w:type="dxa"/>
          </w:tcPr>
          <w:p w14:paraId="2F9241D7" w14:textId="77777777" w:rsidR="00706138" w:rsidRDefault="00000000">
            <w:pPr>
              <w:spacing w:before="40" w:after="40"/>
            </w:pPr>
            <w:r>
              <w:rPr>
                <w:sz w:val="18"/>
              </w:rPr>
              <w:t>Three fallbacks in order. First, a different QC dataset if the first choice is refused, since the method is dataset-agnostic. Second, a Philippine Statistics Authority anonymised microdata product, which is a real and obtainable microdata source. Third, a published benchmark microdata set such as UCI Adult, which preserves the full method and every measurement but loses the local government finding and the practical contribution to the city.</w:t>
            </w:r>
          </w:p>
        </w:tc>
      </w:tr>
    </w:tbl>
    <w:p w14:paraId="7A591494" w14:textId="77777777" w:rsidR="00706138" w:rsidRDefault="00706138">
      <w:pPr>
        <w:spacing w:after="40"/>
      </w:pPr>
    </w:p>
    <w:p w14:paraId="4677738B" w14:textId="77777777" w:rsidR="00706138" w:rsidRDefault="00000000">
      <w:pPr>
        <w:jc w:val="both"/>
      </w:pPr>
      <w:r>
        <w:t xml:space="preserve">Dataset finding. Stronger than most of the titles on this criterion, for two reasons that are both verifiable rather than hoped for: Quezon City operates a documented public request channel with a named responsible department, and a substantial part of the Week 1 work, inspecting the public dashboard surface, requires nobody's approval. The formal letter and email to ITDD were sent on September 23, 2026, following an earlier request through an identified contact in the city, so what is outstanding is the reply and the shape of the record-level extract, and the response time is the part that stays outside the group's control.</w:t>
      </w:r>
    </w:p>
    <w:tbl>
      <w:tblPr>
        <w:tblStyle w:val="TableGrid"/>
        <w:tblW w:w="0" w:type="auto"/>
        <w:jc w:val="center"/>
        <w:tblLook w:val="04A0" w:firstRow="1" w:lastRow="0" w:firstColumn="1" w:lastColumn="0" w:noHBand="0" w:noVBand="1"/>
      </w:tblPr>
      <w:tblGrid>
        <w:gridCol w:w="10224"/>
      </w:tblGrid>
      <w:tr w:rsidR="00706138" w14:paraId="448FD04C" w14:textId="77777777">
        <w:trPr>
          <w:jc w:val="center"/>
        </w:trPr>
        <w:tc>
          <w:tcPr>
            <w:tcW w:w="10224" w:type="dxa"/>
            <w:shd w:val="clear" w:color="auto" w:fill="4EA72E"/>
          </w:tcPr>
          <w:p w14:paraId="6F98660C" w14:textId="77777777" w:rsidR="00706138" w:rsidRDefault="00000000">
            <w:pPr>
              <w:spacing w:before="40" w:after="40"/>
            </w:pPr>
            <w:r>
              <w:rPr>
                <w:b/>
                <w:sz w:val="22"/>
              </w:rPr>
              <w:t>5. Algorithm or Model Feasibility</w:t>
            </w:r>
          </w:p>
        </w:tc>
      </w:tr>
    </w:tbl>
    <w:p w14:paraId="5C36C9DA" w14:textId="77777777" w:rsidR="00706138" w:rsidRDefault="00706138">
      <w:pPr>
        <w:spacing w:after="40"/>
      </w:pPr>
    </w:p>
    <w:tbl>
      <w:tblPr>
        <w:tblStyle w:val="TableGrid"/>
        <w:tblW w:w="0" w:type="auto"/>
        <w:tblLook w:val="04A0" w:firstRow="1" w:lastRow="0" w:firstColumn="1" w:lastColumn="0" w:noHBand="0" w:noVBand="1"/>
      </w:tblPr>
      <w:tblGrid>
        <w:gridCol w:w="1872"/>
        <w:gridCol w:w="2808"/>
        <w:gridCol w:w="2808"/>
        <w:gridCol w:w="2808"/>
      </w:tblGrid>
      <w:tr w:rsidR="00706138" w14:paraId="3EF610F6" w14:textId="77777777">
        <w:tc>
          <w:tcPr>
            <w:tcW w:w="1872" w:type="dxa"/>
            <w:shd w:val="clear" w:color="auto" w:fill="EDEDED"/>
          </w:tcPr>
          <w:p w14:paraId="3CEA8CA8" w14:textId="77777777" w:rsidR="00706138" w:rsidRDefault="00000000">
            <w:pPr>
              <w:spacing w:before="40" w:after="40"/>
            </w:pPr>
            <w:r>
              <w:rPr>
                <w:b/>
                <w:sz w:val="18"/>
              </w:rPr>
              <w:t>Evaluation Area</w:t>
            </w:r>
          </w:p>
        </w:tc>
        <w:tc>
          <w:tcPr>
            <w:tcW w:w="2808" w:type="dxa"/>
            <w:shd w:val="clear" w:color="auto" w:fill="EDEDED"/>
          </w:tcPr>
          <w:p w14:paraId="0D22E86B" w14:textId="77777777" w:rsidR="00706138" w:rsidRDefault="00000000">
            <w:pPr>
              <w:spacing w:before="40" w:after="40"/>
            </w:pPr>
            <w:r>
              <w:rPr>
                <w:b/>
                <w:sz w:val="18"/>
              </w:rPr>
              <w:t>Approach 1</w:t>
            </w:r>
          </w:p>
        </w:tc>
        <w:tc>
          <w:tcPr>
            <w:tcW w:w="2808" w:type="dxa"/>
            <w:shd w:val="clear" w:color="auto" w:fill="EDEDED"/>
          </w:tcPr>
          <w:p w14:paraId="0F3B0D1E" w14:textId="77777777" w:rsidR="00706138" w:rsidRDefault="00000000">
            <w:pPr>
              <w:spacing w:before="40" w:after="40"/>
            </w:pPr>
            <w:r>
              <w:rPr>
                <w:b/>
                <w:sz w:val="18"/>
              </w:rPr>
              <w:t>Approach 2</w:t>
            </w:r>
          </w:p>
        </w:tc>
        <w:tc>
          <w:tcPr>
            <w:tcW w:w="2808" w:type="dxa"/>
            <w:shd w:val="clear" w:color="auto" w:fill="EDEDED"/>
          </w:tcPr>
          <w:p w14:paraId="6772ECDF" w14:textId="77777777" w:rsidR="00706138" w:rsidRDefault="00000000">
            <w:pPr>
              <w:spacing w:before="40" w:after="40"/>
            </w:pPr>
            <w:r>
              <w:rPr>
                <w:b/>
                <w:sz w:val="18"/>
              </w:rPr>
              <w:t>Approach 3</w:t>
            </w:r>
          </w:p>
        </w:tc>
      </w:tr>
      <w:tr w:rsidR="00706138" w14:paraId="0D80D400" w14:textId="77777777">
        <w:tc>
          <w:tcPr>
            <w:tcW w:w="1872" w:type="dxa"/>
          </w:tcPr>
          <w:p w14:paraId="00F58111" w14:textId="77777777" w:rsidR="00706138" w:rsidRDefault="00000000">
            <w:pPr>
              <w:spacing w:before="40" w:after="40"/>
            </w:pPr>
            <w:r>
              <w:rPr>
                <w:sz w:val="18"/>
              </w:rPr>
              <w:t>Name of algorithm or approach</w:t>
            </w:r>
          </w:p>
        </w:tc>
        <w:tc>
          <w:tcPr>
            <w:tcW w:w="2808" w:type="dxa"/>
          </w:tcPr>
          <w:p w14:paraId="65651887" w14:textId="77777777" w:rsidR="00706138" w:rsidRDefault="00000000">
            <w:pPr>
              <w:spacing w:before="40" w:after="40"/>
            </w:pPr>
            <w:r>
              <w:rPr>
                <w:sz w:val="18"/>
              </w:rPr>
              <w:t>Fixed small-cell suppression threshold, the current common practice baseline</w:t>
            </w:r>
          </w:p>
        </w:tc>
        <w:tc>
          <w:tcPr>
            <w:tcW w:w="2808" w:type="dxa"/>
          </w:tcPr>
          <w:p w14:paraId="726AEB73" w14:textId="77777777" w:rsidR="00706138" w:rsidRDefault="00000000">
            <w:pPr>
              <w:spacing w:before="40" w:after="40"/>
            </w:pPr>
            <w:r>
              <w:rPr>
                <w:sz w:val="18"/>
              </w:rPr>
              <w:t>Mondrian multidimensional k-anonymity through greedy recursive partitioning</w:t>
            </w:r>
          </w:p>
        </w:tc>
        <w:tc>
          <w:tcPr>
            <w:tcW w:w="2808" w:type="dxa"/>
          </w:tcPr>
          <w:p w14:paraId="0AD7A27A" w14:textId="77777777" w:rsidR="00706138" w:rsidRDefault="00000000">
            <w:pPr>
              <w:spacing w:before="40" w:after="40"/>
            </w:pPr>
            <w:r>
              <w:rPr>
                <w:sz w:val="18"/>
              </w:rPr>
              <w:t>Differential privacy using the Laplace mechanism on aggregate queries</w:t>
            </w:r>
          </w:p>
        </w:tc>
      </w:tr>
      <w:tr w:rsidR="00706138" w14:paraId="4DB56D1C" w14:textId="77777777">
        <w:tc>
          <w:tcPr>
            <w:tcW w:w="1872" w:type="dxa"/>
          </w:tcPr>
          <w:p w14:paraId="2251C7E3" w14:textId="77777777" w:rsidR="00706138" w:rsidRDefault="00000000">
            <w:pPr>
              <w:spacing w:before="40" w:after="40"/>
            </w:pPr>
            <w:r>
              <w:rPr>
                <w:sz w:val="18"/>
              </w:rPr>
              <w:t>Purpose in the proposed project</w:t>
            </w:r>
          </w:p>
        </w:tc>
        <w:tc>
          <w:tcPr>
            <w:tcW w:w="2808" w:type="dxa"/>
          </w:tcPr>
          <w:p w14:paraId="366E18AC" w14:textId="77777777" w:rsidR="00706138" w:rsidRDefault="00000000">
            <w:pPr>
              <w:spacing w:before="40" w:after="40"/>
            </w:pPr>
            <w:r>
              <w:rPr>
                <w:sz w:val="18"/>
              </w:rPr>
              <w:t>Establish the baseline that the city's present approach approximates, so any improvement is measured against real practice rather than a straw man</w:t>
            </w:r>
          </w:p>
        </w:tc>
        <w:tc>
          <w:tcPr>
            <w:tcW w:w="2808" w:type="dxa"/>
          </w:tcPr>
          <w:p w14:paraId="38B543B8" w14:textId="77777777" w:rsidR="00706138" w:rsidRDefault="00000000">
            <w:pPr>
              <w:spacing w:before="40" w:after="40"/>
            </w:pPr>
            <w:r>
              <w:rPr>
                <w:sz w:val="18"/>
              </w:rPr>
              <w:t>Generate release profiles that reach a declared k with less information loss than the baseline</w:t>
            </w:r>
          </w:p>
        </w:tc>
        <w:tc>
          <w:tcPr>
            <w:tcW w:w="2808" w:type="dxa"/>
          </w:tcPr>
          <w:p w14:paraId="1CF3BD64" w14:textId="77777777" w:rsidR="00706138" w:rsidRDefault="00000000">
            <w:pPr>
              <w:spacing w:before="40" w:after="40"/>
            </w:pPr>
            <w:r>
              <w:rPr>
                <w:sz w:val="18"/>
              </w:rPr>
              <w:t>Provide a formal-guarantee comparison point for aggregate statistics</w:t>
            </w:r>
          </w:p>
        </w:tc>
      </w:tr>
      <w:tr w:rsidR="00706138" w14:paraId="49BB475C" w14:textId="77777777">
        <w:tc>
          <w:tcPr>
            <w:tcW w:w="1872" w:type="dxa"/>
          </w:tcPr>
          <w:p w14:paraId="4427A576" w14:textId="77777777" w:rsidR="00706138" w:rsidRDefault="00000000">
            <w:pPr>
              <w:spacing w:before="40" w:after="40"/>
            </w:pPr>
            <w:r>
              <w:rPr>
                <w:sz w:val="18"/>
              </w:rPr>
              <w:t>Dataset requirements</w:t>
            </w:r>
          </w:p>
        </w:tc>
        <w:tc>
          <w:tcPr>
            <w:tcW w:w="2808" w:type="dxa"/>
          </w:tcPr>
          <w:p w14:paraId="400374FC" w14:textId="77777777" w:rsidR="00706138" w:rsidRDefault="00000000">
            <w:pPr>
              <w:spacing w:before="40" w:after="40"/>
            </w:pPr>
            <w:r>
              <w:rPr>
                <w:sz w:val="18"/>
              </w:rPr>
              <w:t>Any tabular dataset with categorical fields</w:t>
            </w:r>
          </w:p>
        </w:tc>
        <w:tc>
          <w:tcPr>
            <w:tcW w:w="2808" w:type="dxa"/>
          </w:tcPr>
          <w:p w14:paraId="5FABCE92" w14:textId="77777777" w:rsidR="00706138" w:rsidRDefault="00000000">
            <w:pPr>
              <w:spacing w:before="40" w:after="40"/>
            </w:pPr>
            <w:r>
              <w:rPr>
                <w:sz w:val="18"/>
              </w:rPr>
              <w:t>Identified quasi-identifiers and a generalisation hierarchy defined per attribute</w:t>
            </w:r>
          </w:p>
        </w:tc>
        <w:tc>
          <w:tcPr>
            <w:tcW w:w="2808" w:type="dxa"/>
          </w:tcPr>
          <w:p w14:paraId="5D20ADE0" w14:textId="77777777" w:rsidR="00706138" w:rsidRDefault="00000000">
            <w:pPr>
              <w:spacing w:before="40" w:after="40"/>
            </w:pPr>
            <w:r>
              <w:rPr>
                <w:sz w:val="18"/>
              </w:rPr>
              <w:t>A defined query set and a privacy budget; does not release record-level data at all</w:t>
            </w:r>
          </w:p>
        </w:tc>
      </w:tr>
      <w:tr w:rsidR="00706138" w14:paraId="5AFB7A11" w14:textId="77777777">
        <w:tc>
          <w:tcPr>
            <w:tcW w:w="1872" w:type="dxa"/>
          </w:tcPr>
          <w:p w14:paraId="30AD7E39" w14:textId="77777777" w:rsidR="00706138" w:rsidRDefault="00000000">
            <w:pPr>
              <w:spacing w:before="40" w:after="40"/>
            </w:pPr>
            <w:r>
              <w:rPr>
                <w:sz w:val="18"/>
              </w:rPr>
              <w:t>Expected performance</w:t>
            </w:r>
          </w:p>
        </w:tc>
        <w:tc>
          <w:tcPr>
            <w:tcW w:w="2808" w:type="dxa"/>
          </w:tcPr>
          <w:p w14:paraId="0AD01678" w14:textId="77777777" w:rsidR="00706138" w:rsidRDefault="00000000">
            <w:pPr>
              <w:spacing w:before="40" w:after="40"/>
            </w:pPr>
            <w:r>
              <w:rPr>
                <w:sz w:val="18"/>
              </w:rPr>
              <w:t>Meets the threshold but over-suppresses, discarding detail that a smarter partition would have kept</w:t>
            </w:r>
          </w:p>
        </w:tc>
        <w:tc>
          <w:tcPr>
            <w:tcW w:w="2808" w:type="dxa"/>
          </w:tcPr>
          <w:p w14:paraId="6BFAB130" w14:textId="77777777" w:rsidR="00706138" w:rsidRDefault="00000000">
            <w:pPr>
              <w:spacing w:before="40" w:after="40"/>
            </w:pPr>
            <w:r>
              <w:rPr>
                <w:sz w:val="18"/>
              </w:rPr>
              <w:t>Expected to reach the same k with measurably lower information loss, which is the study's central hypothesis</w:t>
            </w:r>
          </w:p>
        </w:tc>
        <w:tc>
          <w:tcPr>
            <w:tcW w:w="2808" w:type="dxa"/>
          </w:tcPr>
          <w:p w14:paraId="0B6C761A" w14:textId="77777777" w:rsidR="00706138" w:rsidRDefault="00000000">
            <w:pPr>
              <w:spacing w:before="40" w:after="40"/>
            </w:pPr>
            <w:r>
              <w:rPr>
                <w:sz w:val="18"/>
              </w:rPr>
              <w:t>Strong formal guarantee, but not comparable on a record-level release task</w:t>
            </w:r>
          </w:p>
        </w:tc>
      </w:tr>
      <w:tr w:rsidR="00706138" w14:paraId="52F3C173" w14:textId="77777777">
        <w:tc>
          <w:tcPr>
            <w:tcW w:w="1872" w:type="dxa"/>
          </w:tcPr>
          <w:p w14:paraId="7C86C7F9" w14:textId="77777777" w:rsidR="00706138" w:rsidRDefault="00000000">
            <w:pPr>
              <w:spacing w:before="40" w:after="40"/>
            </w:pPr>
            <w:r>
              <w:rPr>
                <w:sz w:val="18"/>
              </w:rPr>
              <w:t>Computational requirements</w:t>
            </w:r>
          </w:p>
        </w:tc>
        <w:tc>
          <w:tcPr>
            <w:tcW w:w="2808" w:type="dxa"/>
          </w:tcPr>
          <w:p w14:paraId="59B28794" w14:textId="77777777" w:rsidR="00706138" w:rsidRDefault="00000000">
            <w:pPr>
              <w:spacing w:before="40" w:after="40"/>
            </w:pPr>
            <w:r>
              <w:rPr>
                <w:sz w:val="18"/>
              </w:rPr>
              <w:t>Trivial</w:t>
            </w:r>
          </w:p>
        </w:tc>
        <w:tc>
          <w:tcPr>
            <w:tcW w:w="2808" w:type="dxa"/>
          </w:tcPr>
          <w:p w14:paraId="310816CD" w14:textId="77777777" w:rsidR="00706138" w:rsidRDefault="00000000">
            <w:pPr>
              <w:spacing w:before="40" w:after="40"/>
            </w:pPr>
            <w:r>
              <w:rPr>
                <w:sz w:val="18"/>
              </w:rPr>
              <w:t>Low to moderate; recursive partitioning completes in seconds to minutes at this scale</w:t>
            </w:r>
          </w:p>
        </w:tc>
        <w:tc>
          <w:tcPr>
            <w:tcW w:w="2808" w:type="dxa"/>
          </w:tcPr>
          <w:p w14:paraId="1E5F8EBE" w14:textId="77777777" w:rsidR="00706138" w:rsidRDefault="00000000">
            <w:pPr>
              <w:spacing w:before="40" w:after="40"/>
            </w:pPr>
            <w:r>
              <w:rPr>
                <w:sz w:val="18"/>
              </w:rPr>
              <w:t>Low for the noise mechanism, but budget accounting adds design overhead</w:t>
            </w:r>
          </w:p>
        </w:tc>
      </w:tr>
      <w:tr w:rsidR="00706138" w14:paraId="578BC6B4" w14:textId="77777777">
        <w:tc>
          <w:tcPr>
            <w:tcW w:w="1872" w:type="dxa"/>
          </w:tcPr>
          <w:p w14:paraId="6C513BFB" w14:textId="77777777" w:rsidR="00706138" w:rsidRDefault="00000000">
            <w:pPr>
              <w:spacing w:before="40" w:after="40"/>
            </w:pPr>
            <w:r>
              <w:rPr>
                <w:sz w:val="18"/>
              </w:rPr>
              <w:t>Advantages</w:t>
            </w:r>
          </w:p>
        </w:tc>
        <w:tc>
          <w:tcPr>
            <w:tcW w:w="2808" w:type="dxa"/>
          </w:tcPr>
          <w:p w14:paraId="0376F8E9" w14:textId="77777777" w:rsidR="00706138" w:rsidRDefault="00000000">
            <w:pPr>
              <w:spacing w:before="40" w:after="40"/>
            </w:pPr>
            <w:r>
              <w:rPr>
                <w:sz w:val="18"/>
              </w:rPr>
              <w:t>Simple, explainable, and already understood by data owners</w:t>
            </w:r>
          </w:p>
        </w:tc>
        <w:tc>
          <w:tcPr>
            <w:tcW w:w="2808" w:type="dxa"/>
          </w:tcPr>
          <w:p w14:paraId="0637A557" w14:textId="77777777" w:rsidR="00706138" w:rsidRDefault="00000000">
            <w:pPr>
              <w:spacing w:before="40" w:after="40"/>
            </w:pPr>
            <w:r>
              <w:rPr>
                <w:sz w:val="18"/>
              </w:rPr>
              <w:t>Multidimensional partitioning preserves more utility than fixed global rules; the mechanism is inspectable and can be shown to a panel</w:t>
            </w:r>
          </w:p>
        </w:tc>
        <w:tc>
          <w:tcPr>
            <w:tcW w:w="2808" w:type="dxa"/>
          </w:tcPr>
          <w:p w14:paraId="1FCEB1E8" w14:textId="77777777" w:rsidR="00706138" w:rsidRDefault="00000000">
            <w:pPr>
              <w:spacing w:before="40" w:after="40"/>
            </w:pPr>
            <w:r>
              <w:rPr>
                <w:sz w:val="18"/>
              </w:rPr>
              <w:t>Provides a mathematical guarantee that k-anonymity cannot</w:t>
            </w:r>
          </w:p>
        </w:tc>
      </w:tr>
      <w:tr w:rsidR="00706138" w14:paraId="667E602C" w14:textId="77777777">
        <w:tc>
          <w:tcPr>
            <w:tcW w:w="1872" w:type="dxa"/>
          </w:tcPr>
          <w:p w14:paraId="2852D4CA" w14:textId="77777777" w:rsidR="00706138" w:rsidRDefault="00000000">
            <w:pPr>
              <w:spacing w:before="40" w:after="40"/>
            </w:pPr>
            <w:r>
              <w:rPr>
                <w:sz w:val="18"/>
              </w:rPr>
              <w:t>Limitations</w:t>
            </w:r>
          </w:p>
        </w:tc>
        <w:tc>
          <w:tcPr>
            <w:tcW w:w="2808" w:type="dxa"/>
          </w:tcPr>
          <w:p w14:paraId="0CBA045B" w14:textId="77777777" w:rsidR="00706138" w:rsidRDefault="00000000">
            <w:pPr>
              <w:spacing w:before="40" w:after="40"/>
            </w:pPr>
            <w:r>
              <w:rPr>
                <w:sz w:val="18"/>
              </w:rPr>
              <w:t>Blunt and lossy; cannot adapt to which combinations are actually rare</w:t>
            </w:r>
          </w:p>
        </w:tc>
        <w:tc>
          <w:tcPr>
            <w:tcW w:w="2808" w:type="dxa"/>
          </w:tcPr>
          <w:p w14:paraId="5745C8A9" w14:textId="77777777" w:rsidR="00706138" w:rsidRDefault="00000000">
            <w:pPr>
              <w:spacing w:before="40" w:after="40"/>
            </w:pPr>
            <w:r>
              <w:rPr>
                <w:sz w:val="18"/>
              </w:rPr>
              <w:t>k-anonymity is vulnerable to homogeneity and background-knowledge attacks, and is not a legal guarantee of anonymity</w:t>
            </w:r>
          </w:p>
        </w:tc>
        <w:tc>
          <w:tcPr>
            <w:tcW w:w="2808" w:type="dxa"/>
          </w:tcPr>
          <w:p w14:paraId="2B2FDEAD" w14:textId="77777777" w:rsidR="00706138" w:rsidRDefault="00000000">
            <w:pPr>
              <w:spacing w:before="40" w:after="40"/>
            </w:pPr>
            <w:r>
              <w:rPr>
                <w:sz w:val="18"/>
              </w:rPr>
              <w:t>Answers a different question, since it supports aggregate queries rather than a record-level release, so it is a reference point and not a substitute</w:t>
            </w:r>
          </w:p>
        </w:tc>
      </w:tr>
      <w:tr w:rsidR="00706138" w14:paraId="6D222E90" w14:textId="77777777">
        <w:tc>
          <w:tcPr>
            <w:tcW w:w="1872" w:type="dxa"/>
          </w:tcPr>
          <w:p w14:paraId="193C6336" w14:textId="77777777" w:rsidR="00706138" w:rsidRDefault="00000000">
            <w:pPr>
              <w:spacing w:before="40" w:after="40"/>
            </w:pPr>
            <w:r>
              <w:rPr>
                <w:sz w:val="18"/>
              </w:rPr>
              <w:t>Evaluation metrics</w:t>
            </w:r>
          </w:p>
        </w:tc>
        <w:tc>
          <w:tcPr>
            <w:tcW w:w="2808" w:type="dxa"/>
          </w:tcPr>
          <w:p w14:paraId="3CB6BF52" w14:textId="77777777" w:rsidR="00706138" w:rsidRDefault="00000000">
            <w:pPr>
              <w:spacing w:before="40" w:after="40"/>
            </w:pPr>
            <w:r>
              <w:rPr>
                <w:sz w:val="18"/>
              </w:rPr>
              <w:t>Minimum k achieved, suppression rate, information loss</w:t>
            </w:r>
          </w:p>
        </w:tc>
        <w:tc>
          <w:tcPr>
            <w:tcW w:w="2808" w:type="dxa"/>
          </w:tcPr>
          <w:p w14:paraId="49D6892D" w14:textId="77777777" w:rsidR="00706138" w:rsidRDefault="00000000">
            <w:pPr>
              <w:spacing w:before="40" w:after="40"/>
            </w:pPr>
            <w:r>
              <w:rPr>
                <w:sz w:val="18"/>
              </w:rPr>
              <w:t>Minimum k, equivalence-class size distribution, discernibility metric, normalised certainty penalty, and aggregate-query error against the ungeneralised copy</w:t>
            </w:r>
          </w:p>
        </w:tc>
        <w:tc>
          <w:tcPr>
            <w:tcW w:w="2808" w:type="dxa"/>
          </w:tcPr>
          <w:p w14:paraId="46595BC3" w14:textId="77777777" w:rsidR="00706138" w:rsidRDefault="00000000">
            <w:pPr>
              <w:spacing w:before="40" w:after="40"/>
            </w:pPr>
            <w:r>
              <w:rPr>
                <w:sz w:val="18"/>
              </w:rPr>
              <w:t>Epsilon spent against measured query error</w:t>
            </w:r>
          </w:p>
        </w:tc>
      </w:tr>
      <w:tr w:rsidR="00706138" w14:paraId="34427F68" w14:textId="77777777">
        <w:tc>
          <w:tcPr>
            <w:tcW w:w="1872" w:type="dxa"/>
          </w:tcPr>
          <w:p w14:paraId="53614BA3" w14:textId="77777777" w:rsidR="00706138" w:rsidRDefault="00000000">
            <w:pPr>
              <w:spacing w:before="40" w:after="40"/>
            </w:pPr>
            <w:r>
              <w:rPr>
                <w:sz w:val="18"/>
              </w:rPr>
              <w:t xml:space="preserve">Implementation </w:t>
            </w:r>
            <w:r>
              <w:rPr>
                <w:sz w:val="18"/>
              </w:rPr>
              <w:lastRenderedPageBreak/>
              <w:t>complexity</w:t>
            </w:r>
          </w:p>
        </w:tc>
        <w:tc>
          <w:tcPr>
            <w:tcW w:w="2808" w:type="dxa"/>
          </w:tcPr>
          <w:p w14:paraId="569F99D5" w14:textId="77777777" w:rsidR="00706138" w:rsidRDefault="00000000">
            <w:pPr>
              <w:spacing w:before="40" w:after="40"/>
            </w:pPr>
            <w:r>
              <w:rPr>
                <w:sz w:val="18"/>
              </w:rPr>
              <w:lastRenderedPageBreak/>
              <w:t>Very low</w:t>
            </w:r>
          </w:p>
        </w:tc>
        <w:tc>
          <w:tcPr>
            <w:tcW w:w="2808" w:type="dxa"/>
          </w:tcPr>
          <w:p w14:paraId="43DD769E" w14:textId="77777777" w:rsidR="00706138" w:rsidRDefault="00000000">
            <w:pPr>
              <w:spacing w:before="40" w:after="40"/>
            </w:pPr>
            <w:r>
              <w:rPr>
                <w:sz w:val="18"/>
              </w:rPr>
              <w:t xml:space="preserve">Moderate; roughly 200 lines with published pseudocode and </w:t>
            </w:r>
            <w:r>
              <w:rPr>
                <w:sz w:val="18"/>
              </w:rPr>
              <w:lastRenderedPageBreak/>
              <w:t>reference implementations available for cross-checking</w:t>
            </w:r>
          </w:p>
        </w:tc>
        <w:tc>
          <w:tcPr>
            <w:tcW w:w="2808" w:type="dxa"/>
          </w:tcPr>
          <w:p w14:paraId="221C5701" w14:textId="77777777" w:rsidR="00706138" w:rsidRDefault="00000000">
            <w:pPr>
              <w:spacing w:before="40" w:after="40"/>
            </w:pPr>
            <w:r>
              <w:rPr>
                <w:sz w:val="18"/>
              </w:rPr>
              <w:lastRenderedPageBreak/>
              <w:t xml:space="preserve">Moderate to high, mainly in </w:t>
            </w:r>
            <w:r>
              <w:rPr>
                <w:sz w:val="18"/>
              </w:rPr>
              <w:lastRenderedPageBreak/>
              <w:t>budget accounting</w:t>
            </w:r>
          </w:p>
        </w:tc>
      </w:tr>
    </w:tbl>
    <w:p w14:paraId="761E7B8A" w14:textId="77777777" w:rsidR="00706138" w:rsidRDefault="00706138">
      <w:pPr>
        <w:spacing w:after="40"/>
      </w:pPr>
    </w:p>
    <w:p w14:paraId="0A765745" w14:textId="77777777" w:rsidR="00706138" w:rsidRDefault="00000000">
      <w:pPr>
        <w:jc w:val="both"/>
      </w:pPr>
      <w:r>
        <w:t>Recommended approach. Mondrian k-anonymity is the primary algorithm, because the research question is specifically whether a declared risk threshold can be reached with less information loss than blanket aggregation, and Mondrian is the established method that makes that comparison measurable on a record-level release. Fixed small-cell suppression is retained as the mandatory baseline, since a result is only meaningful against what data owners actually do today. Differential privacy is included in the comparison as a discussion reference and is explicitly out of scope for implementation, because it answers a different release question. k is treated as a configurable study parameter reported across multiple plausible values, never as a legal guarantee, and the final policy used in any conclusion is approved by the adviser or the data owner. The pipeline is validated against a public benchmark with published results before the city extract is used.</w:t>
      </w:r>
    </w:p>
    <w:tbl>
      <w:tblPr>
        <w:tblStyle w:val="TableGrid"/>
        <w:tblW w:w="0" w:type="auto"/>
        <w:jc w:val="center"/>
        <w:tblLook w:val="04A0" w:firstRow="1" w:lastRow="0" w:firstColumn="1" w:lastColumn="0" w:noHBand="0" w:noVBand="1"/>
      </w:tblPr>
      <w:tblGrid>
        <w:gridCol w:w="10224"/>
      </w:tblGrid>
      <w:tr w:rsidR="00706138" w14:paraId="5C9491FE" w14:textId="77777777">
        <w:trPr>
          <w:jc w:val="center"/>
        </w:trPr>
        <w:tc>
          <w:tcPr>
            <w:tcW w:w="10224" w:type="dxa"/>
            <w:shd w:val="clear" w:color="auto" w:fill="4EA72E"/>
          </w:tcPr>
          <w:p w14:paraId="78FEA889" w14:textId="77777777" w:rsidR="00706138" w:rsidRDefault="00000000">
            <w:pPr>
              <w:spacing w:before="40" w:after="40"/>
            </w:pPr>
            <w:r>
              <w:rPr>
                <w:b/>
                <w:sz w:val="22"/>
              </w:rPr>
              <w:t>6. Operational Feasibility</w:t>
            </w:r>
          </w:p>
        </w:tc>
      </w:tr>
    </w:tbl>
    <w:p w14:paraId="4AB1B1C9" w14:textId="77777777" w:rsidR="00706138" w:rsidRDefault="00706138">
      <w:pPr>
        <w:spacing w:after="40"/>
      </w:pPr>
    </w:p>
    <w:tbl>
      <w:tblPr>
        <w:tblStyle w:val="TableGrid"/>
        <w:tblW w:w="0" w:type="auto"/>
        <w:tblLook w:val="04A0" w:firstRow="1" w:lastRow="0" w:firstColumn="1" w:lastColumn="0" w:noHBand="0" w:noVBand="1"/>
      </w:tblPr>
      <w:tblGrid>
        <w:gridCol w:w="2304"/>
        <w:gridCol w:w="7920"/>
      </w:tblGrid>
      <w:tr w:rsidR="00706138" w14:paraId="08BA5F5B" w14:textId="77777777">
        <w:tc>
          <w:tcPr>
            <w:tcW w:w="2304" w:type="dxa"/>
            <w:shd w:val="clear" w:color="auto" w:fill="EDEDED"/>
          </w:tcPr>
          <w:p w14:paraId="1DFE572B" w14:textId="77777777" w:rsidR="00706138" w:rsidRDefault="00000000">
            <w:pPr>
              <w:spacing w:before="40" w:after="40"/>
            </w:pPr>
            <w:r>
              <w:rPr>
                <w:b/>
                <w:sz w:val="18"/>
              </w:rPr>
              <w:t>Area</w:t>
            </w:r>
          </w:p>
        </w:tc>
        <w:tc>
          <w:tcPr>
            <w:tcW w:w="7920" w:type="dxa"/>
            <w:shd w:val="clear" w:color="auto" w:fill="EDEDED"/>
          </w:tcPr>
          <w:p w14:paraId="4162DCB8" w14:textId="77777777" w:rsidR="00706138" w:rsidRDefault="00000000">
            <w:pPr>
              <w:spacing w:before="40" w:after="40"/>
            </w:pPr>
            <w:r>
              <w:rPr>
                <w:b/>
                <w:sz w:val="18"/>
              </w:rPr>
              <w:t>Assessment</w:t>
            </w:r>
          </w:p>
        </w:tc>
      </w:tr>
      <w:tr w:rsidR="00706138" w14:paraId="08DE9138" w14:textId="77777777">
        <w:tc>
          <w:tcPr>
            <w:tcW w:w="2304" w:type="dxa"/>
          </w:tcPr>
          <w:p w14:paraId="70E8D7BC" w14:textId="77777777" w:rsidR="00706138" w:rsidRDefault="00000000">
            <w:pPr>
              <w:spacing w:before="40" w:after="40"/>
            </w:pPr>
            <w:r>
              <w:rPr>
                <w:sz w:val="18"/>
              </w:rPr>
              <w:t>Target users and stakeholders</w:t>
            </w:r>
          </w:p>
        </w:tc>
        <w:tc>
          <w:tcPr>
            <w:tcW w:w="7920" w:type="dxa"/>
          </w:tcPr>
          <w:p w14:paraId="2FA9318C" w14:textId="77777777" w:rsidR="00706138" w:rsidRDefault="00000000">
            <w:pPr>
              <w:spacing w:before="40" w:after="40"/>
            </w:pPr>
            <w:r>
              <w:rPr>
                <w:sz w:val="18"/>
              </w:rPr>
              <w:t>ITDD staff and Database Management Division personnel as direct users; source-department data owners and the city Data Protection Officer as approving stakeholders; public open-data users as indirect beneficiaries.</w:t>
            </w:r>
          </w:p>
        </w:tc>
      </w:tr>
      <w:tr w:rsidR="00706138" w14:paraId="45CE4F7D" w14:textId="77777777">
        <w:tc>
          <w:tcPr>
            <w:tcW w:w="2304" w:type="dxa"/>
          </w:tcPr>
          <w:p w14:paraId="5D75BE26" w14:textId="77777777" w:rsidR="00706138" w:rsidRDefault="00000000">
            <w:pPr>
              <w:spacing w:before="40" w:after="40"/>
            </w:pPr>
            <w:r>
              <w:rPr>
                <w:sz w:val="18"/>
              </w:rPr>
              <w:t>Intended operating environment</w:t>
            </w:r>
          </w:p>
        </w:tc>
        <w:tc>
          <w:tcPr>
            <w:tcW w:w="7920" w:type="dxa"/>
          </w:tcPr>
          <w:p w14:paraId="090CA979" w14:textId="77777777" w:rsidR="00706138" w:rsidRDefault="00000000">
            <w:pPr>
              <w:spacing w:before="40" w:after="40"/>
            </w:pPr>
            <w:r>
              <w:rPr>
                <w:sz w:val="18"/>
              </w:rPr>
              <w:t>An office workstation or group laptop running the application locally in a browser, used before a release decision rather than as part of any live publishing pipeline.</w:t>
            </w:r>
          </w:p>
        </w:tc>
      </w:tr>
      <w:tr w:rsidR="00706138" w14:paraId="4D1C20BF" w14:textId="77777777">
        <w:tc>
          <w:tcPr>
            <w:tcW w:w="2304" w:type="dxa"/>
          </w:tcPr>
          <w:p w14:paraId="16CC41A9" w14:textId="77777777" w:rsidR="00706138" w:rsidRDefault="00000000">
            <w:pPr>
              <w:spacing w:before="40" w:after="40"/>
            </w:pPr>
            <w:r>
              <w:rPr>
                <w:sz w:val="18"/>
              </w:rPr>
              <w:t>Availability of participants</w:t>
            </w:r>
          </w:p>
        </w:tc>
        <w:tc>
          <w:tcPr>
            <w:tcW w:w="7920" w:type="dxa"/>
          </w:tcPr>
          <w:p w14:paraId="34FF9C4E" w14:textId="77777777" w:rsidR="00706138" w:rsidRDefault="00000000">
            <w:pPr>
              <w:spacing w:before="40" w:after="40"/>
            </w:pPr>
            <w:r>
              <w:rPr>
                <w:sz w:val="18"/>
              </w:rPr>
              <w:t>Open and already contacted. Quezon City publishes a Request Information service and ITDD lists data extraction as a named service, so a defined channel exists, and the group has reached an identified contact through it. What is not yet known is the response time and the granularity the city will release.</w:t>
            </w:r>
          </w:p>
        </w:tc>
      </w:tr>
      <w:tr w:rsidR="00706138" w14:paraId="75E2D87C" w14:textId="77777777">
        <w:tc>
          <w:tcPr>
            <w:tcW w:w="2304" w:type="dxa"/>
          </w:tcPr>
          <w:p w14:paraId="4B211302" w14:textId="77777777" w:rsidR="00706138" w:rsidRDefault="00000000">
            <w:pPr>
              <w:spacing w:before="40" w:after="40"/>
            </w:pPr>
            <w:r>
              <w:rPr>
                <w:sz w:val="18"/>
              </w:rPr>
              <w:t>User needs and benefits</w:t>
            </w:r>
          </w:p>
        </w:tc>
        <w:tc>
          <w:tcPr>
            <w:tcW w:w="7920" w:type="dxa"/>
          </w:tcPr>
          <w:p w14:paraId="4EE3027A" w14:textId="77777777" w:rsidR="00706138" w:rsidRDefault="00000000">
            <w:pPr>
              <w:spacing w:before="40" w:after="40"/>
            </w:pPr>
            <w:r>
              <w:rPr>
                <w:sz w:val="18"/>
              </w:rPr>
              <w:t>A documented way to compare release options before publication, separate evidence on quality, residual risk, and utility, a repeatable record of why a particular granularity was chosen, and early identification of metadata gaps that could mislead public users.</w:t>
            </w:r>
          </w:p>
        </w:tc>
      </w:tr>
      <w:tr w:rsidR="00706138" w14:paraId="1FCE1657" w14:textId="77777777">
        <w:tc>
          <w:tcPr>
            <w:tcW w:w="2304" w:type="dxa"/>
          </w:tcPr>
          <w:p w14:paraId="1A9808E8" w14:textId="77777777" w:rsidR="00706138" w:rsidRDefault="00000000">
            <w:pPr>
              <w:spacing w:before="40" w:after="40"/>
            </w:pPr>
            <w:r>
              <w:rPr>
                <w:sz w:val="18"/>
              </w:rPr>
              <w:t>Devices and facilities</w:t>
            </w:r>
          </w:p>
        </w:tc>
        <w:tc>
          <w:tcPr>
            <w:tcW w:w="7920" w:type="dxa"/>
          </w:tcPr>
          <w:p w14:paraId="559A697F" w14:textId="77777777" w:rsidR="00706138" w:rsidRDefault="00000000">
            <w:pPr>
              <w:spacing w:before="40" w:after="40"/>
            </w:pPr>
            <w:r>
              <w:rPr>
                <w:sz w:val="18"/>
              </w:rPr>
              <w:t>Ordinary laptop with 8 GB RAM, a modern browser, and a restricted storage location. No procurement required.</w:t>
            </w:r>
          </w:p>
        </w:tc>
      </w:tr>
      <w:tr w:rsidR="00706138" w14:paraId="06D0E80E" w14:textId="77777777">
        <w:tc>
          <w:tcPr>
            <w:tcW w:w="2304" w:type="dxa"/>
          </w:tcPr>
          <w:p w14:paraId="403BBBFB" w14:textId="77777777" w:rsidR="00706138" w:rsidRDefault="00000000">
            <w:pPr>
              <w:spacing w:before="40" w:after="40"/>
            </w:pPr>
            <w:r>
              <w:rPr>
                <w:sz w:val="18"/>
              </w:rPr>
              <w:t>Usability and accessibility</w:t>
            </w:r>
          </w:p>
        </w:tc>
        <w:tc>
          <w:tcPr>
            <w:tcW w:w="7920" w:type="dxa"/>
          </w:tcPr>
          <w:p w14:paraId="4EA764C0" w14:textId="77777777" w:rsidR="00706138" w:rsidRDefault="00000000">
            <w:pPr>
              <w:spacing w:before="40" w:after="40"/>
            </w:pPr>
            <w:r>
              <w:rPr>
                <w:sz w:val="18"/>
              </w:rPr>
              <w:t>Risk and utility presented as a visible trade-off rather than a single pass or fail verdict, plain-language explanations of what k means, readable colour contrast, and keyboard-operable controls. Every recommendation shows the assumptions behind it.</w:t>
            </w:r>
          </w:p>
        </w:tc>
      </w:tr>
      <w:tr w:rsidR="00706138" w14:paraId="141CB654" w14:textId="77777777">
        <w:tc>
          <w:tcPr>
            <w:tcW w:w="2304" w:type="dxa"/>
          </w:tcPr>
          <w:p w14:paraId="17630D72" w14:textId="77777777" w:rsidR="00706138" w:rsidRDefault="00000000">
            <w:pPr>
              <w:spacing w:before="40" w:after="40"/>
            </w:pPr>
            <w:r>
              <w:rPr>
                <w:sz w:val="18"/>
              </w:rPr>
              <w:t>Training and support</w:t>
            </w:r>
          </w:p>
        </w:tc>
        <w:tc>
          <w:tcPr>
            <w:tcW w:w="7920" w:type="dxa"/>
          </w:tcPr>
          <w:p w14:paraId="4E079645" w14:textId="77777777" w:rsidR="00706138" w:rsidRDefault="00000000">
            <w:pPr>
              <w:spacing w:before="40" w:after="40"/>
            </w:pPr>
            <w:r>
              <w:rPr>
                <w:sz w:val="18"/>
              </w:rPr>
              <w:t>A short user guide, a walkthrough of the release-readiness report, and administrator documentation for adding hierarchies and datasets.</w:t>
            </w:r>
          </w:p>
        </w:tc>
      </w:tr>
      <w:tr w:rsidR="00706138" w14:paraId="731CEA34" w14:textId="77777777">
        <w:tc>
          <w:tcPr>
            <w:tcW w:w="2304" w:type="dxa"/>
          </w:tcPr>
          <w:p w14:paraId="2C8B5F27" w14:textId="77777777" w:rsidR="00706138" w:rsidRDefault="00000000">
            <w:pPr>
              <w:spacing w:before="40" w:after="40"/>
            </w:pPr>
            <w:r>
              <w:rPr>
                <w:sz w:val="18"/>
              </w:rPr>
              <w:t>Maintenance</w:t>
            </w:r>
          </w:p>
        </w:tc>
        <w:tc>
          <w:tcPr>
            <w:tcW w:w="7920" w:type="dxa"/>
          </w:tcPr>
          <w:p w14:paraId="79CE1C34" w14:textId="77777777" w:rsidR="00706138" w:rsidRDefault="00000000">
            <w:pPr>
              <w:spacing w:before="40" w:after="40"/>
            </w:pPr>
            <w:r>
              <w:rPr>
                <w:sz w:val="18"/>
              </w:rPr>
              <w:t>Generalisation hierarchies need updating as category dictionaries change, and threshold policy needs review as guidance evolves. Both are configuration rather than code.</w:t>
            </w:r>
          </w:p>
        </w:tc>
      </w:tr>
      <w:tr w:rsidR="00706138" w14:paraId="369435F5" w14:textId="77777777">
        <w:tc>
          <w:tcPr>
            <w:tcW w:w="2304" w:type="dxa"/>
          </w:tcPr>
          <w:p w14:paraId="3751BBB6" w14:textId="77777777" w:rsidR="00706138" w:rsidRDefault="00000000">
            <w:pPr>
              <w:spacing w:before="40" w:after="40"/>
            </w:pPr>
            <w:r>
              <w:rPr>
                <w:sz w:val="18"/>
              </w:rPr>
              <w:t>Adoption challenges</w:t>
            </w:r>
          </w:p>
        </w:tc>
        <w:tc>
          <w:tcPr>
            <w:tcW w:w="7920" w:type="dxa"/>
          </w:tcPr>
          <w:p w14:paraId="559B0178" w14:textId="77777777" w:rsidR="00706138" w:rsidRDefault="00000000">
            <w:pPr>
              <w:spacing w:before="40" w:after="40"/>
            </w:pPr>
            <w:r>
              <w:rPr>
                <w:sz w:val="18"/>
              </w:rPr>
              <w:t>The largest is that a system output could be mistaken for legal clearance to publish. The system therefore states in the report itself that it is decision support and does not replace the city Data Protection Officer. A second challenge is that ITDD may not have time to engage a student project; the study is designed so that the core evaluation can still be completed on a fallback dataset.</w:t>
            </w:r>
          </w:p>
        </w:tc>
      </w:tr>
    </w:tbl>
    <w:p w14:paraId="6EE6B7EA" w14:textId="77777777" w:rsidR="00706138" w:rsidRDefault="00706138">
      <w:pPr>
        <w:spacing w:after="40"/>
      </w:pPr>
    </w:p>
    <w:p w14:paraId="242A89E4" w14:textId="77777777" w:rsidR="00706138" w:rsidRDefault="00000000">
      <w:pPr>
        <w:jc w:val="both"/>
      </w:pPr>
      <w:r>
        <w:t xml:space="preserve">Operational finding. The operating environment is undemanding and the deliverable addresses a decision the city genuinely has to make before every release. Operational feasibility is strong because a documented request channel and a named responsible department already exist, and because no staff interviews or usability testing inside the city are required during the approved study.</w:t>
      </w:r>
    </w:p>
    <w:tbl>
      <w:tblPr>
        <w:tblStyle w:val="TableGrid"/>
        <w:tblW w:w="0" w:type="auto"/>
        <w:jc w:val="center"/>
        <w:tblLook w:val="04A0" w:firstRow="1" w:lastRow="0" w:firstColumn="1" w:lastColumn="0" w:noHBand="0" w:noVBand="1"/>
      </w:tblPr>
      <w:tblGrid>
        <w:gridCol w:w="10224"/>
      </w:tblGrid>
      <w:tr w:rsidR="00706138" w14:paraId="7483AEA9" w14:textId="77777777">
        <w:trPr>
          <w:jc w:val="center"/>
        </w:trPr>
        <w:tc>
          <w:tcPr>
            <w:tcW w:w="10224" w:type="dxa"/>
            <w:shd w:val="clear" w:color="auto" w:fill="4EA72E"/>
          </w:tcPr>
          <w:p w14:paraId="0EF8A94D" w14:textId="77777777" w:rsidR="00706138" w:rsidRDefault="00000000">
            <w:pPr>
              <w:spacing w:before="40" w:after="40"/>
            </w:pPr>
            <w:r>
              <w:rPr>
                <w:b/>
                <w:sz w:val="22"/>
              </w:rPr>
              <w:t>7. Economic Feasibility</w:t>
            </w:r>
          </w:p>
        </w:tc>
      </w:tr>
    </w:tbl>
    <w:p w14:paraId="7AD0725E" w14:textId="77777777" w:rsidR="00706138" w:rsidRDefault="00706138">
      <w:pPr>
        <w:spacing w:after="40"/>
      </w:pPr>
    </w:p>
    <w:p w14:paraId="29C06C6C" w14:textId="20A49E42" w:rsidR="00706138" w:rsidRDefault="00706138"/>
    <w:tbl>
      <w:tblPr>
        <w:tblStyle w:val="TableGrid"/>
        <w:tblW w:w="0" w:type="auto"/>
        <w:tblLook w:val="04A0" w:firstRow="1" w:lastRow="0" w:firstColumn="1" w:lastColumn="0" w:noHBand="0" w:noVBand="1"/>
      </w:tblPr>
      <w:tblGrid>
        <w:gridCol w:w="2160"/>
        <w:gridCol w:w="1584"/>
        <w:gridCol w:w="3312"/>
        <w:gridCol w:w="3168"/>
      </w:tblGrid>
      <w:tr w:rsidR="00706138" w14:paraId="46603295" w14:textId="77777777">
        <w:tc>
          <w:tcPr>
            <w:tcW w:w="2160" w:type="dxa"/>
            <w:shd w:val="clear" w:color="auto" w:fill="EDEDED"/>
          </w:tcPr>
          <w:p w14:paraId="560C30D7" w14:textId="77777777" w:rsidR="00706138" w:rsidRDefault="00000000">
            <w:pPr>
              <w:spacing w:before="40" w:after="40"/>
            </w:pPr>
            <w:r>
              <w:rPr>
                <w:b/>
                <w:sz w:val="18"/>
              </w:rPr>
              <w:lastRenderedPageBreak/>
              <w:t>Expense</w:t>
            </w:r>
          </w:p>
        </w:tc>
        <w:tc>
          <w:tcPr>
            <w:tcW w:w="1584" w:type="dxa"/>
            <w:shd w:val="clear" w:color="auto" w:fill="EDEDED"/>
          </w:tcPr>
          <w:p w14:paraId="2CBA9E7E" w14:textId="77777777" w:rsidR="00706138" w:rsidRDefault="00000000">
            <w:pPr>
              <w:spacing w:before="40" w:after="40"/>
            </w:pPr>
            <w:r>
              <w:rPr>
                <w:b/>
                <w:sz w:val="18"/>
              </w:rPr>
              <w:t>Estimated Cost</w:t>
            </w:r>
          </w:p>
        </w:tc>
        <w:tc>
          <w:tcPr>
            <w:tcW w:w="3312" w:type="dxa"/>
            <w:shd w:val="clear" w:color="auto" w:fill="EDEDED"/>
          </w:tcPr>
          <w:p w14:paraId="0E5F2151" w14:textId="77777777" w:rsidR="00706138" w:rsidRDefault="00000000">
            <w:pPr>
              <w:spacing w:before="40" w:after="40"/>
            </w:pPr>
            <w:r>
              <w:rPr>
                <w:b/>
                <w:sz w:val="18"/>
              </w:rPr>
              <w:t>Purpose</w:t>
            </w:r>
          </w:p>
        </w:tc>
        <w:tc>
          <w:tcPr>
            <w:tcW w:w="3168" w:type="dxa"/>
            <w:shd w:val="clear" w:color="auto" w:fill="EDEDED"/>
          </w:tcPr>
          <w:p w14:paraId="728DD639" w14:textId="77777777" w:rsidR="00706138" w:rsidRDefault="00000000">
            <w:pPr>
              <w:spacing w:before="40" w:after="40"/>
            </w:pPr>
            <w:r>
              <w:rPr>
                <w:b/>
                <w:sz w:val="18"/>
              </w:rPr>
              <w:t>Possible Alternative</w:t>
            </w:r>
          </w:p>
        </w:tc>
      </w:tr>
      <w:tr w:rsidR="00706138" w14:paraId="30FF85F6" w14:textId="77777777">
        <w:tc>
          <w:tcPr>
            <w:tcW w:w="2160" w:type="dxa"/>
          </w:tcPr>
          <w:p w14:paraId="73814AED" w14:textId="77777777" w:rsidR="00706138" w:rsidRDefault="00000000">
            <w:pPr>
              <w:spacing w:before="40" w:after="40"/>
            </w:pPr>
            <w:r>
              <w:rPr>
                <w:sz w:val="18"/>
              </w:rPr>
              <w:t>Software licences</w:t>
            </w:r>
          </w:p>
        </w:tc>
        <w:tc>
          <w:tcPr>
            <w:tcW w:w="1584" w:type="dxa"/>
          </w:tcPr>
          <w:p w14:paraId="42246D45" w14:textId="77777777" w:rsidR="00706138" w:rsidRDefault="00000000">
            <w:pPr>
              <w:spacing w:before="40" w:after="40"/>
            </w:pPr>
            <w:r>
              <w:rPr>
                <w:sz w:val="18"/>
              </w:rPr>
              <w:t>PHP 0</w:t>
            </w:r>
          </w:p>
        </w:tc>
        <w:tc>
          <w:tcPr>
            <w:tcW w:w="3312" w:type="dxa"/>
          </w:tcPr>
          <w:p w14:paraId="0A80BD9F" w14:textId="77777777" w:rsidR="00706138" w:rsidRDefault="00000000">
            <w:pPr>
              <w:spacing w:before="40" w:after="40"/>
            </w:pPr>
            <w:r>
              <w:rPr>
                <w:sz w:val="18"/>
              </w:rPr>
              <w:t>Python, pandas, Streamlit, SQLite, ARX or pycanon</w:t>
            </w:r>
          </w:p>
        </w:tc>
        <w:tc>
          <w:tcPr>
            <w:tcW w:w="3168" w:type="dxa"/>
          </w:tcPr>
          <w:p w14:paraId="07F7302B" w14:textId="77777777" w:rsidR="00706138" w:rsidRDefault="00000000">
            <w:pPr>
              <w:spacing w:before="40" w:after="40"/>
            </w:pPr>
            <w:r>
              <w:rPr>
                <w:sz w:val="18"/>
              </w:rPr>
              <w:t>All are open source; no paid tool is on the critical path</w:t>
            </w:r>
          </w:p>
        </w:tc>
      </w:tr>
      <w:tr w:rsidR="00706138" w14:paraId="7AC48E1F" w14:textId="77777777">
        <w:tc>
          <w:tcPr>
            <w:tcW w:w="2160" w:type="dxa"/>
          </w:tcPr>
          <w:p w14:paraId="55C30BE0" w14:textId="77777777" w:rsidR="00706138" w:rsidRDefault="00000000">
            <w:pPr>
              <w:spacing w:before="40" w:after="40"/>
            </w:pPr>
            <w:r>
              <w:rPr>
                <w:sz w:val="18"/>
              </w:rPr>
              <w:t>APIs and subscriptions</w:t>
            </w:r>
          </w:p>
        </w:tc>
        <w:tc>
          <w:tcPr>
            <w:tcW w:w="1584" w:type="dxa"/>
          </w:tcPr>
          <w:p w14:paraId="36AB8497" w14:textId="77777777" w:rsidR="00706138" w:rsidRDefault="00000000">
            <w:pPr>
              <w:spacing w:before="40" w:after="40"/>
            </w:pPr>
            <w:r>
              <w:rPr>
                <w:sz w:val="18"/>
              </w:rPr>
              <w:t>PHP 0</w:t>
            </w:r>
          </w:p>
        </w:tc>
        <w:tc>
          <w:tcPr>
            <w:tcW w:w="3312" w:type="dxa"/>
          </w:tcPr>
          <w:p w14:paraId="6D0A6421" w14:textId="77777777" w:rsidR="00706138" w:rsidRDefault="00000000">
            <w:pPr>
              <w:spacing w:before="40" w:after="40"/>
            </w:pPr>
            <w:r>
              <w:rPr>
                <w:sz w:val="18"/>
              </w:rPr>
              <w:t>None required by design</w:t>
            </w:r>
          </w:p>
        </w:tc>
        <w:tc>
          <w:tcPr>
            <w:tcW w:w="3168" w:type="dxa"/>
          </w:tcPr>
          <w:p w14:paraId="42B02692" w14:textId="77777777" w:rsidR="00706138" w:rsidRDefault="00000000">
            <w:pPr>
              <w:spacing w:before="40" w:after="40"/>
            </w:pPr>
            <w:r>
              <w:rPr>
                <w:sz w:val="18"/>
              </w:rPr>
              <w:t>Not applicable, since no external service is used</w:t>
            </w:r>
          </w:p>
        </w:tc>
      </w:tr>
      <w:tr w:rsidR="00706138" w14:paraId="4FBDF47F" w14:textId="77777777">
        <w:tc>
          <w:tcPr>
            <w:tcW w:w="2160" w:type="dxa"/>
          </w:tcPr>
          <w:p w14:paraId="618D285B" w14:textId="77777777" w:rsidR="00706138" w:rsidRDefault="00000000">
            <w:pPr>
              <w:spacing w:before="40" w:after="40"/>
            </w:pPr>
            <w:r>
              <w:rPr>
                <w:sz w:val="18"/>
              </w:rPr>
              <w:t>Cloud hosting and storage</w:t>
            </w:r>
          </w:p>
        </w:tc>
        <w:tc>
          <w:tcPr>
            <w:tcW w:w="1584" w:type="dxa"/>
          </w:tcPr>
          <w:p w14:paraId="7F5216E0" w14:textId="77777777" w:rsidR="00706138" w:rsidRDefault="00000000">
            <w:pPr>
              <w:spacing w:before="40" w:after="40"/>
            </w:pPr>
            <w:r>
              <w:rPr>
                <w:sz w:val="18"/>
              </w:rPr>
              <w:t>PHP 0 to 600</w:t>
            </w:r>
          </w:p>
        </w:tc>
        <w:tc>
          <w:tcPr>
            <w:tcW w:w="3312" w:type="dxa"/>
          </w:tcPr>
          <w:p w14:paraId="0B449E31" w14:textId="77777777" w:rsidR="00706138" w:rsidRDefault="00000000">
            <w:pPr>
              <w:spacing w:before="40" w:after="40"/>
            </w:pPr>
            <w:r>
              <w:rPr>
                <w:sz w:val="18"/>
              </w:rPr>
              <w:t>Optional demonstration host for a public benchmark dataset only</w:t>
            </w:r>
          </w:p>
        </w:tc>
        <w:tc>
          <w:tcPr>
            <w:tcW w:w="3168" w:type="dxa"/>
          </w:tcPr>
          <w:p w14:paraId="6275795E" w14:textId="77777777" w:rsidR="00706138" w:rsidRDefault="00000000">
            <w:pPr>
              <w:spacing w:before="40" w:after="40"/>
            </w:pPr>
            <w:r>
              <w:rPr>
                <w:sz w:val="18"/>
              </w:rPr>
              <w:t>Local demonstration; the restricted extract is never hosted</w:t>
            </w:r>
          </w:p>
        </w:tc>
      </w:tr>
      <w:tr w:rsidR="00706138" w14:paraId="0FF8D8DE" w14:textId="77777777">
        <w:tc>
          <w:tcPr>
            <w:tcW w:w="2160" w:type="dxa"/>
          </w:tcPr>
          <w:p w14:paraId="455994D0" w14:textId="77777777" w:rsidR="00706138" w:rsidRDefault="00000000">
            <w:pPr>
              <w:spacing w:before="40" w:after="40"/>
            </w:pPr>
            <w:r>
              <w:rPr>
                <w:sz w:val="18"/>
              </w:rPr>
              <w:t>Dataset acquisition or annotation</w:t>
            </w:r>
          </w:p>
        </w:tc>
        <w:tc>
          <w:tcPr>
            <w:tcW w:w="1584" w:type="dxa"/>
          </w:tcPr>
          <w:p w14:paraId="18AEBFE3" w14:textId="77777777" w:rsidR="00706138" w:rsidRDefault="00000000">
            <w:pPr>
              <w:spacing w:before="40" w:after="40"/>
            </w:pPr>
            <w:r>
              <w:rPr>
                <w:sz w:val="18"/>
              </w:rPr>
              <w:t>PHP 0</w:t>
            </w:r>
          </w:p>
        </w:tc>
        <w:tc>
          <w:tcPr>
            <w:tcW w:w="3312" w:type="dxa"/>
          </w:tcPr>
          <w:p w14:paraId="03043685" w14:textId="77777777" w:rsidR="00706138" w:rsidRDefault="00000000">
            <w:pPr>
              <w:spacing w:before="40" w:after="40"/>
            </w:pPr>
            <w:r>
              <w:rPr>
                <w:sz w:val="18"/>
              </w:rPr>
              <w:t>Public request service carries no fee; no annotation is required</w:t>
            </w:r>
          </w:p>
        </w:tc>
        <w:tc>
          <w:tcPr>
            <w:tcW w:w="3168" w:type="dxa"/>
          </w:tcPr>
          <w:p w14:paraId="53AC31A1" w14:textId="77777777" w:rsidR="00706138" w:rsidRDefault="00000000">
            <w:pPr>
              <w:spacing w:before="40" w:after="40"/>
            </w:pPr>
            <w:r>
              <w:rPr>
                <w:sz w:val="18"/>
              </w:rPr>
              <w:t>Public benchmark microdata if the request is refused</w:t>
            </w:r>
          </w:p>
        </w:tc>
      </w:tr>
      <w:tr w:rsidR="00706138" w14:paraId="48819C29" w14:textId="77777777">
        <w:tc>
          <w:tcPr>
            <w:tcW w:w="2160" w:type="dxa"/>
          </w:tcPr>
          <w:p w14:paraId="58A46BED" w14:textId="77777777" w:rsidR="00706138" w:rsidRDefault="00000000">
            <w:pPr>
              <w:spacing w:before="40" w:after="40"/>
            </w:pPr>
            <w:r>
              <w:rPr>
                <w:sz w:val="18"/>
              </w:rPr>
              <w:t>Hardware or equipment</w:t>
            </w:r>
          </w:p>
        </w:tc>
        <w:tc>
          <w:tcPr>
            <w:tcW w:w="1584" w:type="dxa"/>
          </w:tcPr>
          <w:p w14:paraId="36CD548A" w14:textId="77777777" w:rsidR="00706138" w:rsidRDefault="00000000">
            <w:pPr>
              <w:spacing w:before="40" w:after="40"/>
            </w:pPr>
            <w:r>
              <w:rPr>
                <w:sz w:val="18"/>
              </w:rPr>
              <w:t>PHP 0</w:t>
            </w:r>
          </w:p>
        </w:tc>
        <w:tc>
          <w:tcPr>
            <w:tcW w:w="3312" w:type="dxa"/>
          </w:tcPr>
          <w:p w14:paraId="7E310C1E" w14:textId="77777777" w:rsidR="00706138" w:rsidRDefault="00000000">
            <w:pPr>
              <w:spacing w:before="40" w:after="40"/>
            </w:pPr>
            <w:r>
              <w:rPr>
                <w:sz w:val="18"/>
              </w:rPr>
              <w:t>Existing group laptops</w:t>
            </w:r>
          </w:p>
        </w:tc>
        <w:tc>
          <w:tcPr>
            <w:tcW w:w="3168" w:type="dxa"/>
          </w:tcPr>
          <w:p w14:paraId="3AAAE0DF" w14:textId="77777777" w:rsidR="00706138" w:rsidRDefault="00000000">
            <w:pPr>
              <w:spacing w:before="40" w:after="40"/>
            </w:pPr>
            <w:r>
              <w:rPr>
                <w:sz w:val="18"/>
              </w:rPr>
              <w:t>School laboratory workstation if a laptop fails</w:t>
            </w:r>
          </w:p>
        </w:tc>
      </w:tr>
      <w:tr w:rsidR="00706138" w14:paraId="4A4759AD" w14:textId="77777777">
        <w:tc>
          <w:tcPr>
            <w:tcW w:w="2160" w:type="dxa"/>
          </w:tcPr>
          <w:p w14:paraId="2F509FDF" w14:textId="77777777" w:rsidR="00706138" w:rsidRDefault="00000000">
            <w:pPr>
              <w:spacing w:before="40" w:after="40"/>
            </w:pPr>
            <w:r>
              <w:rPr>
                <w:sz w:val="18"/>
              </w:rPr>
              <w:t>Transportation and data collection</w:t>
            </w:r>
          </w:p>
        </w:tc>
        <w:tc>
          <w:tcPr>
            <w:tcW w:w="1584" w:type="dxa"/>
          </w:tcPr>
          <w:p w14:paraId="4311F2B9" w14:textId="77777777" w:rsidR="00706138" w:rsidRDefault="00000000">
            <w:pPr>
              <w:spacing w:before="40" w:after="40"/>
            </w:pPr>
            <w:r>
              <w:rPr>
                <w:sz w:val="18"/>
              </w:rPr>
              <w:t>PHP 1,800</w:t>
            </w:r>
          </w:p>
        </w:tc>
        <w:tc>
          <w:tcPr>
            <w:tcW w:w="3312" w:type="dxa"/>
          </w:tcPr>
          <w:p w14:paraId="22996C57" w14:textId="77777777" w:rsidR="00706138" w:rsidRDefault="00000000">
            <w:pPr>
              <w:spacing w:before="40" w:after="40"/>
            </w:pPr>
            <w:r>
              <w:rPr>
                <w:sz w:val="18"/>
              </w:rPr>
              <w:t>Request submission and follow-up visits to the QC Hall, estimated at three trips for two members</w:t>
            </w:r>
          </w:p>
        </w:tc>
        <w:tc>
          <w:tcPr>
            <w:tcW w:w="3168" w:type="dxa"/>
          </w:tcPr>
          <w:p w14:paraId="72DE03DE" w14:textId="77777777" w:rsidR="00706138" w:rsidRDefault="00000000">
            <w:pPr>
              <w:spacing w:before="40" w:after="40"/>
            </w:pPr>
            <w:r>
              <w:rPr>
                <w:sz w:val="18"/>
              </w:rPr>
              <w:t>The online Request Information service removes most travel if it is accepted</w:t>
            </w:r>
          </w:p>
        </w:tc>
      </w:tr>
      <w:tr w:rsidR="00706138" w14:paraId="2AB83047" w14:textId="77777777">
        <w:tc>
          <w:tcPr>
            <w:tcW w:w="2160" w:type="dxa"/>
          </w:tcPr>
          <w:p w14:paraId="2E482FC5" w14:textId="77777777" w:rsidR="00706138" w:rsidRDefault="00000000">
            <w:pPr>
              <w:spacing w:before="40" w:after="40"/>
            </w:pPr>
            <w:r>
              <w:rPr>
                <w:sz w:val="18"/>
              </w:rPr>
              <w:t>Printing and documents</w:t>
            </w:r>
          </w:p>
        </w:tc>
        <w:tc>
          <w:tcPr>
            <w:tcW w:w="1584" w:type="dxa"/>
          </w:tcPr>
          <w:p w14:paraId="225D5DF4" w14:textId="77777777" w:rsidR="00706138" w:rsidRDefault="00000000">
            <w:pPr>
              <w:spacing w:before="40" w:after="40"/>
            </w:pPr>
            <w:r>
              <w:rPr>
                <w:sz w:val="18"/>
              </w:rPr>
              <w:t>PHP 500</w:t>
            </w:r>
          </w:p>
        </w:tc>
        <w:tc>
          <w:tcPr>
            <w:tcW w:w="3312" w:type="dxa"/>
          </w:tcPr>
          <w:p w14:paraId="72EA14C2" w14:textId="77777777" w:rsidR="00706138" w:rsidRDefault="00000000">
            <w:pPr>
              <w:spacing w:before="40" w:after="40"/>
            </w:pPr>
            <w:r>
              <w:rPr>
                <w:sz w:val="18"/>
              </w:rPr>
              <w:t>Formal request letter and proposal packet</w:t>
            </w:r>
          </w:p>
        </w:tc>
        <w:tc>
          <w:tcPr>
            <w:tcW w:w="3168" w:type="dxa"/>
          </w:tcPr>
          <w:p w14:paraId="192B3C62" w14:textId="77777777" w:rsidR="00706138" w:rsidRDefault="00000000">
            <w:pPr>
              <w:spacing w:before="40" w:after="40"/>
            </w:pPr>
            <w:r>
              <w:rPr>
                <w:sz w:val="18"/>
              </w:rPr>
              <w:t>Submit digitally where the city accepts it</w:t>
            </w:r>
          </w:p>
        </w:tc>
      </w:tr>
      <w:tr w:rsidR="00706138" w14:paraId="34B4D2EB" w14:textId="77777777">
        <w:tc>
          <w:tcPr>
            <w:tcW w:w="2160" w:type="dxa"/>
          </w:tcPr>
          <w:p w14:paraId="7720E1DD" w14:textId="77777777" w:rsidR="00706138" w:rsidRDefault="00000000">
            <w:pPr>
              <w:spacing w:before="40" w:after="40"/>
            </w:pPr>
            <w:r>
              <w:rPr>
                <w:sz w:val="18"/>
              </w:rPr>
              <w:t>Testing and deployment</w:t>
            </w:r>
          </w:p>
        </w:tc>
        <w:tc>
          <w:tcPr>
            <w:tcW w:w="1584" w:type="dxa"/>
          </w:tcPr>
          <w:p w14:paraId="4385E5D4" w14:textId="77777777" w:rsidR="00706138" w:rsidRDefault="00000000">
            <w:pPr>
              <w:spacing w:before="40" w:after="40"/>
            </w:pPr>
            <w:r>
              <w:rPr>
                <w:sz w:val="18"/>
              </w:rPr>
              <w:t>PHP 600</w:t>
            </w:r>
          </w:p>
        </w:tc>
        <w:tc>
          <w:tcPr>
            <w:tcW w:w="3312" w:type="dxa"/>
          </w:tcPr>
          <w:p w14:paraId="02CECA50" w14:textId="77777777" w:rsidR="00706138" w:rsidRDefault="00000000">
            <w:pPr>
              <w:spacing w:before="40" w:after="40"/>
            </w:pPr>
            <w:r>
              <w:rPr>
                <w:sz w:val="18"/>
              </w:rPr>
              <w:t>Evaluation session incidentals</w:t>
            </w:r>
          </w:p>
        </w:tc>
        <w:tc>
          <w:tcPr>
            <w:tcW w:w="3168" w:type="dxa"/>
          </w:tcPr>
          <w:p w14:paraId="52341FCD" w14:textId="77777777" w:rsidR="00706138" w:rsidRDefault="00000000">
            <w:pPr>
              <w:spacing w:before="40" w:after="40"/>
            </w:pPr>
            <w:r>
              <w:rPr>
                <w:sz w:val="18"/>
              </w:rPr>
              <w:t>Remote evaluation with faculty and student testers</w:t>
            </w:r>
          </w:p>
        </w:tc>
      </w:tr>
      <w:tr w:rsidR="00706138" w14:paraId="27E61958" w14:textId="77777777">
        <w:tc>
          <w:tcPr>
            <w:tcW w:w="2160" w:type="dxa"/>
          </w:tcPr>
          <w:p w14:paraId="180C4AE1" w14:textId="77777777" w:rsidR="00706138" w:rsidRDefault="00000000">
            <w:pPr>
              <w:spacing w:before="40" w:after="40"/>
            </w:pPr>
            <w:r>
              <w:rPr>
                <w:sz w:val="18"/>
              </w:rPr>
              <w:t>Maintenance</w:t>
            </w:r>
          </w:p>
        </w:tc>
        <w:tc>
          <w:tcPr>
            <w:tcW w:w="1584" w:type="dxa"/>
          </w:tcPr>
          <w:p w14:paraId="2AA1547C" w14:textId="77777777" w:rsidR="00706138" w:rsidRDefault="00000000">
            <w:pPr>
              <w:spacing w:before="40" w:after="40"/>
            </w:pPr>
            <w:r>
              <w:rPr>
                <w:sz w:val="18"/>
              </w:rPr>
              <w:t>PHP 0</w:t>
            </w:r>
          </w:p>
        </w:tc>
        <w:tc>
          <w:tcPr>
            <w:tcW w:w="3312" w:type="dxa"/>
          </w:tcPr>
          <w:p w14:paraId="0A32DC1C" w14:textId="77777777" w:rsidR="00706138" w:rsidRDefault="00000000">
            <w:pPr>
              <w:spacing w:before="40" w:after="40"/>
            </w:pPr>
            <w:r>
              <w:rPr>
                <w:sz w:val="18"/>
              </w:rPr>
              <w:t>Handled within the study period</w:t>
            </w:r>
          </w:p>
        </w:tc>
        <w:tc>
          <w:tcPr>
            <w:tcW w:w="3168" w:type="dxa"/>
          </w:tcPr>
          <w:p w14:paraId="5C32E773" w14:textId="77777777" w:rsidR="00706138" w:rsidRDefault="00000000">
            <w:pPr>
              <w:spacing w:before="40" w:after="40"/>
            </w:pPr>
            <w:r>
              <w:rPr>
                <w:sz w:val="18"/>
              </w:rPr>
              <w:t>Not applicable during the thesis term</w:t>
            </w:r>
          </w:p>
        </w:tc>
      </w:tr>
      <w:tr w:rsidR="00706138" w14:paraId="12F4CE7B" w14:textId="77777777">
        <w:tc>
          <w:tcPr>
            <w:tcW w:w="2160" w:type="dxa"/>
          </w:tcPr>
          <w:p w14:paraId="41671465" w14:textId="77777777" w:rsidR="00706138" w:rsidRDefault="00000000">
            <w:pPr>
              <w:spacing w:before="40" w:after="40"/>
            </w:pPr>
            <w:r>
              <w:rPr>
                <w:sz w:val="18"/>
              </w:rPr>
              <w:t>Contingency expenses</w:t>
            </w:r>
          </w:p>
        </w:tc>
        <w:tc>
          <w:tcPr>
            <w:tcW w:w="1584" w:type="dxa"/>
          </w:tcPr>
          <w:p w14:paraId="2A862ED9" w14:textId="77777777" w:rsidR="00706138" w:rsidRDefault="00000000">
            <w:pPr>
              <w:spacing w:before="40" w:after="40"/>
            </w:pPr>
            <w:r>
              <w:rPr>
                <w:sz w:val="18"/>
              </w:rPr>
              <w:t>PHP 1,000</w:t>
            </w:r>
          </w:p>
        </w:tc>
        <w:tc>
          <w:tcPr>
            <w:tcW w:w="3312" w:type="dxa"/>
          </w:tcPr>
          <w:p w14:paraId="78C01199" w14:textId="77777777" w:rsidR="00706138" w:rsidRDefault="00000000">
            <w:pPr>
              <w:spacing w:before="40" w:after="40"/>
            </w:pPr>
            <w:r>
              <w:rPr>
                <w:sz w:val="18"/>
              </w:rPr>
              <w:t>Follow-up visits or a change of target dataset</w:t>
            </w:r>
          </w:p>
        </w:tc>
        <w:tc>
          <w:tcPr>
            <w:tcW w:w="3168" w:type="dxa"/>
          </w:tcPr>
          <w:p w14:paraId="7B700175" w14:textId="77777777" w:rsidR="00706138" w:rsidRDefault="00000000">
            <w:pPr>
              <w:spacing w:before="40" w:after="40"/>
            </w:pPr>
            <w:r>
              <w:rPr>
                <w:sz w:val="18"/>
              </w:rPr>
              <w:t>Reduce trips by using the online request channel</w:t>
            </w:r>
          </w:p>
        </w:tc>
      </w:tr>
      <w:tr w:rsidR="00706138" w14:paraId="33975BF2" w14:textId="77777777">
        <w:tc>
          <w:tcPr>
            <w:tcW w:w="2160" w:type="dxa"/>
          </w:tcPr>
          <w:p w14:paraId="54A20A97" w14:textId="77777777" w:rsidR="00706138" w:rsidRDefault="00000000">
            <w:pPr>
              <w:spacing w:before="40" w:after="40"/>
            </w:pPr>
            <w:r>
              <w:rPr>
                <w:sz w:val="18"/>
              </w:rPr>
              <w:t>Total estimated cost</w:t>
            </w:r>
          </w:p>
        </w:tc>
        <w:tc>
          <w:tcPr>
            <w:tcW w:w="1584" w:type="dxa"/>
          </w:tcPr>
          <w:p w14:paraId="677D2EC0" w14:textId="77777777" w:rsidR="00706138" w:rsidRDefault="00000000">
            <w:pPr>
              <w:spacing w:before="40" w:after="40"/>
            </w:pPr>
            <w:r>
              <w:rPr>
                <w:sz w:val="18"/>
              </w:rPr>
              <w:t>PHP 3,900 to 4,500</w:t>
            </w:r>
          </w:p>
        </w:tc>
        <w:tc>
          <w:tcPr>
            <w:tcW w:w="3312" w:type="dxa"/>
          </w:tcPr>
          <w:p w14:paraId="48776B2B" w14:textId="77777777" w:rsidR="00706138" w:rsidRDefault="00000000">
            <w:pPr>
              <w:spacing w:before="40" w:after="40"/>
            </w:pPr>
            <w:r>
              <w:rPr>
                <w:sz w:val="18"/>
              </w:rPr>
              <w:t>Working budget range</w:t>
            </w:r>
          </w:p>
        </w:tc>
        <w:tc>
          <w:tcPr>
            <w:tcW w:w="3168" w:type="dxa"/>
          </w:tcPr>
          <w:p w14:paraId="28572E49" w14:textId="77777777" w:rsidR="00706138" w:rsidRDefault="00000000">
            <w:pPr>
              <w:spacing w:before="40" w:after="40"/>
            </w:pPr>
            <w:r>
              <w:rPr>
                <w:sz w:val="18"/>
              </w:rPr>
              <w:t>The lower bound applies if the online request channel is accepted and no hosting is used</w:t>
            </w:r>
          </w:p>
        </w:tc>
      </w:tr>
    </w:tbl>
    <w:p w14:paraId="50AF19F2" w14:textId="77777777" w:rsidR="00706138" w:rsidRDefault="00706138">
      <w:pPr>
        <w:spacing w:after="40"/>
      </w:pPr>
    </w:p>
    <w:p w14:paraId="68833A3E" w14:textId="77777777" w:rsidR="00706138" w:rsidRDefault="00000000">
      <w:pPr>
        <w:jc w:val="both"/>
      </w:pPr>
      <w:r>
        <w:t xml:space="preserve">Economic finding. One of the least expensive of the six titles, and cheaper still if the city accepts an online request, since travel is the only material line item. Cost is not a constraint on this title.</w:t>
      </w:r>
    </w:p>
    <w:tbl>
      <w:tblPr>
        <w:tblStyle w:val="TableGrid"/>
        <w:tblW w:w="0" w:type="auto"/>
        <w:jc w:val="center"/>
        <w:tblLook w:val="04A0" w:firstRow="1" w:lastRow="0" w:firstColumn="1" w:lastColumn="0" w:noHBand="0" w:noVBand="1"/>
      </w:tblPr>
      <w:tblGrid>
        <w:gridCol w:w="10224"/>
      </w:tblGrid>
      <w:tr w:rsidR="00706138" w14:paraId="77D04079" w14:textId="77777777">
        <w:trPr>
          <w:jc w:val="center"/>
        </w:trPr>
        <w:tc>
          <w:tcPr>
            <w:tcW w:w="10224" w:type="dxa"/>
            <w:shd w:val="clear" w:color="auto" w:fill="4EA72E"/>
          </w:tcPr>
          <w:p w14:paraId="0D5E5ADB" w14:textId="77777777" w:rsidR="00706138" w:rsidRDefault="00000000">
            <w:pPr>
              <w:spacing w:before="40" w:after="40"/>
            </w:pPr>
            <w:r>
              <w:rPr>
                <w:b/>
                <w:sz w:val="22"/>
              </w:rPr>
              <w:t>8. Schedule Feasibility</w:t>
            </w:r>
          </w:p>
        </w:tc>
      </w:tr>
    </w:tbl>
    <w:p w14:paraId="0B4655A6" w14:textId="77777777" w:rsidR="00706138" w:rsidRDefault="00706138">
      <w:pPr>
        <w:spacing w:after="40"/>
      </w:pPr>
    </w:p>
    <w:tbl>
      <w:tblPr>
        <w:tblStyle w:val="TableGrid"/>
        <w:tblW w:w="0" w:type="auto"/>
        <w:tblLook w:val="04A0" w:firstRow="1" w:lastRow="0" w:firstColumn="1" w:lastColumn="0" w:noHBand="0" w:noVBand="1"/>
      </w:tblPr>
      <w:tblGrid>
        <w:gridCol w:w="3024"/>
        <w:gridCol w:w="2160"/>
        <w:gridCol w:w="5040"/>
      </w:tblGrid>
      <w:tr w:rsidR="00706138" w14:paraId="04FC728D" w14:textId="77777777">
        <w:tc>
          <w:tcPr>
            <w:tcW w:w="3024" w:type="dxa"/>
            <w:shd w:val="clear" w:color="auto" w:fill="EDEDED"/>
          </w:tcPr>
          <w:p w14:paraId="2450862A" w14:textId="77777777" w:rsidR="00706138" w:rsidRDefault="00000000">
            <w:pPr>
              <w:spacing w:before="40" w:after="40"/>
            </w:pPr>
            <w:r>
              <w:rPr>
                <w:b/>
                <w:sz w:val="18"/>
              </w:rPr>
              <w:t>Activity</w:t>
            </w:r>
          </w:p>
        </w:tc>
        <w:tc>
          <w:tcPr>
            <w:tcW w:w="2160" w:type="dxa"/>
            <w:shd w:val="clear" w:color="auto" w:fill="EDEDED"/>
          </w:tcPr>
          <w:p w14:paraId="4037D053" w14:textId="77777777" w:rsidR="00706138" w:rsidRDefault="00000000">
            <w:pPr>
              <w:spacing w:before="40" w:after="40"/>
            </w:pPr>
            <w:r>
              <w:rPr>
                <w:b/>
                <w:sz w:val="18"/>
              </w:rPr>
              <w:t>Estimated Duration</w:t>
            </w:r>
          </w:p>
        </w:tc>
        <w:tc>
          <w:tcPr>
            <w:tcW w:w="5040" w:type="dxa"/>
            <w:shd w:val="clear" w:color="auto" w:fill="EDEDED"/>
          </w:tcPr>
          <w:p w14:paraId="383FDC8A" w14:textId="77777777" w:rsidR="00706138" w:rsidRDefault="00000000">
            <w:pPr>
              <w:spacing w:before="40" w:after="40"/>
            </w:pPr>
            <w:r>
              <w:rPr>
                <w:b/>
                <w:sz w:val="18"/>
              </w:rPr>
              <w:t>Dependency or Control</w:t>
            </w:r>
          </w:p>
        </w:tc>
      </w:tr>
      <w:tr w:rsidR="00706138" w14:paraId="1AC82FFA" w14:textId="77777777">
        <w:tc>
          <w:tcPr>
            <w:tcW w:w="3024" w:type="dxa"/>
          </w:tcPr>
          <w:p w14:paraId="63C34B96" w14:textId="77777777" w:rsidR="00706138" w:rsidRDefault="00000000">
            <w:pPr>
              <w:spacing w:before="40" w:after="40"/>
            </w:pPr>
            <w:r>
              <w:rPr>
                <w:sz w:val="18"/>
              </w:rPr>
              <w:t>Requirements gathering</w:t>
            </w:r>
          </w:p>
        </w:tc>
        <w:tc>
          <w:tcPr>
            <w:tcW w:w="2160" w:type="dxa"/>
          </w:tcPr>
          <w:p w14:paraId="56379474" w14:textId="77777777" w:rsidR="00706138" w:rsidRDefault="00000000">
            <w:pPr>
              <w:spacing w:before="40" w:after="40"/>
            </w:pPr>
            <w:r>
              <w:rPr>
                <w:sz w:val="18"/>
              </w:rPr>
              <w:t>Weeks 1 to 2</w:t>
            </w:r>
          </w:p>
        </w:tc>
        <w:tc>
          <w:tcPr>
            <w:tcW w:w="5040" w:type="dxa"/>
          </w:tcPr>
          <w:p w14:paraId="2D47139D" w14:textId="77777777" w:rsidR="00706138" w:rsidRDefault="00000000">
            <w:pPr>
              <w:spacing w:before="40" w:after="40"/>
            </w:pPr>
            <w:r>
              <w:rPr>
                <w:sz w:val="18"/>
              </w:rPr>
              <w:t>Includes public dashboard surface inspection, which needs nobody's approval and starts immediately</w:t>
            </w:r>
          </w:p>
        </w:tc>
      </w:tr>
      <w:tr w:rsidR="00706138" w14:paraId="3C55BDDD" w14:textId="77777777">
        <w:tc>
          <w:tcPr>
            <w:tcW w:w="3024" w:type="dxa"/>
          </w:tcPr>
          <w:p w14:paraId="0CE5374E" w14:textId="77777777" w:rsidR="00706138" w:rsidRDefault="00000000">
            <w:pPr>
              <w:spacing w:before="40" w:after="40"/>
            </w:pPr>
            <w:r>
              <w:rPr>
                <w:sz w:val="18"/>
              </w:rPr>
              <w:t>Literature and related-study review</w:t>
            </w:r>
          </w:p>
        </w:tc>
        <w:tc>
          <w:tcPr>
            <w:tcW w:w="2160" w:type="dxa"/>
          </w:tcPr>
          <w:p w14:paraId="508768A0" w14:textId="77777777" w:rsidR="00706138" w:rsidRDefault="00000000">
            <w:pPr>
              <w:spacing w:before="40" w:after="40"/>
            </w:pPr>
            <w:r>
              <w:rPr>
                <w:sz w:val="18"/>
              </w:rPr>
              <w:t>Weeks 1 to 5</w:t>
            </w:r>
          </w:p>
        </w:tc>
        <w:tc>
          <w:tcPr>
            <w:tcW w:w="5040" w:type="dxa"/>
          </w:tcPr>
          <w:p w14:paraId="75C5B24A" w14:textId="77777777" w:rsidR="00706138" w:rsidRDefault="00000000">
            <w:pPr>
              <w:spacing w:before="40" w:after="40"/>
            </w:pPr>
            <w:r>
              <w:rPr>
                <w:sz w:val="18"/>
              </w:rPr>
              <w:t>Independent of data access; k-anonymity literature is mature and accessible</w:t>
            </w:r>
          </w:p>
        </w:tc>
      </w:tr>
      <w:tr w:rsidR="00706138" w14:paraId="03C29EDF" w14:textId="77777777">
        <w:tc>
          <w:tcPr>
            <w:tcW w:w="3024" w:type="dxa"/>
          </w:tcPr>
          <w:p w14:paraId="4061A03A" w14:textId="77777777" w:rsidR="00706138" w:rsidRDefault="00000000">
            <w:pPr>
              <w:spacing w:before="40" w:after="40"/>
            </w:pPr>
            <w:r>
              <w:rPr>
                <w:sz w:val="18"/>
              </w:rPr>
              <w:t>Dataset acquisition or data collection</w:t>
            </w:r>
          </w:p>
        </w:tc>
        <w:tc>
          <w:tcPr>
            <w:tcW w:w="2160" w:type="dxa"/>
          </w:tcPr>
          <w:p w14:paraId="7C4C9BD8" w14:textId="77777777" w:rsidR="00706138" w:rsidRDefault="00000000">
            <w:pPr>
              <w:spacing w:before="40" w:after="40"/>
            </w:pPr>
            <w:r>
              <w:rPr>
                <w:sz w:val="18"/>
              </w:rPr>
              <w:t>Weeks 1 to 5</w:t>
            </w:r>
          </w:p>
        </w:tc>
        <w:tc>
          <w:tcPr>
            <w:tcW w:w="5040" w:type="dxa"/>
          </w:tcPr>
          <w:p w14:paraId="2203B850" w14:textId="77777777" w:rsidR="00706138" w:rsidRDefault="00000000">
            <w:pPr>
              <w:spacing w:before="40" w:after="40"/>
            </w:pPr>
            <w:r>
              <w:rPr>
                <w:sz w:val="18"/>
              </w:rPr>
              <w:t>Hard decision point at Week 5. The city request is submitted in Week 2; if no approved extract exists by Week 5, switch to PSA microdata or the public benchmark</w:t>
            </w:r>
          </w:p>
        </w:tc>
      </w:tr>
      <w:tr w:rsidR="00706138" w14:paraId="74900152" w14:textId="77777777">
        <w:tc>
          <w:tcPr>
            <w:tcW w:w="3024" w:type="dxa"/>
          </w:tcPr>
          <w:p w14:paraId="5C558144" w14:textId="77777777" w:rsidR="00706138" w:rsidRDefault="00000000">
            <w:pPr>
              <w:spacing w:before="40" w:after="40"/>
            </w:pPr>
            <w:r>
              <w:rPr>
                <w:sz w:val="18"/>
              </w:rPr>
              <w:t>Data cleaning, annotation, and preprocessing</w:t>
            </w:r>
          </w:p>
        </w:tc>
        <w:tc>
          <w:tcPr>
            <w:tcW w:w="2160" w:type="dxa"/>
          </w:tcPr>
          <w:p w14:paraId="574CE6A4" w14:textId="77777777" w:rsidR="00706138" w:rsidRDefault="00000000">
            <w:pPr>
              <w:spacing w:before="40" w:after="40"/>
            </w:pPr>
            <w:r>
              <w:rPr>
                <w:sz w:val="18"/>
              </w:rPr>
              <w:t>Weeks 5 to 7</w:t>
            </w:r>
          </w:p>
        </w:tc>
        <w:tc>
          <w:tcPr>
            <w:tcW w:w="5040" w:type="dxa"/>
          </w:tcPr>
          <w:p w14:paraId="3C3912B8" w14:textId="77777777" w:rsidR="00706138" w:rsidRDefault="00000000">
            <w:pPr>
              <w:spacing w:before="40" w:after="40"/>
            </w:pPr>
            <w:r>
              <w:rPr>
                <w:sz w:val="18"/>
              </w:rPr>
              <w:t>Depends on the received schema and dictionary</w:t>
            </w:r>
          </w:p>
        </w:tc>
      </w:tr>
      <w:tr w:rsidR="00706138" w14:paraId="78B492F7" w14:textId="77777777">
        <w:tc>
          <w:tcPr>
            <w:tcW w:w="3024" w:type="dxa"/>
          </w:tcPr>
          <w:p w14:paraId="538F96E2" w14:textId="77777777" w:rsidR="00706138" w:rsidRDefault="00000000">
            <w:pPr>
              <w:spacing w:before="40" w:after="40"/>
            </w:pPr>
            <w:r>
              <w:rPr>
                <w:sz w:val="18"/>
              </w:rPr>
              <w:t>System design</w:t>
            </w:r>
          </w:p>
        </w:tc>
        <w:tc>
          <w:tcPr>
            <w:tcW w:w="2160" w:type="dxa"/>
          </w:tcPr>
          <w:p w14:paraId="469C2BC0" w14:textId="77777777" w:rsidR="00706138" w:rsidRDefault="00000000">
            <w:pPr>
              <w:spacing w:before="40" w:after="40"/>
            </w:pPr>
            <w:r>
              <w:rPr>
                <w:sz w:val="18"/>
              </w:rPr>
              <w:t>Weeks 2 to 5</w:t>
            </w:r>
          </w:p>
        </w:tc>
        <w:tc>
          <w:tcPr>
            <w:tcW w:w="5040" w:type="dxa"/>
          </w:tcPr>
          <w:p w14:paraId="704741CF" w14:textId="77777777" w:rsidR="00706138" w:rsidRDefault="00000000">
            <w:pPr>
              <w:spacing w:before="40" w:after="40"/>
            </w:pPr>
            <w:r>
              <w:rPr>
                <w:sz w:val="18"/>
              </w:rPr>
              <w:t>Generalisation hierarchies drafted against the public dashboard fields while the request is pending</w:t>
            </w:r>
          </w:p>
        </w:tc>
      </w:tr>
      <w:tr w:rsidR="00706138" w14:paraId="1DA9C1DF" w14:textId="77777777">
        <w:tc>
          <w:tcPr>
            <w:tcW w:w="3024" w:type="dxa"/>
          </w:tcPr>
          <w:p w14:paraId="4276F5CE" w14:textId="77777777" w:rsidR="00706138" w:rsidRDefault="00000000">
            <w:pPr>
              <w:spacing w:before="40" w:after="40"/>
            </w:pPr>
            <w:r>
              <w:rPr>
                <w:sz w:val="18"/>
              </w:rPr>
              <w:t>Algorithm or model development</w:t>
            </w:r>
          </w:p>
        </w:tc>
        <w:tc>
          <w:tcPr>
            <w:tcW w:w="2160" w:type="dxa"/>
          </w:tcPr>
          <w:p w14:paraId="68C0C536" w14:textId="77777777" w:rsidR="00706138" w:rsidRDefault="00000000">
            <w:pPr>
              <w:spacing w:before="40" w:after="40"/>
            </w:pPr>
            <w:r>
              <w:rPr>
                <w:sz w:val="18"/>
              </w:rPr>
              <w:t>Weeks 4 to 9</w:t>
            </w:r>
          </w:p>
        </w:tc>
        <w:tc>
          <w:tcPr>
            <w:tcW w:w="5040" w:type="dxa"/>
          </w:tcPr>
          <w:p w14:paraId="465A9F9A" w14:textId="77777777" w:rsidR="00706138" w:rsidRDefault="00000000">
            <w:pPr>
              <w:spacing w:before="40" w:after="40"/>
            </w:pPr>
            <w:r>
              <w:rPr>
                <w:sz w:val="18"/>
              </w:rPr>
              <w:t>Suppression baseline first, then Mondrian, validated on the public benchmark before the real extract is used</w:t>
            </w:r>
          </w:p>
        </w:tc>
      </w:tr>
      <w:tr w:rsidR="00706138" w14:paraId="5ADE51ED" w14:textId="77777777">
        <w:tc>
          <w:tcPr>
            <w:tcW w:w="3024" w:type="dxa"/>
          </w:tcPr>
          <w:p w14:paraId="147F4335" w14:textId="77777777" w:rsidR="00706138" w:rsidRDefault="00000000">
            <w:pPr>
              <w:spacing w:before="40" w:after="40"/>
            </w:pPr>
            <w:r>
              <w:rPr>
                <w:sz w:val="18"/>
              </w:rPr>
              <w:t>System implementation</w:t>
            </w:r>
          </w:p>
        </w:tc>
        <w:tc>
          <w:tcPr>
            <w:tcW w:w="2160" w:type="dxa"/>
          </w:tcPr>
          <w:p w14:paraId="71420EC2" w14:textId="77777777" w:rsidR="00706138" w:rsidRDefault="00000000">
            <w:pPr>
              <w:spacing w:before="40" w:after="40"/>
            </w:pPr>
            <w:r>
              <w:rPr>
                <w:sz w:val="18"/>
              </w:rPr>
              <w:t>Weeks 6 to 11</w:t>
            </w:r>
          </w:p>
        </w:tc>
        <w:tc>
          <w:tcPr>
            <w:tcW w:w="5040" w:type="dxa"/>
          </w:tcPr>
          <w:p w14:paraId="0E3D25C3" w14:textId="77777777" w:rsidR="00706138" w:rsidRDefault="00000000">
            <w:pPr>
              <w:spacing w:before="40" w:after="40"/>
            </w:pPr>
            <w:r>
              <w:rPr>
                <w:sz w:val="18"/>
              </w:rPr>
              <w:t>Dashboard and report generator built alongside the risk engine</w:t>
            </w:r>
          </w:p>
        </w:tc>
      </w:tr>
      <w:tr w:rsidR="00706138" w14:paraId="428A34BD" w14:textId="77777777">
        <w:tc>
          <w:tcPr>
            <w:tcW w:w="3024" w:type="dxa"/>
          </w:tcPr>
          <w:p w14:paraId="1DF9D1C2" w14:textId="77777777" w:rsidR="00706138" w:rsidRDefault="00000000">
            <w:pPr>
              <w:spacing w:before="40" w:after="40"/>
            </w:pPr>
            <w:r>
              <w:rPr>
                <w:sz w:val="18"/>
              </w:rPr>
              <w:t>Model training and validation</w:t>
            </w:r>
          </w:p>
        </w:tc>
        <w:tc>
          <w:tcPr>
            <w:tcW w:w="2160" w:type="dxa"/>
          </w:tcPr>
          <w:p w14:paraId="13F0BF18" w14:textId="77777777" w:rsidR="00706138" w:rsidRDefault="00000000">
            <w:pPr>
              <w:spacing w:before="40" w:after="40"/>
            </w:pPr>
            <w:r>
              <w:rPr>
                <w:sz w:val="18"/>
              </w:rPr>
              <w:t>Weeks 9 to 12</w:t>
            </w:r>
          </w:p>
        </w:tc>
        <w:tc>
          <w:tcPr>
            <w:tcW w:w="5040" w:type="dxa"/>
          </w:tcPr>
          <w:p w14:paraId="15DFB75D" w14:textId="77777777" w:rsidR="00706138" w:rsidRDefault="00000000">
            <w:pPr>
              <w:spacing w:before="40" w:after="40"/>
            </w:pPr>
            <w:r>
              <w:rPr>
                <w:sz w:val="18"/>
              </w:rPr>
              <w:t>Risk and utility measured across multiple values of k; custom Mondrian cross-checked against ARX or pycanon</w:t>
            </w:r>
          </w:p>
        </w:tc>
      </w:tr>
      <w:tr w:rsidR="00706138" w14:paraId="7BA05B18" w14:textId="77777777">
        <w:tc>
          <w:tcPr>
            <w:tcW w:w="3024" w:type="dxa"/>
          </w:tcPr>
          <w:p w14:paraId="4B161B37" w14:textId="77777777" w:rsidR="00706138" w:rsidRDefault="00000000">
            <w:pPr>
              <w:spacing w:before="40" w:after="40"/>
            </w:pPr>
            <w:r>
              <w:rPr>
                <w:sz w:val="18"/>
              </w:rPr>
              <w:t>Software and user testing</w:t>
            </w:r>
          </w:p>
        </w:tc>
        <w:tc>
          <w:tcPr>
            <w:tcW w:w="2160" w:type="dxa"/>
          </w:tcPr>
          <w:p w14:paraId="2A1EDDAE" w14:textId="77777777" w:rsidR="00706138" w:rsidRDefault="00000000">
            <w:pPr>
              <w:spacing w:before="40" w:after="40"/>
            </w:pPr>
            <w:r>
              <w:rPr>
                <w:sz w:val="18"/>
              </w:rPr>
              <w:t>Weeks 11 to 14</w:t>
            </w:r>
          </w:p>
        </w:tc>
        <w:tc>
          <w:tcPr>
            <w:tcW w:w="5040" w:type="dxa"/>
          </w:tcPr>
          <w:p w14:paraId="7D2B27BC" w14:textId="77777777" w:rsidR="00706138" w:rsidRDefault="00000000">
            <w:pPr>
              <w:spacing w:before="40" w:after="40"/>
            </w:pPr>
            <w:r>
              <w:rPr>
                <w:sz w:val="18"/>
              </w:rPr>
              <w:t>Faculty and student testers; ITDD review only if the department is willing</w:t>
            </w:r>
          </w:p>
        </w:tc>
      </w:tr>
      <w:tr w:rsidR="00706138" w14:paraId="712B5A00" w14:textId="77777777">
        <w:tc>
          <w:tcPr>
            <w:tcW w:w="3024" w:type="dxa"/>
          </w:tcPr>
          <w:p w14:paraId="51D3950A" w14:textId="77777777" w:rsidR="00706138" w:rsidRDefault="00000000">
            <w:pPr>
              <w:spacing w:before="40" w:after="40"/>
            </w:pPr>
            <w:r>
              <w:rPr>
                <w:sz w:val="18"/>
              </w:rPr>
              <w:lastRenderedPageBreak/>
              <w:t>Performance evaluation</w:t>
            </w:r>
          </w:p>
        </w:tc>
        <w:tc>
          <w:tcPr>
            <w:tcW w:w="2160" w:type="dxa"/>
          </w:tcPr>
          <w:p w14:paraId="3D097B12" w14:textId="77777777" w:rsidR="00706138" w:rsidRDefault="00000000">
            <w:pPr>
              <w:spacing w:before="40" w:after="40"/>
            </w:pPr>
            <w:r>
              <w:rPr>
                <w:sz w:val="18"/>
              </w:rPr>
              <w:t>Weeks 12 to 14</w:t>
            </w:r>
          </w:p>
        </w:tc>
        <w:tc>
          <w:tcPr>
            <w:tcW w:w="5040" w:type="dxa"/>
          </w:tcPr>
          <w:p w14:paraId="2FC34498" w14:textId="77777777" w:rsidR="00706138" w:rsidRDefault="00000000">
            <w:pPr>
              <w:spacing w:before="40" w:after="40"/>
            </w:pPr>
            <w:r>
              <w:rPr>
                <w:sz w:val="18"/>
              </w:rPr>
              <w:t>Mondrian against the fixed suppression baseline on identical risk thresholds</w:t>
            </w:r>
          </w:p>
        </w:tc>
      </w:tr>
      <w:tr w:rsidR="00706138" w14:paraId="3AC54F4C" w14:textId="77777777">
        <w:tc>
          <w:tcPr>
            <w:tcW w:w="3024" w:type="dxa"/>
          </w:tcPr>
          <w:p w14:paraId="2728A996" w14:textId="77777777" w:rsidR="00706138" w:rsidRDefault="00000000">
            <w:pPr>
              <w:spacing w:before="40" w:after="40"/>
            </w:pPr>
            <w:r>
              <w:rPr>
                <w:sz w:val="18"/>
              </w:rPr>
              <w:t>Revision and improvement</w:t>
            </w:r>
          </w:p>
        </w:tc>
        <w:tc>
          <w:tcPr>
            <w:tcW w:w="2160" w:type="dxa"/>
          </w:tcPr>
          <w:p w14:paraId="5DFEB56F" w14:textId="77777777" w:rsidR="00706138" w:rsidRDefault="00000000">
            <w:pPr>
              <w:spacing w:before="40" w:after="40"/>
            </w:pPr>
            <w:r>
              <w:rPr>
                <w:sz w:val="18"/>
              </w:rPr>
              <w:t>Weeks 14 to 16</w:t>
            </w:r>
          </w:p>
        </w:tc>
        <w:tc>
          <w:tcPr>
            <w:tcW w:w="5040" w:type="dxa"/>
          </w:tcPr>
          <w:p w14:paraId="0F834A47" w14:textId="77777777" w:rsidR="00706138" w:rsidRDefault="00000000">
            <w:pPr>
              <w:spacing w:before="40" w:after="40"/>
            </w:pPr>
            <w:r>
              <w:rPr>
                <w:sz w:val="18"/>
              </w:rPr>
              <w:t>Defect correction and report refinement</w:t>
            </w:r>
          </w:p>
        </w:tc>
      </w:tr>
      <w:tr w:rsidR="00706138" w14:paraId="553A2983" w14:textId="77777777">
        <w:tc>
          <w:tcPr>
            <w:tcW w:w="3024" w:type="dxa"/>
          </w:tcPr>
          <w:p w14:paraId="3E7FF7B8" w14:textId="77777777" w:rsidR="00706138" w:rsidRDefault="00000000">
            <w:pPr>
              <w:spacing w:before="40" w:after="40"/>
            </w:pPr>
            <w:r>
              <w:rPr>
                <w:sz w:val="18"/>
              </w:rPr>
              <w:t>Documentation</w:t>
            </w:r>
          </w:p>
        </w:tc>
        <w:tc>
          <w:tcPr>
            <w:tcW w:w="2160" w:type="dxa"/>
          </w:tcPr>
          <w:p w14:paraId="4E4F10E7" w14:textId="77777777" w:rsidR="00706138" w:rsidRDefault="00000000">
            <w:pPr>
              <w:spacing w:before="40" w:after="40"/>
            </w:pPr>
            <w:r>
              <w:rPr>
                <w:sz w:val="18"/>
              </w:rPr>
              <w:t>Weeks 2 to 17</w:t>
            </w:r>
          </w:p>
        </w:tc>
        <w:tc>
          <w:tcPr>
            <w:tcW w:w="5040" w:type="dxa"/>
          </w:tcPr>
          <w:p w14:paraId="4A485D90" w14:textId="77777777" w:rsidR="00706138" w:rsidRDefault="00000000">
            <w:pPr>
              <w:spacing w:before="40" w:after="40"/>
            </w:pPr>
            <w:r>
              <w:rPr>
                <w:sz w:val="18"/>
              </w:rPr>
              <w:t>Maintained continuously; every assumption recorded as it is made</w:t>
            </w:r>
          </w:p>
        </w:tc>
      </w:tr>
      <w:tr w:rsidR="00706138" w14:paraId="0B12E962" w14:textId="77777777">
        <w:tc>
          <w:tcPr>
            <w:tcW w:w="3024" w:type="dxa"/>
          </w:tcPr>
          <w:p w14:paraId="33577C61" w14:textId="77777777" w:rsidR="00706138" w:rsidRDefault="00000000">
            <w:pPr>
              <w:spacing w:before="40" w:after="40"/>
            </w:pPr>
            <w:r>
              <w:rPr>
                <w:sz w:val="18"/>
              </w:rPr>
              <w:t>Deployment and final presentation</w:t>
            </w:r>
          </w:p>
        </w:tc>
        <w:tc>
          <w:tcPr>
            <w:tcW w:w="2160" w:type="dxa"/>
          </w:tcPr>
          <w:p w14:paraId="3E4B5D65" w14:textId="77777777" w:rsidR="00706138" w:rsidRDefault="00000000">
            <w:pPr>
              <w:spacing w:before="40" w:after="40"/>
            </w:pPr>
            <w:r>
              <w:rPr>
                <w:sz w:val="18"/>
              </w:rPr>
              <w:t>Weeks 17 to 18</w:t>
            </w:r>
          </w:p>
        </w:tc>
        <w:tc>
          <w:tcPr>
            <w:tcW w:w="5040" w:type="dxa"/>
          </w:tcPr>
          <w:p w14:paraId="6C4AC275" w14:textId="77777777" w:rsidR="00706138" w:rsidRDefault="00000000">
            <w:pPr>
              <w:spacing w:before="40" w:after="40"/>
            </w:pPr>
            <w:r>
              <w:rPr>
                <w:sz w:val="18"/>
              </w:rPr>
              <w:t>Handover package only; no integration into any city system is permitted during the study</w:t>
            </w:r>
          </w:p>
        </w:tc>
      </w:tr>
    </w:tbl>
    <w:p w14:paraId="6F901736" w14:textId="77777777" w:rsidR="00706138" w:rsidRDefault="00706138">
      <w:pPr>
        <w:spacing w:after="40"/>
      </w:pPr>
    </w:p>
    <w:p w14:paraId="05D75ED1" w14:textId="77777777" w:rsidR="00706138" w:rsidRDefault="00000000">
      <w:pPr>
        <w:jc w:val="both"/>
      </w:pPr>
      <w:r>
        <w:t>Activities that may cause delays. City response time is the largest and it is outside the group's control, and a government request may also need a second approval from the source department. Schema and dictionary quality is the second, since undefined categories block hierarchy construction. These are managed by submitting the request in Week 2 rather than later, by building and validating the entire pipeline on a public benchmark dataset so that no development work waits on the city, and by setting a hard Week 5 decision point with two named fallbacks. Because the method is dataset-agnostic, a fallback costs the group its local finding but not its system or its evaluation.</w:t>
      </w:r>
    </w:p>
    <w:p w14:paraId="325D367E" w14:textId="77777777" w:rsidR="00706138" w:rsidRDefault="00000000">
      <w:pPr>
        <w:jc w:val="both"/>
      </w:pPr>
      <w:r>
        <w:t>Schedule finding. The 18-week plan holds, and it is more robust than Plan C's because a public benchmark can substitute for the real extract at any point without invalidating the work already built.</w:t>
      </w:r>
    </w:p>
    <w:tbl>
      <w:tblPr>
        <w:tblStyle w:val="TableGrid"/>
        <w:tblW w:w="0" w:type="auto"/>
        <w:jc w:val="center"/>
        <w:tblLook w:val="04A0" w:firstRow="1" w:lastRow="0" w:firstColumn="1" w:lastColumn="0" w:noHBand="0" w:noVBand="1"/>
      </w:tblPr>
      <w:tblGrid>
        <w:gridCol w:w="10224"/>
      </w:tblGrid>
      <w:tr w:rsidR="00706138" w14:paraId="4F94E390" w14:textId="77777777">
        <w:trPr>
          <w:jc w:val="center"/>
        </w:trPr>
        <w:tc>
          <w:tcPr>
            <w:tcW w:w="10224" w:type="dxa"/>
            <w:shd w:val="clear" w:color="auto" w:fill="4EA72E"/>
          </w:tcPr>
          <w:p w14:paraId="3D004CF3" w14:textId="77777777" w:rsidR="00706138" w:rsidRDefault="00000000">
            <w:pPr>
              <w:spacing w:before="40" w:after="40"/>
            </w:pPr>
            <w:r>
              <w:rPr>
                <w:b/>
                <w:sz w:val="22"/>
              </w:rPr>
              <w:t>9. Legal and Ethical Feasibility</w:t>
            </w:r>
          </w:p>
        </w:tc>
      </w:tr>
    </w:tbl>
    <w:p w14:paraId="1DEAEAA0" w14:textId="77777777" w:rsidR="00706138" w:rsidRDefault="00706138">
      <w:pPr>
        <w:spacing w:after="40"/>
      </w:pPr>
    </w:p>
    <w:tbl>
      <w:tblPr>
        <w:tblStyle w:val="TableGrid"/>
        <w:tblW w:w="0" w:type="auto"/>
        <w:tblLook w:val="04A0" w:firstRow="1" w:lastRow="0" w:firstColumn="1" w:lastColumn="0" w:noHBand="0" w:noVBand="1"/>
      </w:tblPr>
      <w:tblGrid>
        <w:gridCol w:w="2448"/>
        <w:gridCol w:w="7776"/>
      </w:tblGrid>
      <w:tr w:rsidR="00706138" w14:paraId="12B20C2B" w14:textId="77777777">
        <w:tc>
          <w:tcPr>
            <w:tcW w:w="2448" w:type="dxa"/>
            <w:shd w:val="clear" w:color="auto" w:fill="EDEDED"/>
          </w:tcPr>
          <w:p w14:paraId="5837B166" w14:textId="77777777" w:rsidR="00706138" w:rsidRDefault="00000000">
            <w:pPr>
              <w:spacing w:before="40" w:after="40"/>
            </w:pPr>
            <w:r>
              <w:rPr>
                <w:b/>
                <w:sz w:val="18"/>
              </w:rPr>
              <w:t>Requirement</w:t>
            </w:r>
          </w:p>
        </w:tc>
        <w:tc>
          <w:tcPr>
            <w:tcW w:w="7776" w:type="dxa"/>
            <w:shd w:val="clear" w:color="auto" w:fill="EDEDED"/>
          </w:tcPr>
          <w:p w14:paraId="6B9D7583" w14:textId="77777777" w:rsidR="00706138" w:rsidRDefault="00000000">
            <w:pPr>
              <w:spacing w:before="40" w:after="40"/>
            </w:pPr>
            <w:r>
              <w:rPr>
                <w:b/>
                <w:sz w:val="18"/>
              </w:rPr>
              <w:t>Planned Control</w:t>
            </w:r>
          </w:p>
        </w:tc>
      </w:tr>
      <w:tr w:rsidR="00706138" w14:paraId="1A674E39" w14:textId="77777777">
        <w:tc>
          <w:tcPr>
            <w:tcW w:w="2448" w:type="dxa"/>
          </w:tcPr>
          <w:p w14:paraId="53897E8C" w14:textId="77777777" w:rsidR="00706138" w:rsidRDefault="00000000">
            <w:pPr>
              <w:spacing w:before="40" w:after="40"/>
            </w:pPr>
            <w:r>
              <w:rPr>
                <w:sz w:val="18"/>
              </w:rPr>
              <w:t>Data Privacy Act compliance</w:t>
            </w:r>
          </w:p>
        </w:tc>
        <w:tc>
          <w:tcPr>
            <w:tcW w:w="7776" w:type="dxa"/>
          </w:tcPr>
          <w:p w14:paraId="5CC8B226" w14:textId="77777777" w:rsidR="00706138" w:rsidRDefault="00000000">
            <w:pPr>
              <w:spacing w:before="40" w:after="40"/>
            </w:pPr>
            <w:r>
              <w:rPr>
                <w:sz w:val="18"/>
              </w:rPr>
              <w:t>Republic Act No. 10173 applies. NPC Advisory Opinion No. 2017-027 states that removing direct identifiers does not automatically make data anonymous where singling out, linkability, or inference remains possible, so the research copy is treated as restricted personal data even after source-side de-identification. NPC Advisory No. 2025-02 on privacy engineering informs the system design.</w:t>
            </w:r>
          </w:p>
        </w:tc>
      </w:tr>
      <w:tr w:rsidR="00706138" w14:paraId="28DFF255" w14:textId="77777777">
        <w:tc>
          <w:tcPr>
            <w:tcW w:w="2448" w:type="dxa"/>
          </w:tcPr>
          <w:p w14:paraId="0830A233" w14:textId="77777777" w:rsidR="00706138" w:rsidRDefault="00000000">
            <w:pPr>
              <w:spacing w:before="40" w:after="40"/>
            </w:pPr>
            <w:r>
              <w:rPr>
                <w:sz w:val="18"/>
              </w:rPr>
              <w:t>Informed consent</w:t>
            </w:r>
          </w:p>
        </w:tc>
        <w:tc>
          <w:tcPr>
            <w:tcW w:w="7776" w:type="dxa"/>
          </w:tcPr>
          <w:p w14:paraId="4CCB2890" w14:textId="77777777" w:rsidR="00706138" w:rsidRDefault="00000000">
            <w:pPr>
              <w:spacing w:before="40" w:after="40"/>
            </w:pPr>
            <w:r>
              <w:rPr>
                <w:sz w:val="18"/>
              </w:rPr>
              <w:t>Not applicable. No human participants are engaged and no identifiable private information is received. Consent is obtained only if usability testing records identifiable responses.</w:t>
            </w:r>
          </w:p>
        </w:tc>
      </w:tr>
      <w:tr w:rsidR="00706138" w14:paraId="28CC8806" w14:textId="77777777">
        <w:tc>
          <w:tcPr>
            <w:tcW w:w="2448" w:type="dxa"/>
          </w:tcPr>
          <w:p w14:paraId="32606E70" w14:textId="77777777" w:rsidR="00706138" w:rsidRDefault="00000000">
            <w:pPr>
              <w:spacing w:before="40" w:after="40"/>
            </w:pPr>
            <w:r>
              <w:rPr>
                <w:sz w:val="18"/>
              </w:rPr>
              <w:t>Research ethics approval</w:t>
            </w:r>
          </w:p>
        </w:tc>
        <w:tc>
          <w:tcPr>
            <w:tcW w:w="7776" w:type="dxa"/>
          </w:tcPr>
          <w:p w14:paraId="38798412" w14:textId="77777777" w:rsidR="00706138" w:rsidRDefault="00000000">
            <w:pPr>
              <w:spacing w:before="40" w:after="40"/>
            </w:pPr>
            <w:r>
              <w:rPr>
                <w:sz w:val="18"/>
              </w:rPr>
              <w:t>Exempt classification is targeted. Appendix I applies for formally authorised institutional data. The adviser decides whether ITDD as data custodian triggers Appendix D. Appendix H is expected to apply, because the system produces an automated release recommendation. No data is received before ethics clearance.</w:t>
            </w:r>
          </w:p>
        </w:tc>
      </w:tr>
      <w:tr w:rsidR="00706138" w14:paraId="12D27A2E" w14:textId="77777777">
        <w:tc>
          <w:tcPr>
            <w:tcW w:w="2448" w:type="dxa"/>
          </w:tcPr>
          <w:p w14:paraId="498B0DB8" w14:textId="77777777" w:rsidR="00706138" w:rsidRDefault="00000000">
            <w:pPr>
              <w:spacing w:before="40" w:after="40"/>
            </w:pPr>
            <w:r>
              <w:rPr>
                <w:sz w:val="18"/>
              </w:rPr>
              <w:t>Confidentiality and anonymisation</w:t>
            </w:r>
          </w:p>
        </w:tc>
        <w:tc>
          <w:tcPr>
            <w:tcW w:w="7776" w:type="dxa"/>
          </w:tcPr>
          <w:p w14:paraId="769A26E1" w14:textId="77777777" w:rsidR="00706138" w:rsidRDefault="00000000">
            <w:pPr>
              <w:spacing w:before="40" w:after="40"/>
            </w:pPr>
            <w:r>
              <w:rPr>
                <w:sz w:val="18"/>
              </w:rPr>
              <w:t>Direct identifiers and source-system identity mappings are never received. Narrative text, exact locations, and account identifiers are excluded at source. High-risk first cases involving health details, PWD identities, QCitizen ID numbers, or beneficiary financial information are excluded from dataset selection entirely.</w:t>
            </w:r>
          </w:p>
        </w:tc>
      </w:tr>
      <w:tr w:rsidR="00706138" w14:paraId="3550C541" w14:textId="77777777">
        <w:tc>
          <w:tcPr>
            <w:tcW w:w="2448" w:type="dxa"/>
          </w:tcPr>
          <w:p w14:paraId="2FA5F4AE" w14:textId="77777777" w:rsidR="00706138" w:rsidRDefault="00000000">
            <w:pPr>
              <w:spacing w:before="40" w:after="40"/>
            </w:pPr>
            <w:r>
              <w:rPr>
                <w:sz w:val="18"/>
              </w:rPr>
              <w:t>Intellectual property and copyright</w:t>
            </w:r>
          </w:p>
        </w:tc>
        <w:tc>
          <w:tcPr>
            <w:tcW w:w="7776" w:type="dxa"/>
          </w:tcPr>
          <w:p w14:paraId="0CA87302" w14:textId="77777777" w:rsidR="00706138" w:rsidRDefault="00000000">
            <w:pPr>
              <w:spacing w:before="40" w:after="40"/>
            </w:pPr>
            <w:r>
              <w:rPr>
                <w:sz w:val="18"/>
              </w:rPr>
              <w:t>All sources cited; library and dataset licences documented; the city retains ownership of its data and the group claims no redistribution right.</w:t>
            </w:r>
          </w:p>
        </w:tc>
      </w:tr>
      <w:tr w:rsidR="00706138" w14:paraId="467D9A6B" w14:textId="77777777">
        <w:tc>
          <w:tcPr>
            <w:tcW w:w="2448" w:type="dxa"/>
          </w:tcPr>
          <w:p w14:paraId="76AC2AEC" w14:textId="77777777" w:rsidR="00706138" w:rsidRDefault="00000000">
            <w:pPr>
              <w:spacing w:before="40" w:after="40"/>
            </w:pPr>
            <w:r>
              <w:rPr>
                <w:sz w:val="18"/>
              </w:rPr>
              <w:t>Licences</w:t>
            </w:r>
          </w:p>
        </w:tc>
        <w:tc>
          <w:tcPr>
            <w:tcW w:w="7776" w:type="dxa"/>
          </w:tcPr>
          <w:p w14:paraId="45F7978B" w14:textId="77777777" w:rsidR="00706138" w:rsidRDefault="00000000">
            <w:pPr>
              <w:spacing w:before="40" w:after="40"/>
            </w:pPr>
            <w:r>
              <w:rPr>
                <w:sz w:val="18"/>
              </w:rPr>
              <w:t>Every library on the stack carries a permissive open-source licence compatible with academic use. ARX and pycanon are used as reference cross-checks under their stated licences.</w:t>
            </w:r>
          </w:p>
        </w:tc>
      </w:tr>
      <w:tr w:rsidR="00706138" w14:paraId="73C58882" w14:textId="77777777">
        <w:tc>
          <w:tcPr>
            <w:tcW w:w="2448" w:type="dxa"/>
          </w:tcPr>
          <w:p w14:paraId="5B99DC6D" w14:textId="77777777" w:rsidR="00706138" w:rsidRDefault="00000000">
            <w:pPr>
              <w:spacing w:before="40" w:after="40"/>
            </w:pPr>
            <w:r>
              <w:rPr>
                <w:sz w:val="18"/>
              </w:rPr>
              <w:t>Data ownership and sharing restrictions</w:t>
            </w:r>
          </w:p>
        </w:tc>
        <w:tc>
          <w:tcPr>
            <w:tcW w:w="7776" w:type="dxa"/>
          </w:tcPr>
          <w:p w14:paraId="38AA2E78" w14:textId="77777777" w:rsidR="00706138" w:rsidRDefault="00000000">
            <w:pPr>
              <w:spacing w:before="40" w:after="40"/>
            </w:pPr>
            <w:r>
              <w:rPr>
                <w:sz w:val="18"/>
              </w:rPr>
              <w:t>The group never publishes the approved record-level extract. Row-level files are kept outside Git and the thesis vault and are destroyed within thirty days after the final defence unless city terms require earlier.</w:t>
            </w:r>
          </w:p>
        </w:tc>
      </w:tr>
      <w:tr w:rsidR="00706138" w14:paraId="0DD754CF" w14:textId="77777777">
        <w:tc>
          <w:tcPr>
            <w:tcW w:w="2448" w:type="dxa"/>
          </w:tcPr>
          <w:p w14:paraId="7C12D809" w14:textId="77777777" w:rsidR="00706138" w:rsidRDefault="00000000">
            <w:pPr>
              <w:spacing w:before="40" w:after="40"/>
            </w:pPr>
            <w:r>
              <w:rPr>
                <w:sz w:val="18"/>
              </w:rPr>
              <w:t>Cybersecurity</w:t>
            </w:r>
          </w:p>
        </w:tc>
        <w:tc>
          <w:tcPr>
            <w:tcW w:w="7776" w:type="dxa"/>
          </w:tcPr>
          <w:p w14:paraId="79F6D85D" w14:textId="77777777" w:rsidR="00706138" w:rsidRDefault="00000000">
            <w:pPr>
              <w:spacing w:before="40" w:after="40"/>
            </w:pPr>
            <w:r>
              <w:rPr>
                <w:sz w:val="18"/>
              </w:rPr>
              <w:t>Restricted storage path, checksum and schema-version recording on import, prohibited-field gate, credentials in environment variables, and audit logging. No external dataset is held, so no linkage is technically possible.</w:t>
            </w:r>
          </w:p>
        </w:tc>
      </w:tr>
      <w:tr w:rsidR="00706138" w14:paraId="181D2187" w14:textId="77777777">
        <w:tc>
          <w:tcPr>
            <w:tcW w:w="2448" w:type="dxa"/>
          </w:tcPr>
          <w:p w14:paraId="18DD47C4" w14:textId="77777777" w:rsidR="00706138" w:rsidRDefault="00000000">
            <w:pPr>
              <w:spacing w:before="40" w:after="40"/>
            </w:pPr>
            <w:r>
              <w:rPr>
                <w:sz w:val="18"/>
              </w:rPr>
              <w:t>AI fairness, transparency, accountability, bias</w:t>
            </w:r>
          </w:p>
        </w:tc>
        <w:tc>
          <w:tcPr>
            <w:tcW w:w="7776" w:type="dxa"/>
          </w:tcPr>
          <w:p w14:paraId="7C16F760" w14:textId="77777777" w:rsidR="00706138" w:rsidRDefault="00000000">
            <w:pPr>
              <w:spacing w:before="40" w:after="40"/>
            </w:pPr>
            <w:r>
              <w:rPr>
                <w:sz w:val="18"/>
              </w:rPr>
              <w:t>No claim is made that a passing k value constitutes legal anonymity; the system is decision support and the report says so in its own text. Results are reported across multiple values of k rather than a single chosen threshold. Reporting bias toward barangays and populations that use the service channel more is disclosed as a limitation, since a release that looks safe for well-represented groups may not be for rare ones.</w:t>
            </w:r>
          </w:p>
        </w:tc>
      </w:tr>
      <w:tr w:rsidR="00706138" w14:paraId="4EB74535" w14:textId="77777777">
        <w:tc>
          <w:tcPr>
            <w:tcW w:w="2448" w:type="dxa"/>
          </w:tcPr>
          <w:p w14:paraId="309BF111" w14:textId="77777777" w:rsidR="00706138" w:rsidRDefault="00000000">
            <w:pPr>
              <w:spacing w:before="40" w:after="40"/>
            </w:pPr>
            <w:r>
              <w:rPr>
                <w:sz w:val="18"/>
              </w:rPr>
              <w:lastRenderedPageBreak/>
              <w:t>Possible misuse or harm</w:t>
            </w:r>
          </w:p>
        </w:tc>
        <w:tc>
          <w:tcPr>
            <w:tcW w:w="7776" w:type="dxa"/>
          </w:tcPr>
          <w:p w14:paraId="697BD56A" w14:textId="77777777" w:rsidR="00706138" w:rsidRDefault="00000000">
            <w:pPr>
              <w:spacing w:before="40" w:after="40"/>
            </w:pPr>
            <w:r>
              <w:rPr>
                <w:sz w:val="18"/>
              </w:rPr>
              <w:t>Two realistic harms. First, a system output mistaken for legal clearance to publish; controlled by explicit decision-support framing in the report itself and by the statement that it does not replace the Data Protection Officer. Second, the study documenting how to evaluate re-identification risk; controlled by never attempting re-identification, holding no external dataset to link against, and reporting only aggregate risk indicators rather than any vulnerable record.</w:t>
            </w:r>
          </w:p>
        </w:tc>
      </w:tr>
    </w:tbl>
    <w:p w14:paraId="67E6EC33" w14:textId="77777777" w:rsidR="00706138" w:rsidRDefault="00706138">
      <w:pPr>
        <w:spacing w:after="40"/>
      </w:pPr>
    </w:p>
    <w:p w14:paraId="21005A96" w14:textId="77777777" w:rsidR="00706138" w:rsidRDefault="00000000">
      <w:pPr>
        <w:jc w:val="both"/>
      </w:pPr>
      <w:r>
        <w:t>Legal and ethical finding. This title has the strongest legal grounding of the five, because the exact NPC guidance that governs it has been identified and quoted, and because privacy is the subject of the study rather than an obstacle to it. The genuine open items are the Appendix H determination, which is expected to apply, and the city's own publication conditions, which are unknown until ITDD responds.</w:t>
      </w:r>
    </w:p>
    <w:tbl>
      <w:tblPr>
        <w:tblStyle w:val="TableGrid"/>
        <w:tblW w:w="0" w:type="auto"/>
        <w:jc w:val="center"/>
        <w:tblLook w:val="04A0" w:firstRow="1" w:lastRow="0" w:firstColumn="1" w:lastColumn="0" w:noHBand="0" w:noVBand="1"/>
      </w:tblPr>
      <w:tblGrid>
        <w:gridCol w:w="10224"/>
      </w:tblGrid>
      <w:tr w:rsidR="00706138" w14:paraId="0681A3AB" w14:textId="77777777">
        <w:trPr>
          <w:jc w:val="center"/>
        </w:trPr>
        <w:tc>
          <w:tcPr>
            <w:tcW w:w="10224" w:type="dxa"/>
            <w:shd w:val="clear" w:color="auto" w:fill="4EA72E"/>
          </w:tcPr>
          <w:p w14:paraId="25A00236" w14:textId="77777777" w:rsidR="00706138" w:rsidRDefault="00000000">
            <w:pPr>
              <w:spacing w:before="40" w:after="40"/>
            </w:pPr>
            <w:r>
              <w:rPr>
                <w:b/>
                <w:sz w:val="22"/>
              </w:rPr>
              <w:t>10. Risk Assessment and Feasibility Conclusion</w:t>
            </w:r>
          </w:p>
        </w:tc>
      </w:tr>
    </w:tbl>
    <w:p w14:paraId="367086A0" w14:textId="77777777" w:rsidR="00706138" w:rsidRDefault="00706138">
      <w:pPr>
        <w:spacing w:after="40"/>
      </w:pPr>
    </w:p>
    <w:tbl>
      <w:tblPr>
        <w:tblStyle w:val="TableGrid"/>
        <w:tblW w:w="0" w:type="auto"/>
        <w:tblLook w:val="04A0" w:firstRow="1" w:lastRow="0" w:firstColumn="1" w:lastColumn="0" w:noHBand="0" w:noVBand="1"/>
      </w:tblPr>
      <w:tblGrid>
        <w:gridCol w:w="2448"/>
        <w:gridCol w:w="1152"/>
        <w:gridCol w:w="1008"/>
        <w:gridCol w:w="5616"/>
      </w:tblGrid>
      <w:tr w:rsidR="00706138" w14:paraId="7926C69B" w14:textId="77777777">
        <w:tc>
          <w:tcPr>
            <w:tcW w:w="2448" w:type="dxa"/>
            <w:shd w:val="clear" w:color="auto" w:fill="EDEDED"/>
          </w:tcPr>
          <w:p w14:paraId="15E9881C" w14:textId="77777777" w:rsidR="00706138" w:rsidRDefault="00000000">
            <w:pPr>
              <w:spacing w:before="40" w:after="40"/>
            </w:pPr>
            <w:r>
              <w:rPr>
                <w:b/>
                <w:sz w:val="18"/>
              </w:rPr>
              <w:t>Identified Risk</w:t>
            </w:r>
          </w:p>
        </w:tc>
        <w:tc>
          <w:tcPr>
            <w:tcW w:w="1152" w:type="dxa"/>
            <w:shd w:val="clear" w:color="auto" w:fill="EDEDED"/>
          </w:tcPr>
          <w:p w14:paraId="3B1767CC" w14:textId="77777777" w:rsidR="00706138" w:rsidRDefault="00000000">
            <w:pPr>
              <w:spacing w:before="40" w:after="40"/>
            </w:pPr>
            <w:r>
              <w:rPr>
                <w:b/>
                <w:sz w:val="18"/>
              </w:rPr>
              <w:t>Likelihood</w:t>
            </w:r>
          </w:p>
        </w:tc>
        <w:tc>
          <w:tcPr>
            <w:tcW w:w="1008" w:type="dxa"/>
            <w:shd w:val="clear" w:color="auto" w:fill="EDEDED"/>
          </w:tcPr>
          <w:p w14:paraId="0BF5DDD8" w14:textId="77777777" w:rsidR="00706138" w:rsidRDefault="00000000">
            <w:pPr>
              <w:spacing w:before="40" w:after="40"/>
            </w:pPr>
            <w:r>
              <w:rPr>
                <w:b/>
                <w:sz w:val="18"/>
              </w:rPr>
              <w:t>Impact</w:t>
            </w:r>
          </w:p>
        </w:tc>
        <w:tc>
          <w:tcPr>
            <w:tcW w:w="5616" w:type="dxa"/>
            <w:shd w:val="clear" w:color="auto" w:fill="EDEDED"/>
          </w:tcPr>
          <w:p w14:paraId="724C6E0C" w14:textId="77777777" w:rsidR="00706138" w:rsidRDefault="00000000">
            <w:pPr>
              <w:spacing w:before="40" w:after="40"/>
            </w:pPr>
            <w:r>
              <w:rPr>
                <w:b/>
                <w:sz w:val="18"/>
              </w:rPr>
              <w:t>Mitigation Strategy</w:t>
            </w:r>
          </w:p>
        </w:tc>
      </w:tr>
      <w:tr w:rsidR="00706138" w14:paraId="1A7F18D7" w14:textId="77777777">
        <w:tc>
          <w:tcPr>
            <w:tcW w:w="2448" w:type="dxa"/>
          </w:tcPr>
          <w:p w14:paraId="5F9E1913" w14:textId="77777777" w:rsidR="00706138" w:rsidRDefault="00000000">
            <w:pPr>
              <w:spacing w:before="40" w:after="40"/>
            </w:pPr>
            <w:r>
              <w:rPr>
                <w:sz w:val="18"/>
              </w:rPr>
              <w:t>Dataset is unavailable or insufficient</w:t>
            </w:r>
          </w:p>
        </w:tc>
        <w:tc>
          <w:tcPr>
            <w:tcW w:w="1152" w:type="dxa"/>
          </w:tcPr>
          <w:p w14:paraId="4F34D5FA" w14:textId="77777777" w:rsidR="00706138" w:rsidRDefault="00000000">
            <w:pPr>
              <w:spacing w:before="40" w:after="40"/>
            </w:pPr>
            <w:r>
              <w:rPr>
                <w:sz w:val="18"/>
              </w:rPr>
              <w:t>Low</w:t>
            </w:r>
          </w:p>
        </w:tc>
        <w:tc>
          <w:tcPr>
            <w:tcW w:w="1008" w:type="dxa"/>
          </w:tcPr>
          <w:p w14:paraId="3901BD20" w14:textId="77777777" w:rsidR="00706138" w:rsidRDefault="00000000">
            <w:pPr>
              <w:spacing w:before="40" w:after="40"/>
            </w:pPr>
            <w:r>
              <w:rPr>
                <w:sz w:val="18"/>
              </w:rPr>
              <w:t>High</w:t>
            </w:r>
          </w:p>
        </w:tc>
        <w:tc>
          <w:tcPr>
            <w:tcW w:w="5616" w:type="dxa"/>
          </w:tcPr>
          <w:p w14:paraId="12C13E48" w14:textId="77777777" w:rsidR="00706138" w:rsidRDefault="00000000">
            <w:pPr>
              <w:spacing w:before="40" w:after="40"/>
            </w:pPr>
            <w:r>
              <w:rPr>
                <w:sz w:val="18"/>
              </w:rPr>
              <w:t>Request submitted in Week 2; hard Week 5 decision point; two named fallbacks, being PSA anonymised microdata then a public benchmark microdata set. The system and the full evaluation survive both.</w:t>
            </w:r>
          </w:p>
        </w:tc>
      </w:tr>
      <w:tr w:rsidR="00706138" w14:paraId="4EC54081" w14:textId="77777777">
        <w:tc>
          <w:tcPr>
            <w:tcW w:w="2448" w:type="dxa"/>
          </w:tcPr>
          <w:p w14:paraId="18E8AAED" w14:textId="77777777" w:rsidR="00706138" w:rsidRDefault="00000000">
            <w:pPr>
              <w:spacing w:before="40" w:after="40"/>
            </w:pPr>
            <w:r>
              <w:rPr>
                <w:sz w:val="18"/>
              </w:rPr>
              <w:t>City response is slow or requires a second approval</w:t>
            </w:r>
          </w:p>
        </w:tc>
        <w:tc>
          <w:tcPr>
            <w:tcW w:w="1152" w:type="dxa"/>
          </w:tcPr>
          <w:p w14:paraId="30F21021" w14:textId="77777777" w:rsidR="00706138" w:rsidRDefault="00000000">
            <w:pPr>
              <w:spacing w:before="40" w:after="40"/>
            </w:pPr>
            <w:r>
              <w:rPr>
                <w:sz w:val="18"/>
              </w:rPr>
              <w:t>High</w:t>
            </w:r>
          </w:p>
        </w:tc>
        <w:tc>
          <w:tcPr>
            <w:tcW w:w="1008" w:type="dxa"/>
          </w:tcPr>
          <w:p w14:paraId="51618725" w14:textId="77777777" w:rsidR="00706138" w:rsidRDefault="00000000">
            <w:pPr>
              <w:spacing w:before="40" w:after="40"/>
            </w:pPr>
            <w:r>
              <w:rPr>
                <w:sz w:val="18"/>
              </w:rPr>
              <w:t>Medium</w:t>
            </w:r>
          </w:p>
        </w:tc>
        <w:tc>
          <w:tcPr>
            <w:tcW w:w="5616" w:type="dxa"/>
          </w:tcPr>
          <w:p w14:paraId="258A8962" w14:textId="77777777" w:rsidR="00706138" w:rsidRDefault="00000000">
            <w:pPr>
              <w:spacing w:before="40" w:after="40"/>
            </w:pPr>
            <w:r>
              <w:rPr>
                <w:sz w:val="18"/>
              </w:rPr>
              <w:t>Development is validated entirely on a public benchmark, so no build work waits on the city; the request explicitly names the source department as a possible co-approver.</w:t>
            </w:r>
          </w:p>
        </w:tc>
      </w:tr>
      <w:tr w:rsidR="00706138" w14:paraId="1949DA31" w14:textId="77777777">
        <w:tc>
          <w:tcPr>
            <w:tcW w:w="2448" w:type="dxa"/>
          </w:tcPr>
          <w:p w14:paraId="00486EC8" w14:textId="77777777" w:rsidR="00706138" w:rsidRDefault="00000000">
            <w:pPr>
              <w:spacing w:before="40" w:after="40"/>
            </w:pPr>
            <w:r>
              <w:rPr>
                <w:sz w:val="18"/>
              </w:rPr>
              <w:t>Extract lacks exact dates or barangays</w:t>
            </w:r>
          </w:p>
        </w:tc>
        <w:tc>
          <w:tcPr>
            <w:tcW w:w="1152" w:type="dxa"/>
          </w:tcPr>
          <w:p w14:paraId="75CEA0EE" w14:textId="77777777" w:rsidR="00706138" w:rsidRDefault="00000000">
            <w:pPr>
              <w:spacing w:before="40" w:after="40"/>
            </w:pPr>
            <w:r>
              <w:rPr>
                <w:sz w:val="18"/>
              </w:rPr>
              <w:t>Medium</w:t>
            </w:r>
          </w:p>
        </w:tc>
        <w:tc>
          <w:tcPr>
            <w:tcW w:w="1008" w:type="dxa"/>
          </w:tcPr>
          <w:p w14:paraId="1300C619" w14:textId="77777777" w:rsidR="00706138" w:rsidRDefault="00000000">
            <w:pPr>
              <w:spacing w:before="40" w:after="40"/>
            </w:pPr>
            <w:r>
              <w:rPr>
                <w:sz w:val="18"/>
              </w:rPr>
              <w:t>High</w:t>
            </w:r>
          </w:p>
        </w:tc>
        <w:tc>
          <w:tcPr>
            <w:tcW w:w="5616" w:type="dxa"/>
          </w:tcPr>
          <w:p w14:paraId="1FBC63B5" w14:textId="77777777" w:rsidR="00706138" w:rsidRDefault="00000000">
            <w:pPr>
              <w:spacing w:before="40" w:after="40"/>
            </w:pPr>
            <w:r>
              <w:rPr>
                <w:sz w:val="18"/>
              </w:rPr>
              <w:t>Without granular quasi-identifiers there is nothing to generalise, so this is asked directly in the request letter; if refused, the study moves to a dataset or benchmark that retains them.</w:t>
            </w:r>
          </w:p>
        </w:tc>
      </w:tr>
      <w:tr w:rsidR="00706138" w14:paraId="23620C92" w14:textId="77777777">
        <w:tc>
          <w:tcPr>
            <w:tcW w:w="2448" w:type="dxa"/>
          </w:tcPr>
          <w:p w14:paraId="41444F8F" w14:textId="77777777" w:rsidR="00706138" w:rsidRDefault="00000000">
            <w:pPr>
              <w:spacing w:before="40" w:after="40"/>
            </w:pPr>
            <w:r>
              <w:rPr>
                <w:sz w:val="18"/>
              </w:rPr>
              <w:t>Volume falls below the 10,000-record floor</w:t>
            </w:r>
          </w:p>
        </w:tc>
        <w:tc>
          <w:tcPr>
            <w:tcW w:w="1152" w:type="dxa"/>
          </w:tcPr>
          <w:p w14:paraId="74ACFEE8" w14:textId="77777777" w:rsidR="00706138" w:rsidRDefault="00000000">
            <w:pPr>
              <w:spacing w:before="40" w:after="40"/>
            </w:pPr>
            <w:r>
              <w:rPr>
                <w:sz w:val="18"/>
              </w:rPr>
              <w:t>Low</w:t>
            </w:r>
          </w:p>
        </w:tc>
        <w:tc>
          <w:tcPr>
            <w:tcW w:w="1008" w:type="dxa"/>
          </w:tcPr>
          <w:p w14:paraId="2BBC01F1" w14:textId="77777777" w:rsidR="00706138" w:rsidRDefault="00000000">
            <w:pPr>
              <w:spacing w:before="40" w:after="40"/>
            </w:pPr>
            <w:r>
              <w:rPr>
                <w:sz w:val="18"/>
              </w:rPr>
              <w:t>High</w:t>
            </w:r>
          </w:p>
        </w:tc>
        <w:tc>
          <w:tcPr>
            <w:tcW w:w="5616" w:type="dxa"/>
          </w:tcPr>
          <w:p w14:paraId="66A35789" w14:textId="77777777" w:rsidR="00706138" w:rsidRDefault="00000000">
            <w:pPr>
              <w:spacing w:before="40" w:after="40"/>
            </w:pPr>
            <w:r>
              <w:rPr>
                <w:sz w:val="18"/>
              </w:rPr>
              <w:t>Helpline 122 is citywide with coverage from 2019, and the fallback benchmarks all exceed the floor comfortably.</w:t>
            </w:r>
          </w:p>
        </w:tc>
      </w:tr>
      <w:tr w:rsidR="00706138" w14:paraId="1FB30C80" w14:textId="77777777">
        <w:tc>
          <w:tcPr>
            <w:tcW w:w="2448" w:type="dxa"/>
          </w:tcPr>
          <w:p w14:paraId="038902CD" w14:textId="77777777" w:rsidR="00706138" w:rsidRDefault="00000000">
            <w:pPr>
              <w:spacing w:before="40" w:after="40"/>
            </w:pPr>
            <w:r>
              <w:rPr>
                <w:sz w:val="18"/>
              </w:rPr>
              <w:t>Technology is difficult to implement</w:t>
            </w:r>
          </w:p>
        </w:tc>
        <w:tc>
          <w:tcPr>
            <w:tcW w:w="1152" w:type="dxa"/>
          </w:tcPr>
          <w:p w14:paraId="3A3D2A12" w14:textId="77777777" w:rsidR="00706138" w:rsidRDefault="00000000">
            <w:pPr>
              <w:spacing w:before="40" w:after="40"/>
            </w:pPr>
            <w:r>
              <w:rPr>
                <w:sz w:val="18"/>
              </w:rPr>
              <w:t>Low</w:t>
            </w:r>
          </w:p>
        </w:tc>
        <w:tc>
          <w:tcPr>
            <w:tcW w:w="1008" w:type="dxa"/>
          </w:tcPr>
          <w:p w14:paraId="5783C5D6" w14:textId="77777777" w:rsidR="00706138" w:rsidRDefault="00000000">
            <w:pPr>
              <w:spacing w:before="40" w:after="40"/>
            </w:pPr>
            <w:r>
              <w:rPr>
                <w:sz w:val="18"/>
              </w:rPr>
              <w:t>Medium</w:t>
            </w:r>
          </w:p>
        </w:tc>
        <w:tc>
          <w:tcPr>
            <w:tcW w:w="5616" w:type="dxa"/>
          </w:tcPr>
          <w:p w14:paraId="75497FA6" w14:textId="77777777" w:rsidR="00706138" w:rsidRDefault="00000000">
            <w:pPr>
              <w:spacing w:before="40" w:after="40"/>
            </w:pPr>
            <w:r>
              <w:rPr>
                <w:sz w:val="18"/>
              </w:rPr>
              <w:t>Mondrian has published pseudocode; ARX and pycanon provide reference outputs to cross-check against, so an implementation error is caught rather than defended.</w:t>
            </w:r>
          </w:p>
        </w:tc>
      </w:tr>
      <w:tr w:rsidR="00706138" w14:paraId="0795E080" w14:textId="77777777">
        <w:tc>
          <w:tcPr>
            <w:tcW w:w="2448" w:type="dxa"/>
          </w:tcPr>
          <w:p w14:paraId="32F35475" w14:textId="77777777" w:rsidR="00706138" w:rsidRDefault="00000000">
            <w:pPr>
              <w:spacing w:before="40" w:after="40"/>
            </w:pPr>
            <w:r>
              <w:rPr>
                <w:sz w:val="18"/>
              </w:rPr>
              <w:t>Algorithm produces poor results</w:t>
            </w:r>
          </w:p>
        </w:tc>
        <w:tc>
          <w:tcPr>
            <w:tcW w:w="1152" w:type="dxa"/>
          </w:tcPr>
          <w:p w14:paraId="3BFBCAB2" w14:textId="77777777" w:rsidR="00706138" w:rsidRDefault="00000000">
            <w:pPr>
              <w:spacing w:before="40" w:after="40"/>
            </w:pPr>
            <w:r>
              <w:rPr>
                <w:sz w:val="18"/>
              </w:rPr>
              <w:t>Low</w:t>
            </w:r>
          </w:p>
        </w:tc>
        <w:tc>
          <w:tcPr>
            <w:tcW w:w="1008" w:type="dxa"/>
          </w:tcPr>
          <w:p w14:paraId="459BDF5D" w14:textId="77777777" w:rsidR="00706138" w:rsidRDefault="00000000">
            <w:pPr>
              <w:spacing w:before="40" w:after="40"/>
            </w:pPr>
            <w:r>
              <w:rPr>
                <w:sz w:val="18"/>
              </w:rPr>
              <w:t>Medium</w:t>
            </w:r>
          </w:p>
        </w:tc>
        <w:tc>
          <w:tcPr>
            <w:tcW w:w="5616" w:type="dxa"/>
          </w:tcPr>
          <w:p w14:paraId="07D4BE51" w14:textId="77777777" w:rsidR="00706138" w:rsidRDefault="00000000">
            <w:pPr>
              <w:spacing w:before="40" w:after="40"/>
            </w:pPr>
            <w:r>
              <w:rPr>
                <w:sz w:val="18"/>
              </w:rPr>
              <w:t>Comparison is against a stated baseline on identical thresholds. If Mondrian does not beat fixed suppression on this dataset, that is a genuine and reportable finding, not a failed study.</w:t>
            </w:r>
          </w:p>
        </w:tc>
      </w:tr>
      <w:tr w:rsidR="00706138" w14:paraId="5081A65E" w14:textId="77777777">
        <w:tc>
          <w:tcPr>
            <w:tcW w:w="2448" w:type="dxa"/>
          </w:tcPr>
          <w:p w14:paraId="1BD25562" w14:textId="77777777" w:rsidR="00706138" w:rsidRDefault="00000000">
            <w:pPr>
              <w:spacing w:before="40" w:after="40"/>
            </w:pPr>
            <w:r>
              <w:rPr>
                <w:sz w:val="18"/>
              </w:rPr>
              <w:t>Required respondents are unavailable</w:t>
            </w:r>
          </w:p>
        </w:tc>
        <w:tc>
          <w:tcPr>
            <w:tcW w:w="1152" w:type="dxa"/>
          </w:tcPr>
          <w:p w14:paraId="6F2263FF" w14:textId="77777777" w:rsidR="00706138" w:rsidRDefault="00000000">
            <w:pPr>
              <w:spacing w:before="40" w:after="40"/>
            </w:pPr>
            <w:r>
              <w:rPr>
                <w:sz w:val="18"/>
              </w:rPr>
              <w:t>Low</w:t>
            </w:r>
          </w:p>
        </w:tc>
        <w:tc>
          <w:tcPr>
            <w:tcW w:w="1008" w:type="dxa"/>
          </w:tcPr>
          <w:p w14:paraId="15630DD9" w14:textId="77777777" w:rsidR="00706138" w:rsidRDefault="00000000">
            <w:pPr>
              <w:spacing w:before="40" w:after="40"/>
            </w:pPr>
            <w:r>
              <w:rPr>
                <w:sz w:val="18"/>
              </w:rPr>
              <w:t>Low</w:t>
            </w:r>
          </w:p>
        </w:tc>
        <w:tc>
          <w:tcPr>
            <w:tcW w:w="5616" w:type="dxa"/>
          </w:tcPr>
          <w:p w14:paraId="1416FA01" w14:textId="77777777" w:rsidR="00706138" w:rsidRDefault="00000000">
            <w:pPr>
              <w:spacing w:before="40" w:after="40"/>
            </w:pPr>
            <w:r>
              <w:rPr>
                <w:sz w:val="18"/>
              </w:rPr>
              <w:t>No human participants are required for the core evaluation; faculty and student testers cover usability.</w:t>
            </w:r>
          </w:p>
        </w:tc>
      </w:tr>
      <w:tr w:rsidR="00706138" w14:paraId="5D92DB07" w14:textId="77777777">
        <w:tc>
          <w:tcPr>
            <w:tcW w:w="2448" w:type="dxa"/>
          </w:tcPr>
          <w:p w14:paraId="18D85239" w14:textId="77777777" w:rsidR="00706138" w:rsidRDefault="00000000">
            <w:pPr>
              <w:spacing w:before="40" w:after="40"/>
            </w:pPr>
            <w:r>
              <w:rPr>
                <w:sz w:val="18"/>
              </w:rPr>
              <w:t>Privacy or ethical concerns arise</w:t>
            </w:r>
          </w:p>
        </w:tc>
        <w:tc>
          <w:tcPr>
            <w:tcW w:w="1152" w:type="dxa"/>
          </w:tcPr>
          <w:p w14:paraId="3DD701AA" w14:textId="77777777" w:rsidR="00706138" w:rsidRDefault="00000000">
            <w:pPr>
              <w:spacing w:before="40" w:after="40"/>
            </w:pPr>
            <w:r>
              <w:rPr>
                <w:sz w:val="18"/>
              </w:rPr>
              <w:t>Low</w:t>
            </w:r>
          </w:p>
        </w:tc>
        <w:tc>
          <w:tcPr>
            <w:tcW w:w="1008" w:type="dxa"/>
          </w:tcPr>
          <w:p w14:paraId="7C67AFFE" w14:textId="77777777" w:rsidR="00706138" w:rsidRDefault="00000000">
            <w:pPr>
              <w:spacing w:before="40" w:after="40"/>
            </w:pPr>
            <w:r>
              <w:rPr>
                <w:sz w:val="18"/>
              </w:rPr>
              <w:t>High</w:t>
            </w:r>
          </w:p>
        </w:tc>
        <w:tc>
          <w:tcPr>
            <w:tcW w:w="5616" w:type="dxa"/>
          </w:tcPr>
          <w:p w14:paraId="30D7B04A" w14:textId="77777777" w:rsidR="00706138" w:rsidRDefault="00000000">
            <w:pPr>
              <w:spacing w:before="40" w:after="40"/>
            </w:pPr>
            <w:r>
              <w:rPr>
                <w:sz w:val="18"/>
              </w:rPr>
              <w:t>No direct identifiers received, no linkage attempt, no re-identification attempt, high-risk datasets excluded from selection, Exempt-targeted design, and destruction within thirty days after the defence.</w:t>
            </w:r>
          </w:p>
        </w:tc>
      </w:tr>
      <w:tr w:rsidR="00706138" w14:paraId="13BFFF63" w14:textId="77777777">
        <w:tc>
          <w:tcPr>
            <w:tcW w:w="2448" w:type="dxa"/>
          </w:tcPr>
          <w:p w14:paraId="65E974B5" w14:textId="77777777" w:rsidR="00706138" w:rsidRDefault="00000000">
            <w:pPr>
              <w:spacing w:before="40" w:after="40"/>
            </w:pPr>
            <w:r>
              <w:rPr>
                <w:sz w:val="18"/>
              </w:rPr>
              <w:t>System output mistaken for legal clearance</w:t>
            </w:r>
          </w:p>
        </w:tc>
        <w:tc>
          <w:tcPr>
            <w:tcW w:w="1152" w:type="dxa"/>
          </w:tcPr>
          <w:p w14:paraId="482F2370" w14:textId="77777777" w:rsidR="00706138" w:rsidRDefault="00000000">
            <w:pPr>
              <w:spacing w:before="40" w:after="40"/>
            </w:pPr>
            <w:r>
              <w:rPr>
                <w:sz w:val="18"/>
              </w:rPr>
              <w:t>Medium</w:t>
            </w:r>
          </w:p>
        </w:tc>
        <w:tc>
          <w:tcPr>
            <w:tcW w:w="1008" w:type="dxa"/>
          </w:tcPr>
          <w:p w14:paraId="536F57CD" w14:textId="77777777" w:rsidR="00706138" w:rsidRDefault="00000000">
            <w:pPr>
              <w:spacing w:before="40" w:after="40"/>
            </w:pPr>
            <w:r>
              <w:rPr>
                <w:sz w:val="18"/>
              </w:rPr>
              <w:t>Medium</w:t>
            </w:r>
          </w:p>
        </w:tc>
        <w:tc>
          <w:tcPr>
            <w:tcW w:w="5616" w:type="dxa"/>
          </w:tcPr>
          <w:p w14:paraId="718844B0" w14:textId="77777777" w:rsidR="00706138" w:rsidRDefault="00000000">
            <w:pPr>
              <w:spacing w:before="40" w:after="40"/>
            </w:pPr>
            <w:r>
              <w:rPr>
                <w:sz w:val="18"/>
              </w:rPr>
              <w:t>Decision-support framing stated inside the generated report, explicit statement that it does not replace the Data Protection Officer, and results reported across multiple values of k rather than as a single verdict.</w:t>
            </w:r>
          </w:p>
        </w:tc>
      </w:tr>
      <w:tr w:rsidR="00706138" w14:paraId="400C53FD" w14:textId="77777777">
        <w:tc>
          <w:tcPr>
            <w:tcW w:w="2448" w:type="dxa"/>
          </w:tcPr>
          <w:p w14:paraId="47B53EB9" w14:textId="77777777" w:rsidR="00706138" w:rsidRDefault="00000000">
            <w:pPr>
              <w:spacing w:before="40" w:after="40"/>
            </w:pPr>
            <w:r>
              <w:rPr>
                <w:sz w:val="18"/>
              </w:rPr>
              <w:t>Project exceeds the budget</w:t>
            </w:r>
          </w:p>
        </w:tc>
        <w:tc>
          <w:tcPr>
            <w:tcW w:w="1152" w:type="dxa"/>
          </w:tcPr>
          <w:p w14:paraId="0F341D2C" w14:textId="77777777" w:rsidR="00706138" w:rsidRDefault="00000000">
            <w:pPr>
              <w:spacing w:before="40" w:after="40"/>
            </w:pPr>
            <w:r>
              <w:rPr>
                <w:sz w:val="18"/>
              </w:rPr>
              <w:t>Low</w:t>
            </w:r>
          </w:p>
        </w:tc>
        <w:tc>
          <w:tcPr>
            <w:tcW w:w="1008" w:type="dxa"/>
          </w:tcPr>
          <w:p w14:paraId="5D4FCBEB" w14:textId="77777777" w:rsidR="00706138" w:rsidRDefault="00000000">
            <w:pPr>
              <w:spacing w:before="40" w:after="40"/>
            </w:pPr>
            <w:r>
              <w:rPr>
                <w:sz w:val="18"/>
              </w:rPr>
              <w:t>Low</w:t>
            </w:r>
          </w:p>
        </w:tc>
        <w:tc>
          <w:tcPr>
            <w:tcW w:w="5616" w:type="dxa"/>
          </w:tcPr>
          <w:p w14:paraId="594ED348" w14:textId="77777777" w:rsidR="00706138" w:rsidRDefault="00000000">
            <w:pPr>
              <w:spacing w:before="40" w:after="40"/>
            </w:pPr>
            <w:r>
              <w:rPr>
                <w:sz w:val="18"/>
              </w:rPr>
              <w:t>Total planned spending is under PHP 4,500, almost all of it travel, which the online request channel can remove.</w:t>
            </w:r>
          </w:p>
        </w:tc>
      </w:tr>
      <w:tr w:rsidR="00706138" w14:paraId="581203DA" w14:textId="77777777">
        <w:tc>
          <w:tcPr>
            <w:tcW w:w="2448" w:type="dxa"/>
          </w:tcPr>
          <w:p w14:paraId="33FEDACA" w14:textId="77777777" w:rsidR="00706138" w:rsidRDefault="00000000">
            <w:pPr>
              <w:spacing w:before="40" w:after="40"/>
            </w:pPr>
            <w:r>
              <w:rPr>
                <w:sz w:val="18"/>
              </w:rPr>
              <w:t>Project cannot be completed on time</w:t>
            </w:r>
          </w:p>
        </w:tc>
        <w:tc>
          <w:tcPr>
            <w:tcW w:w="1152" w:type="dxa"/>
          </w:tcPr>
          <w:p w14:paraId="531C54F8" w14:textId="77777777" w:rsidR="00706138" w:rsidRDefault="00000000">
            <w:pPr>
              <w:spacing w:before="40" w:after="40"/>
            </w:pPr>
            <w:r>
              <w:rPr>
                <w:sz w:val="18"/>
              </w:rPr>
              <w:t>Low</w:t>
            </w:r>
          </w:p>
        </w:tc>
        <w:tc>
          <w:tcPr>
            <w:tcW w:w="1008" w:type="dxa"/>
          </w:tcPr>
          <w:p w14:paraId="00F482EB" w14:textId="77777777" w:rsidR="00706138" w:rsidRDefault="00000000">
            <w:pPr>
              <w:spacing w:before="40" w:after="40"/>
            </w:pPr>
            <w:r>
              <w:rPr>
                <w:sz w:val="18"/>
              </w:rPr>
              <w:t>High</w:t>
            </w:r>
          </w:p>
        </w:tc>
        <w:tc>
          <w:tcPr>
            <w:tcW w:w="5616" w:type="dxa"/>
          </w:tcPr>
          <w:p w14:paraId="3F4F1629" w14:textId="77777777" w:rsidR="00706138" w:rsidRDefault="00000000">
            <w:pPr>
              <w:spacing w:before="40" w:after="40"/>
            </w:pPr>
            <w:r>
              <w:rPr>
                <w:sz w:val="18"/>
              </w:rPr>
              <w:t>The pipeline is built and validated on a public benchmark independently of the city, so the worst case costs the local finding rather than the deliverable.</w:t>
            </w:r>
          </w:p>
        </w:tc>
      </w:tr>
    </w:tbl>
    <w:p w14:paraId="462AA926" w14:textId="77777777" w:rsidR="00706138" w:rsidRDefault="00706138">
      <w:pPr>
        <w:spacing w:after="40"/>
      </w:pPr>
    </w:p>
    <w:p w14:paraId="6DA7E04F" w14:textId="77777777" w:rsidR="00706138" w:rsidRDefault="00000000">
      <w:r>
        <w:rPr>
          <w:b/>
        </w:rPr>
        <w:t>Conclusion for this title: FEASIBLE WITH MODIFICATIONS.</w:t>
      </w:r>
    </w:p>
    <w:p w14:paraId="5C5517CE" w14:textId="77777777" w:rsidR="00706138" w:rsidRDefault="00000000">
      <w:pPr>
        <w:jc w:val="both"/>
      </w:pPr>
      <w:r>
        <w:t xml:space="preserve">Supporting findings. To conclude, the technology, the cost, the schedule, and the legal grounding of this title are all sound, and it carries the most robust fallback structure among the group's titles, which follows from a method that is dataset-agnostic and can be validated on public benchmark microdata, so no development work waits on the city </w:t>
      </w:r>
      <w:r>
        <w:lastRenderedPageBreak/>
        <w:t>answering. The group has also already sent its request through an identified contact in the Quezon City government, and the city publishes a documented request channel with a named responsible department, which together make this a real and open line rather than a hopeful one. However, the shape of the extract is still unconfirmed, which covers whether an approved record-level extract will be released, whether it keeps the exact dates and barangays the study needs, and whether a second approval from the source department will be required. The title may proceed once ITDD confirms an approved de-identified extract of at least 10,000 rows that retains the quasi-identifiers the study needs to generalise. Yet if that is not confirmed by Week 5, the group should move to PSA anonymised microdata, and only then to a public benchmark set, which preserves the method while costing the study its local finding.</w:t>
      </w:r>
    </w:p>
    <w:tbl>
      <w:tblPr>
        <w:tblStyle w:val="TableGrid"/>
        <w:tblW w:w="0" w:type="auto"/>
        <w:jc w:val="center"/>
        <w:tblLook w:val="04A0" w:firstRow="1" w:lastRow="0" w:firstColumn="1" w:lastColumn="0" w:noHBand="0" w:noVBand="1"/>
      </w:tblPr>
      <w:tblGrid>
        <w:gridCol w:w="10224"/>
      </w:tblGrid>
      <w:tr w:rsidR="00706138" w14:paraId="73788A9E" w14:textId="77777777">
        <w:trPr>
          <w:jc w:val="center"/>
        </w:trPr>
        <w:tc>
          <w:tcPr>
            <w:tcW w:w="10224" w:type="dxa"/>
            <w:shd w:val="clear" w:color="auto" w:fill="4EA72E"/>
          </w:tcPr>
          <w:p w14:paraId="477F2343" w14:textId="77777777" w:rsidR="00706138" w:rsidRDefault="00000000">
            <w:pPr>
              <w:spacing w:before="40" w:after="40"/>
            </w:pPr>
            <w:r>
              <w:rPr>
                <w:b/>
                <w:sz w:val="22"/>
              </w:rPr>
              <w:t>Provisional Feasibility Score for This Title</w:t>
            </w:r>
          </w:p>
        </w:tc>
      </w:tr>
    </w:tbl>
    <w:p w14:paraId="726AC1F6" w14:textId="77777777" w:rsidR="00706138" w:rsidRDefault="00706138">
      <w:pPr>
        <w:spacing w:after="40"/>
      </w:pPr>
    </w:p>
    <w:p w14:paraId="049FF03C" w14:textId="77777777" w:rsidR="00706138" w:rsidRDefault="00000000">
      <w:r>
        <w:rPr>
          <w:i/>
          <w:sz w:val="18"/>
        </w:rPr>
        <w:t xml:space="preserve">Scores use the activity's 1 to 5 scale, where 5 is highly feasible. The group's ranking across all six titles is carried in the final comparison table.</w:t>
      </w:r>
    </w:p>
    <w:tbl>
      <w:tblPr>
        <w:tblStyle w:val="TableGrid"/>
        <w:tblW w:w="0" w:type="auto"/>
        <w:tblLook w:val="04A0" w:firstRow="1" w:lastRow="0" w:firstColumn="1" w:lastColumn="0" w:noHBand="0" w:noVBand="1"/>
      </w:tblPr>
      <w:tblGrid>
        <w:gridCol w:w="3168"/>
        <w:gridCol w:w="1008"/>
        <w:gridCol w:w="6048"/>
      </w:tblGrid>
      <w:tr w:rsidR="00706138" w14:paraId="0098D541" w14:textId="77777777">
        <w:tc>
          <w:tcPr>
            <w:tcW w:w="3168" w:type="dxa"/>
            <w:shd w:val="clear" w:color="auto" w:fill="EDEDED"/>
          </w:tcPr>
          <w:p w14:paraId="06CFD6A3" w14:textId="77777777" w:rsidR="00706138" w:rsidRDefault="00000000">
            <w:pPr>
              <w:spacing w:before="40" w:after="40"/>
            </w:pPr>
            <w:r>
              <w:rPr>
                <w:b/>
                <w:sz w:val="18"/>
              </w:rPr>
              <w:t>Criterion</w:t>
            </w:r>
          </w:p>
        </w:tc>
        <w:tc>
          <w:tcPr>
            <w:tcW w:w="1008" w:type="dxa"/>
            <w:shd w:val="clear" w:color="auto" w:fill="EDEDED"/>
          </w:tcPr>
          <w:p w14:paraId="6E69DE77" w14:textId="77777777" w:rsidR="00706138" w:rsidRDefault="00000000">
            <w:pPr>
              <w:spacing w:before="40" w:after="40"/>
            </w:pPr>
            <w:r>
              <w:rPr>
                <w:b/>
                <w:sz w:val="18"/>
              </w:rPr>
              <w:t>Score</w:t>
            </w:r>
          </w:p>
        </w:tc>
        <w:tc>
          <w:tcPr>
            <w:tcW w:w="6048" w:type="dxa"/>
            <w:shd w:val="clear" w:color="auto" w:fill="EDEDED"/>
          </w:tcPr>
          <w:p w14:paraId="6E885E5C" w14:textId="77777777" w:rsidR="00706138" w:rsidRDefault="00000000">
            <w:pPr>
              <w:spacing w:before="40" w:after="40"/>
            </w:pPr>
            <w:r>
              <w:rPr>
                <w:b/>
                <w:sz w:val="18"/>
              </w:rPr>
              <w:t>Basis</w:t>
            </w:r>
          </w:p>
        </w:tc>
      </w:tr>
      <w:tr w:rsidR="00706138" w14:paraId="5176A3D2" w14:textId="77777777">
        <w:tc>
          <w:tcPr>
            <w:tcW w:w="3168" w:type="dxa"/>
          </w:tcPr>
          <w:p w14:paraId="0239CC66" w14:textId="77777777" w:rsidR="00706138" w:rsidRDefault="00000000">
            <w:pPr>
              <w:spacing w:before="40" w:after="40"/>
            </w:pPr>
            <w:r>
              <w:rPr>
                <w:sz w:val="18"/>
              </w:rPr>
              <w:t>Technical and technology feasibility</w:t>
            </w:r>
          </w:p>
        </w:tc>
        <w:tc>
          <w:tcPr>
            <w:tcW w:w="1008" w:type="dxa"/>
          </w:tcPr>
          <w:p w14:paraId="7E6317DB" w14:textId="77777777" w:rsidR="00706138" w:rsidRDefault="00000000">
            <w:pPr>
              <w:spacing w:before="40" w:after="40"/>
            </w:pPr>
            <w:r>
              <w:rPr>
                <w:sz w:val="18"/>
              </w:rPr>
              <w:t>4</w:t>
            </w:r>
          </w:p>
        </w:tc>
        <w:tc>
          <w:tcPr>
            <w:tcW w:w="6048" w:type="dxa"/>
          </w:tcPr>
          <w:p w14:paraId="3A9717BE" w14:textId="77777777" w:rsidR="00706138" w:rsidRDefault="00000000">
            <w:pPr>
              <w:spacing w:before="40" w:after="40"/>
            </w:pPr>
            <w:r>
              <w:rPr>
                <w:sz w:val="18"/>
              </w:rPr>
              <w:t>Familiar open-source stack; Mondrian is new to the group but has published pseudocode and reference implementations</w:t>
            </w:r>
          </w:p>
        </w:tc>
      </w:tr>
      <w:tr w:rsidR="00706138" w14:paraId="4C1B6FAE" w14:textId="77777777">
        <w:tc>
          <w:tcPr>
            <w:tcW w:w="3168" w:type="dxa"/>
          </w:tcPr>
          <w:p w14:paraId="4F779A49" w14:textId="77777777" w:rsidR="00706138" w:rsidRDefault="00000000">
            <w:pPr>
              <w:spacing w:before="40" w:after="40"/>
            </w:pPr>
            <w:r>
              <w:rPr>
                <w:sz w:val="18"/>
              </w:rPr>
              <w:t>Dataset and data feasibility</w:t>
            </w:r>
          </w:p>
        </w:tc>
        <w:tc>
          <w:tcPr>
            <w:tcW w:w="1008" w:type="dxa"/>
          </w:tcPr>
          <w:p w14:paraId="3A66CB0C" w14:textId="77777777" w:rsidR="00706138" w:rsidRDefault="00000000">
            <w:pPr>
              <w:spacing w:before="40" w:after="40"/>
            </w:pPr>
            <w:r>
              <w:rPr>
                <w:sz w:val="18"/>
              </w:rPr>
              <w:t>3</w:t>
            </w:r>
          </w:p>
        </w:tc>
        <w:tc>
          <w:tcPr>
            <w:tcW w:w="6048" w:type="dxa"/>
          </w:tcPr>
          <w:p w14:paraId="14884DC0" w14:textId="77777777" w:rsidR="00706138" w:rsidRDefault="00000000">
            <w:pPr>
              <w:spacing w:before="40" w:after="40"/>
            </w:pPr>
            <w:r>
              <w:rPr>
                <w:sz w:val="18"/>
              </w:rPr>
              <w:t>Documented city request channel, a named department, and a contact already engaged; extract granularity still unconfirmed</w:t>
            </w:r>
          </w:p>
        </w:tc>
      </w:tr>
      <w:tr w:rsidR="00706138" w14:paraId="40954B81" w14:textId="77777777">
        <w:tc>
          <w:tcPr>
            <w:tcW w:w="3168" w:type="dxa"/>
          </w:tcPr>
          <w:p w14:paraId="53983123" w14:textId="77777777" w:rsidR="00706138" w:rsidRDefault="00000000">
            <w:pPr>
              <w:spacing w:before="40" w:after="40"/>
            </w:pPr>
            <w:r>
              <w:rPr>
                <w:sz w:val="18"/>
              </w:rPr>
              <w:t>Algorithm or model feasibility</w:t>
            </w:r>
          </w:p>
        </w:tc>
        <w:tc>
          <w:tcPr>
            <w:tcW w:w="1008" w:type="dxa"/>
          </w:tcPr>
          <w:p w14:paraId="10A1FE22" w14:textId="77777777" w:rsidR="00706138" w:rsidRDefault="00000000">
            <w:pPr>
              <w:spacing w:before="40" w:after="40"/>
            </w:pPr>
            <w:r>
              <w:rPr>
                <w:sz w:val="18"/>
              </w:rPr>
              <w:t>4</w:t>
            </w:r>
          </w:p>
        </w:tc>
        <w:tc>
          <w:tcPr>
            <w:tcW w:w="6048" w:type="dxa"/>
          </w:tcPr>
          <w:p w14:paraId="319F1FD7" w14:textId="77777777" w:rsidR="00706138" w:rsidRDefault="00000000">
            <w:pPr>
              <w:spacing w:before="40" w:after="40"/>
            </w:pPr>
            <w:r>
              <w:rPr>
                <w:sz w:val="18"/>
              </w:rPr>
              <w:t>Mature, well-documented methods with an explicit baseline and measurable outcomes</w:t>
            </w:r>
          </w:p>
        </w:tc>
      </w:tr>
      <w:tr w:rsidR="00706138" w14:paraId="738205C6" w14:textId="77777777">
        <w:tc>
          <w:tcPr>
            <w:tcW w:w="3168" w:type="dxa"/>
          </w:tcPr>
          <w:p w14:paraId="3A7E69E2" w14:textId="77777777" w:rsidR="00706138" w:rsidRDefault="00000000">
            <w:pPr>
              <w:spacing w:before="40" w:after="40"/>
            </w:pPr>
            <w:r>
              <w:rPr>
                <w:sz w:val="18"/>
              </w:rPr>
              <w:t>Operational feasibility</w:t>
            </w:r>
          </w:p>
        </w:tc>
        <w:tc>
          <w:tcPr>
            <w:tcW w:w="1008" w:type="dxa"/>
          </w:tcPr>
          <w:p w14:paraId="1EB0CAA9" w14:textId="77777777" w:rsidR="00706138" w:rsidRDefault="00000000">
            <w:pPr>
              <w:spacing w:before="40" w:after="40"/>
            </w:pPr>
            <w:r>
              <w:rPr>
                <w:sz w:val="18"/>
              </w:rPr>
              <w:t>4</w:t>
            </w:r>
          </w:p>
        </w:tc>
        <w:tc>
          <w:tcPr>
            <w:tcW w:w="6048" w:type="dxa"/>
          </w:tcPr>
          <w:p w14:paraId="7F5B7AC6" w14:textId="77777777" w:rsidR="00706138" w:rsidRDefault="00000000">
            <w:pPr>
              <w:spacing w:before="40" w:after="40"/>
            </w:pPr>
            <w:r>
              <w:rPr>
                <w:sz w:val="18"/>
              </w:rPr>
              <w:t>Undemanding environment, a real decision need, and a contact already engaged at the city</w:t>
            </w:r>
          </w:p>
        </w:tc>
      </w:tr>
      <w:tr w:rsidR="00706138" w14:paraId="559D0030" w14:textId="77777777">
        <w:tc>
          <w:tcPr>
            <w:tcW w:w="3168" w:type="dxa"/>
          </w:tcPr>
          <w:p w14:paraId="5E2462E8" w14:textId="77777777" w:rsidR="00706138" w:rsidRDefault="00000000">
            <w:pPr>
              <w:spacing w:before="40" w:after="40"/>
            </w:pPr>
            <w:r>
              <w:rPr>
                <w:sz w:val="18"/>
              </w:rPr>
              <w:t>Economic feasibility</w:t>
            </w:r>
          </w:p>
        </w:tc>
        <w:tc>
          <w:tcPr>
            <w:tcW w:w="1008" w:type="dxa"/>
          </w:tcPr>
          <w:p w14:paraId="34F3405D" w14:textId="77777777" w:rsidR="00706138" w:rsidRDefault="00000000">
            <w:pPr>
              <w:spacing w:before="40" w:after="40"/>
            </w:pPr>
            <w:r>
              <w:rPr>
                <w:sz w:val="18"/>
              </w:rPr>
              <w:t>5</w:t>
            </w:r>
          </w:p>
        </w:tc>
        <w:tc>
          <w:tcPr>
            <w:tcW w:w="6048" w:type="dxa"/>
          </w:tcPr>
          <w:p w14:paraId="72F900B4" w14:textId="77777777" w:rsidR="00706138" w:rsidRDefault="00000000">
            <w:pPr>
              <w:spacing w:before="40" w:after="40"/>
            </w:pPr>
            <w:r>
              <w:rPr>
                <w:sz w:val="18"/>
              </w:rPr>
              <w:t>Under PHP 4,500, almost entirely travel</w:t>
            </w:r>
          </w:p>
        </w:tc>
      </w:tr>
      <w:tr w:rsidR="00706138" w14:paraId="377EAB76" w14:textId="77777777">
        <w:tc>
          <w:tcPr>
            <w:tcW w:w="3168" w:type="dxa"/>
          </w:tcPr>
          <w:p w14:paraId="031D0297" w14:textId="77777777" w:rsidR="00706138" w:rsidRDefault="00000000">
            <w:pPr>
              <w:spacing w:before="40" w:after="40"/>
            </w:pPr>
            <w:r>
              <w:rPr>
                <w:sz w:val="18"/>
              </w:rPr>
              <w:t>Schedule feasibility</w:t>
            </w:r>
          </w:p>
        </w:tc>
        <w:tc>
          <w:tcPr>
            <w:tcW w:w="1008" w:type="dxa"/>
          </w:tcPr>
          <w:p w14:paraId="0AF90378" w14:textId="77777777" w:rsidR="00706138" w:rsidRDefault="00000000">
            <w:pPr>
              <w:spacing w:before="40" w:after="40"/>
            </w:pPr>
            <w:r>
              <w:rPr>
                <w:sz w:val="18"/>
              </w:rPr>
              <w:t>3</w:t>
            </w:r>
          </w:p>
        </w:tc>
        <w:tc>
          <w:tcPr>
            <w:tcW w:w="6048" w:type="dxa"/>
          </w:tcPr>
          <w:p w14:paraId="0E06D74F" w14:textId="77777777" w:rsidR="00706138" w:rsidRDefault="00000000">
            <w:pPr>
              <w:spacing w:before="40" w:after="40"/>
            </w:pPr>
            <w:r>
              <w:rPr>
                <w:sz w:val="18"/>
              </w:rPr>
              <w:t>Fits 18 weeks, helped considerably by benchmark-first development</w:t>
            </w:r>
          </w:p>
        </w:tc>
      </w:tr>
      <w:tr w:rsidR="00706138" w14:paraId="2ACD927C" w14:textId="77777777">
        <w:tc>
          <w:tcPr>
            <w:tcW w:w="3168" w:type="dxa"/>
          </w:tcPr>
          <w:p w14:paraId="11849A2F" w14:textId="77777777" w:rsidR="00706138" w:rsidRDefault="00000000">
            <w:pPr>
              <w:spacing w:before="40" w:after="40"/>
            </w:pPr>
            <w:r>
              <w:rPr>
                <w:sz w:val="18"/>
              </w:rPr>
              <w:t>Legal and ethical feasibility</w:t>
            </w:r>
          </w:p>
        </w:tc>
        <w:tc>
          <w:tcPr>
            <w:tcW w:w="1008" w:type="dxa"/>
          </w:tcPr>
          <w:p w14:paraId="271BC3CF" w14:textId="77777777" w:rsidR="00706138" w:rsidRDefault="00000000">
            <w:pPr>
              <w:spacing w:before="40" w:after="40"/>
            </w:pPr>
            <w:r>
              <w:rPr>
                <w:sz w:val="18"/>
              </w:rPr>
              <w:t>3</w:t>
            </w:r>
          </w:p>
        </w:tc>
        <w:tc>
          <w:tcPr>
            <w:tcW w:w="6048" w:type="dxa"/>
          </w:tcPr>
          <w:p w14:paraId="6F33A1A8" w14:textId="77777777" w:rsidR="00706138" w:rsidRDefault="00000000">
            <w:pPr>
              <w:spacing w:before="40" w:after="40"/>
            </w:pPr>
            <w:r>
              <w:rPr>
                <w:sz w:val="18"/>
              </w:rPr>
              <w:t>Strongest legal grounding of the group's titles, but Appendix H is expected to apply and city conditions are unknown</w:t>
            </w:r>
          </w:p>
        </w:tc>
      </w:tr>
      <w:tr w:rsidR="00706138" w14:paraId="28A85E1E" w14:textId="77777777">
        <w:tc>
          <w:tcPr>
            <w:tcW w:w="3168" w:type="dxa"/>
          </w:tcPr>
          <w:p w14:paraId="2B795A9E" w14:textId="77777777" w:rsidR="00706138" w:rsidRDefault="00000000">
            <w:pPr>
              <w:spacing w:before="40" w:after="40"/>
            </w:pPr>
            <w:r>
              <w:rPr>
                <w:sz w:val="18"/>
              </w:rPr>
              <w:t>Risk manageability</w:t>
            </w:r>
          </w:p>
        </w:tc>
        <w:tc>
          <w:tcPr>
            <w:tcW w:w="1008" w:type="dxa"/>
          </w:tcPr>
          <w:p w14:paraId="69962262" w14:textId="77777777" w:rsidR="00706138" w:rsidRDefault="00000000">
            <w:pPr>
              <w:spacing w:before="40" w:after="40"/>
            </w:pPr>
            <w:r>
              <w:rPr>
                <w:sz w:val="18"/>
              </w:rPr>
              <w:t>4</w:t>
            </w:r>
          </w:p>
        </w:tc>
        <w:tc>
          <w:tcPr>
            <w:tcW w:w="6048" w:type="dxa"/>
          </w:tcPr>
          <w:p w14:paraId="3FB1F247" w14:textId="77777777" w:rsidR="00706138" w:rsidRDefault="00000000">
            <w:pPr>
              <w:spacing w:before="40" w:after="40"/>
            </w:pPr>
            <w:r>
              <w:rPr>
                <w:sz w:val="18"/>
              </w:rPr>
              <w:t>The request is sent and the method is dataset-agnostic, so fallbacks preserve the system and the evaluation</w:t>
            </w:r>
          </w:p>
        </w:tc>
      </w:tr>
      <w:tr w:rsidR="00706138" w14:paraId="3EF84018" w14:textId="77777777">
        <w:tc>
          <w:tcPr>
            <w:tcW w:w="3168" w:type="dxa"/>
          </w:tcPr>
          <w:p w14:paraId="5E2F73F2" w14:textId="77777777" w:rsidR="00706138" w:rsidRDefault="00000000">
            <w:pPr>
              <w:spacing w:before="40" w:after="40"/>
            </w:pPr>
            <w:r>
              <w:rPr>
                <w:sz w:val="18"/>
              </w:rPr>
              <w:t>Total score</w:t>
            </w:r>
          </w:p>
        </w:tc>
        <w:tc>
          <w:tcPr>
            <w:tcW w:w="1008" w:type="dxa"/>
          </w:tcPr>
          <w:p w14:paraId="5D7FFCF4" w14:textId="77777777" w:rsidR="00706138" w:rsidRDefault="00000000">
            <w:pPr>
              <w:spacing w:before="40" w:after="40"/>
            </w:pPr>
            <w:r>
              <w:rPr>
                <w:sz w:val="18"/>
              </w:rPr>
              <w:t>30/40</w:t>
            </w:r>
          </w:p>
        </w:tc>
        <w:tc>
          <w:tcPr>
            <w:tcW w:w="6048" w:type="dxa"/>
          </w:tcPr>
          <w:p w14:paraId="12180804" w14:textId="77777777" w:rsidR="00706138" w:rsidRDefault="00000000">
            <w:pPr>
              <w:spacing w:before="40" w:after="40"/>
            </w:pPr>
            <w:r>
              <w:rPr>
                <w:sz w:val="18"/>
              </w:rPr>
              <w:t>Provisional, pending the full five-title comparison</w:t>
            </w:r>
          </w:p>
        </w:tc>
      </w:tr>
      <w:tr w:rsidR="00706138" w14:paraId="26A0A0FC" w14:textId="77777777">
        <w:tc>
          <w:tcPr>
            <w:tcW w:w="3168" w:type="dxa"/>
          </w:tcPr>
          <w:p w14:paraId="54BFACDD" w14:textId="77777777" w:rsidR="00706138" w:rsidRDefault="00000000">
            <w:pPr>
              <w:spacing w:before="40" w:after="40"/>
            </w:pPr>
            <w:r>
              <w:rPr>
                <w:sz w:val="18"/>
              </w:rPr>
              <w:t>Group's ranking</w:t>
            </w:r>
          </w:p>
        </w:tc>
        <w:tc>
          <w:tcPr>
            <w:tcW w:w="1008" w:type="dxa"/>
          </w:tcPr>
          <w:p w14:paraId="58577373" w14:textId="77777777" w:rsidR="00706138" w:rsidRDefault="00000000">
            <w:pPr>
              <w:spacing w:before="40" w:after="40"/>
            </w:pPr>
            <w:r>
              <w:rPr>
                <w:sz w:val="18"/>
              </w:rPr>
              <w:t xml:space="preserve">2</w:t>
            </w:r>
          </w:p>
        </w:tc>
        <w:tc>
          <w:tcPr>
            <w:tcW w:w="6048" w:type="dxa"/>
          </w:tcPr>
          <w:p w14:paraId="2DF4E276" w14:textId="77777777" w:rsidR="00706138" w:rsidRDefault="00000000">
            <w:pPr>
              <w:spacing w:before="40" w:after="40"/>
            </w:pPr>
            <w:r>
              <w:rPr>
                <w:sz w:val="18"/>
              </w:rPr>
              <w:t>See the final comparison table</w:t>
            </w:r>
          </w:p>
        </w:tc>
      </w:tr>
    </w:tbl>
    <w:p w14:paraId="7B4CAE66" w14:textId="77777777" w:rsidR="00706138" w:rsidRDefault="00706138">
      <w:pPr>
        <w:spacing w:after="40"/>
      </w:pPr>
    </w:p>
    <w:tbl>
      <w:tblPr>
        <w:tblStyle w:val="TableGrid"/>
        <w:tblW w:w="0" w:type="auto"/>
        <w:jc w:val="center"/>
        <w:tblLook w:val="04A0" w:firstRow="1" w:lastRow="0" w:firstColumn="1" w:lastColumn="0" w:noHBand="0" w:noVBand="1"/>
      </w:tblPr>
      <w:tblGrid>
        <w:gridCol w:w="10224"/>
      </w:tblGrid>
      <w:tr w:rsidR="00706138" w14:paraId="61C19C9F" w14:textId="77777777">
        <w:trPr>
          <w:jc w:val="center"/>
        </w:trPr>
        <w:tc>
          <w:tcPr>
            <w:tcW w:w="10224" w:type="dxa"/>
            <w:shd w:val="clear" w:color="auto" w:fill="4EA72E"/>
          </w:tcPr>
          <w:p w14:paraId="47CB6A80" w14:textId="77777777" w:rsidR="00706138" w:rsidRDefault="00000000">
            <w:pPr>
              <w:spacing w:before="40" w:after="40"/>
            </w:pPr>
            <w:r>
              <w:rPr>
                <w:b/>
                <w:sz w:val="22"/>
              </w:rPr>
              <w:t>References</w:t>
            </w:r>
          </w:p>
        </w:tc>
      </w:tr>
    </w:tbl>
    <w:p w14:paraId="5BA25DB8" w14:textId="77777777" w:rsidR="00706138" w:rsidRDefault="00706138">
      <w:pPr>
        <w:spacing w:after="40"/>
      </w:pPr>
    </w:p>
    <w:p w14:paraId="7EF25380" w14:textId="77777777" w:rsidR="00706138" w:rsidRDefault="00000000">
      <w:pPr>
        <w:spacing w:after="80"/>
        <w:ind w:left="432" w:hanging="432"/>
      </w:pPr>
      <w:r>
        <w:rPr>
          <w:sz w:val="18"/>
        </w:rPr>
        <w:t>Government Data Quality Hub. (2020). The Government Data Quality Framework. gov.uk</w:t>
      </w:r>
    </w:p>
    <w:p w14:paraId="317A58C7" w14:textId="77777777" w:rsidR="00706138" w:rsidRDefault="00000000">
      <w:pPr>
        <w:spacing w:after="80"/>
        <w:ind w:left="432" w:hanging="432"/>
      </w:pPr>
      <w:r>
        <w:rPr>
          <w:sz w:val="18"/>
        </w:rPr>
        <w:t>LeFevre, K., DeWitt, D. J., &amp; Ramakrishnan, R. (2006). Mondrian multidimensional k-anonymity. 22nd International Conference on Data Engineering, 25.</w:t>
      </w:r>
    </w:p>
    <w:p w14:paraId="3DAC86C3" w14:textId="77777777" w:rsidR="00706138" w:rsidRDefault="00000000">
      <w:pPr>
        <w:spacing w:after="80"/>
        <w:ind w:left="432" w:hanging="432"/>
      </w:pPr>
      <w:r>
        <w:rPr>
          <w:sz w:val="18"/>
        </w:rPr>
        <w:t>National Privacy Commission. (2012). Republic Act No. 10173: Data Privacy Act of 2012. privacy.gov.ph</w:t>
      </w:r>
    </w:p>
    <w:p w14:paraId="1EBAB0B9" w14:textId="77777777" w:rsidR="00706138" w:rsidRDefault="00000000">
      <w:pPr>
        <w:spacing w:after="80"/>
        <w:ind w:left="432" w:hanging="432"/>
      </w:pPr>
      <w:r>
        <w:rPr>
          <w:sz w:val="18"/>
        </w:rPr>
        <w:t>National Privacy Commission. (2017). Advisory Opinion No. 2017-027: Anonymized data for marketing analytics. privacy.gov.ph</w:t>
      </w:r>
    </w:p>
    <w:p w14:paraId="7B1A606D" w14:textId="77777777" w:rsidR="00706138" w:rsidRDefault="00000000">
      <w:pPr>
        <w:spacing w:after="80"/>
        <w:ind w:left="432" w:hanging="432"/>
      </w:pPr>
      <w:r>
        <w:rPr>
          <w:sz w:val="18"/>
        </w:rPr>
        <w:t>National Privacy Commission. (2025). Advisory No. 2025-02: Guidelines on privacy engineering in systems life cycle processes. privacy.gov.ph</w:t>
      </w:r>
    </w:p>
    <w:p w14:paraId="3DF230C8" w14:textId="77777777" w:rsidR="00706138" w:rsidRDefault="00000000">
      <w:pPr>
        <w:spacing w:after="80"/>
        <w:ind w:left="432" w:hanging="432"/>
      </w:pPr>
      <w:r>
        <w:rPr>
          <w:sz w:val="18"/>
        </w:rPr>
        <w:t>Quezon City Government. (n.d.). QC Open Data Dashboard. quezoncity.gov.ph/program/qc-open-data-dashboard/</w:t>
      </w:r>
    </w:p>
    <w:p w14:paraId="0F4633D0" w14:textId="77777777" w:rsidR="00706138" w:rsidRDefault="00000000">
      <w:pPr>
        <w:spacing w:after="80"/>
        <w:ind w:left="432" w:hanging="432"/>
      </w:pPr>
      <w:r>
        <w:rPr>
          <w:sz w:val="18"/>
        </w:rPr>
        <w:t>Quezon City Government. (n.d.). Quezon City Information Technology Development Department. quezoncity.gov.ph</w:t>
      </w:r>
    </w:p>
    <w:p w14:paraId="133E6D29" w14:textId="77777777" w:rsidR="00706138" w:rsidRDefault="00000000">
      <w:pPr>
        <w:spacing w:after="80"/>
        <w:ind w:left="432" w:hanging="432"/>
      </w:pPr>
      <w:r>
        <w:rPr>
          <w:sz w:val="18"/>
        </w:rPr>
        <w:t>Quezon City Government. (2025). How to request for public information. quezoncity.gov.ph</w:t>
      </w:r>
    </w:p>
    <w:p w14:paraId="5CEE7304" w14:textId="77777777" w:rsidR="00706138" w:rsidRDefault="00000000">
      <w:pPr>
        <w:spacing w:after="80"/>
        <w:ind w:left="432" w:hanging="432"/>
      </w:pPr>
      <w:r>
        <w:rPr>
          <w:sz w:val="18"/>
        </w:rPr>
        <w:t>Samarati, P. (2001). Protecting respondents' identities in microdata release. IEEE Transactions on Knowledge and Data Engineering, 13(6), 1010-1027.</w:t>
      </w:r>
    </w:p>
    <w:p w14:paraId="42BF5857" w14:textId="77777777" w:rsidR="00706138" w:rsidRDefault="00000000">
      <w:pPr>
        <w:spacing w:after="80"/>
        <w:ind w:left="432" w:hanging="432"/>
      </w:pPr>
      <w:r>
        <w:rPr>
          <w:sz w:val="18"/>
        </w:rPr>
        <w:lastRenderedPageBreak/>
        <w:t>Sweeney, L. (2002). k-anonymity: A model for protecting privacy. International Journal of Uncertainty, Fuzziness and Knowledge-Based Systems, 10(5), 557-570.</w:t>
      </w:r>
    </w:p>
    <w:p w14:paraId="41ACCD0F" w14:textId="77777777" w:rsidR="00706138" w:rsidRDefault="00000000">
      <w:r>
        <w:rPr>
          <w:i/>
          <w:sz w:val="18"/>
        </w:rPr>
        <w:t>Reference details and the full academic literature review must be verified and completed before final submission.</w:t>
      </w:r>
    </w:p>
    <w:p w14:paraId="1D438EEB" w14:textId="77777777" w:rsidR="00706138" w:rsidRDefault="00000000">
      <w:r>
        <w:br w:type="page"/>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Supporting Review of Related Literature and Studies</w:t>
            </w:r>
          </w:p>
        </w:tc>
      </w:tr>
    </w:tbl>
    <w:p>
      <w:pPr>
        <w:spacing w:after="40"/>
      </w:pPr>
    </w:p>
    <w:p>
      <w:pPr>
        <w:keepNext/>
        <w:spacing w:before="40" w:after="80"/>
      </w:pPr>
      <w:r>
        <w:rPr>
          <w:b/>
          <w:sz w:val="22"/>
        </w:rPr>
        <w:t>Proposal Thesis Title</w:t>
      </w:r>
    </w:p>
    <w:p>
      <w:pPr>
        <w:spacing w:after="120"/>
        <w:jc w:val="both"/>
      </w:pPr>
      <w:r>
        <w:rPr>
          <w:b/>
        </w:rPr>
        <w:t>A Data Governance System for Privacy Release Readiness of Quezon City Open Data Using Mondrian k-Anonymity</w:t>
      </w:r>
    </w:p>
    <w:p>
      <w:pPr>
        <w:keepNext/>
        <w:spacing w:before="160" w:after="80"/>
      </w:pPr>
      <w:r>
        <w:rPr>
          <w:b/>
          <w:sz w:val="22"/>
        </w:rPr>
        <w:t>Review of Related Literature (RRL/s)</w:t>
      </w:r>
    </w:p>
    <w:p>
      <w:pPr>
        <w:spacing w:after="120"/>
        <w:jc w:val="both"/>
      </w:pPr>
      <w:r>
        <w:rPr>
          <w:sz w:val="18"/>
        </w:rPr>
        <w:t>The RRL helps the group understand the chosen area, the problem being addressed, and the concepts or approaches relevant to the proposed solution.</w:t>
      </w:r>
    </w:p>
    <w:p>
      <w:pPr>
        <w:keepNext/>
        <w:spacing w:before="80" w:after="80"/>
      </w:pPr>
      <w:r>
        <w:rPr>
          <w:b/>
          <w:sz w:val="20"/>
        </w:rPr>
        <w:t>Local Literatures:</w:t>
      </w:r>
    </w:p>
    <w:p>
      <w:pPr>
        <w:keepNext/>
        <w:spacing w:before="120" w:after="40"/>
        <w:ind w:left="432" w:hanging="432"/>
      </w:pPr>
      <w:r>
        <w:t>1.</w:t>
        <w:tab/>
      </w:r>
      <w:r>
        <w:rPr>
          <w:b/>
        </w:rPr>
        <w:t>Republic Act No. 10173, the Data Privacy Act of 2012</w:t>
      </w:r>
    </w:p>
    <w:p>
      <w:pPr>
        <w:spacing w:after="40"/>
        <w:ind w:left="432"/>
        <w:jc w:val="both"/>
      </w:pPr>
      <w:r>
        <w:rPr>
          <w:b/>
        </w:rPr>
        <w:t>Description / Summary (Local Literature).</w:t>
      </w:r>
      <w:r>
        <w:t xml:space="preserve"> The law protects personal information processed by government and private organisations, and requires personal information controllers to apply reasonable organisational, physical, and technical security measures. It also created the National Privacy Commission to enforce these duties.</w:t>
      </w:r>
    </w:p>
    <w:p>
      <w:pPr>
        <w:spacing w:after="40"/>
        <w:ind w:left="432"/>
        <w:jc w:val="both"/>
      </w:pPr>
      <w:r>
        <w:rPr>
          <w:b/>
        </w:rPr>
        <w:t>Relevance to the proposed study.</w:t>
      </w:r>
      <w:r>
        <w:t xml:space="preserve"> Any record-level city dataset is personal information until it is shown otherwise. The law is the reason a release has to be assessed for identifiability before publication.</w:t>
      </w:r>
    </w:p>
    <w:p>
      <w:pPr>
        <w:spacing w:after="40"/>
        <w:ind w:left="432"/>
        <w:jc w:val="left"/>
      </w:pPr>
      <w:r>
        <w:t>Source: https://lawphil.net/statutes/repacts/ra2012/ra_10173_2012.html</w:t>
      </w:r>
    </w:p>
    <w:p>
      <w:pPr>
        <w:keepNext/>
        <w:spacing w:before="120" w:after="40"/>
        <w:ind w:left="432" w:hanging="432"/>
      </w:pPr>
      <w:r>
        <w:t>2.</w:t>
        <w:tab/>
      </w:r>
      <w:r>
        <w:rPr>
          <w:b/>
        </w:rPr>
        <w:t>Executive Order No. 2, s. 2016, Operationalizing in the Executive Branch the People's Constitutional Right to Information</w:t>
      </w:r>
    </w:p>
    <w:p>
      <w:pPr>
        <w:spacing w:after="40"/>
        <w:ind w:left="432"/>
        <w:jc w:val="both"/>
      </w:pPr>
      <w:r>
        <w:rPr>
          <w:b/>
        </w:rPr>
        <w:t>Description / Summary (Local Literature).</w:t>
      </w:r>
      <w:r>
        <w:t xml:space="preserve"> The order established the Freedom of Information programme in the executive branch and directs government offices to give the public access to information and records. It also has a section on protecting privacy, which requires officials to fully protect the individual's right to privacy and to keep personal information in their custody secure when they provide access.</w:t>
      </w:r>
    </w:p>
    <w:p>
      <w:pPr>
        <w:spacing w:after="40"/>
        <w:ind w:left="432"/>
        <w:jc w:val="both"/>
      </w:pPr>
      <w:r>
        <w:rPr>
          <w:b/>
        </w:rPr>
        <w:t>Relevance to the proposed study.</w:t>
      </w:r>
      <w:r>
        <w:t xml:space="preserve"> It sets out the tension the proposed system resolves: government must disclose, but it must not disclose personal information. The system measures where that line falls for a specific dataset.</w:t>
      </w:r>
    </w:p>
    <w:p>
      <w:pPr>
        <w:spacing w:after="40"/>
        <w:ind w:left="432"/>
        <w:jc w:val="left"/>
      </w:pPr>
      <w:r>
        <w:t>Source: https://lawphil.net/executive/execord/eo2016/eo_2_2016.html</w:t>
      </w:r>
    </w:p>
    <w:p>
      <w:pPr>
        <w:keepNext/>
        <w:spacing w:before="120" w:after="40"/>
        <w:ind w:left="432" w:hanging="432"/>
      </w:pPr>
      <w:r>
        <w:t>3.</w:t>
        <w:tab/>
      </w:r>
      <w:r>
        <w:rPr>
          <w:b/>
        </w:rPr>
        <w:t>NPC Advisory No. 2025-02, Guidelines on Privacy Engineering in Systems Life Cycle Processes</w:t>
      </w:r>
    </w:p>
    <w:p>
      <w:pPr>
        <w:spacing w:after="40"/>
        <w:ind w:left="432"/>
        <w:jc w:val="both"/>
      </w:pPr>
      <w:r>
        <w:rPr>
          <w:b/>
        </w:rPr>
        <w:t>Description / Summary (Local Literature).</w:t>
      </w:r>
      <w:r>
        <w:t xml:space="preserve"> The National Privacy Commission issued guidelines for building privacy into every stage of a system's life cycle, from planning and requirements through design, testing, deployment, and maintenance. It applies to new, existing, and updated systems.</w:t>
      </w:r>
    </w:p>
    <w:p>
      <w:pPr>
        <w:spacing w:after="40"/>
        <w:ind w:left="432"/>
        <w:jc w:val="both"/>
      </w:pPr>
      <w:r>
        <w:rPr>
          <w:b/>
        </w:rPr>
        <w:t>Relevance to the proposed study.</w:t>
      </w:r>
      <w:r>
        <w:t xml:space="preserve"> It supports designing privacy checks into the release process itself, which is what a release-readiness step does, instead of reviewing privacy after data is already published.</w:t>
      </w:r>
    </w:p>
    <w:p>
      <w:pPr>
        <w:spacing w:after="40"/>
        <w:ind w:left="432"/>
        <w:jc w:val="left"/>
      </w:pPr>
      <w:r>
        <w:t>Source: https://privacy.gov.ph/wp-content/uploads/2025/12/NPC_Advisory2025-02.pdf</w:t>
      </w:r>
    </w:p>
    <w:p>
      <w:pPr>
        <w:keepNext/>
        <w:spacing w:before="120" w:after="40"/>
        <w:ind w:left="432" w:hanging="432"/>
      </w:pPr>
      <w:r>
        <w:t>4.</w:t>
        <w:tab/>
      </w:r>
      <w:r>
        <w:rPr>
          <w:b/>
        </w:rPr>
        <w:t>QC Open Data Dashboard</w:t>
      </w:r>
    </w:p>
    <w:p>
      <w:pPr>
        <w:spacing w:after="40"/>
        <w:ind w:left="432"/>
        <w:jc w:val="both"/>
      </w:pPr>
      <w:r>
        <w:rPr>
          <w:b/>
        </w:rPr>
        <w:t>Description / Summary (Local Literature).</w:t>
      </w:r>
      <w:r>
        <w:t xml:space="preserve"> Quezon City's official page describes the dashboard launched by ITDD on QC e-Services, covering six city programmes with data from 2019 onward, and states that the city will publish additional datasets.</w:t>
      </w:r>
    </w:p>
    <w:p>
      <w:pPr>
        <w:spacing w:after="40"/>
        <w:ind w:left="432"/>
        <w:jc w:val="both"/>
      </w:pPr>
      <w:r>
        <w:rPr>
          <w:b/>
        </w:rPr>
        <w:t>Relevance to the proposed study.</w:t>
      </w:r>
      <w:r>
        <w:t xml:space="preserve"> It confirms the partner, the candidate datasets, and the fact that more releases are planned, each of which will need a release decision.</w:t>
      </w:r>
    </w:p>
    <w:p>
      <w:pPr>
        <w:spacing w:after="40"/>
        <w:ind w:left="432"/>
        <w:jc w:val="left"/>
      </w:pPr>
      <w:r>
        <w:t>Source: https://quezoncity.gov.ph/program/qc-open-data-dashboard/</w:t>
      </w:r>
    </w:p>
    <w:p>
      <w:pPr>
        <w:keepNext/>
        <w:spacing w:before="120" w:after="40"/>
        <w:ind w:left="432" w:hanging="432"/>
      </w:pPr>
      <w:r>
        <w:t>5.</w:t>
        <w:tab/>
      </w:r>
      <w:r>
        <w:rPr>
          <w:b/>
        </w:rPr>
        <w:t>Open Data Philippines portal (data.gov.ph)</w:t>
      </w:r>
    </w:p>
    <w:p>
      <w:pPr>
        <w:spacing w:after="40"/>
        <w:ind w:left="432"/>
        <w:jc w:val="both"/>
      </w:pPr>
      <w:r>
        <w:rPr>
          <w:b/>
        </w:rPr>
        <w:t>Description / Summary (Local Literature).</w:t>
      </w:r>
      <w:r>
        <w:t xml:space="preserve"> The national open-data portal publishes government datasets from participating agencies. When the group reviewed it on September 19, 2026, it listed 175 datasets from 17 publishing agencies, no local government unit publishers, and most recent retrieval dates from 2022 to 2023.</w:t>
      </w:r>
    </w:p>
    <w:p>
      <w:pPr>
        <w:spacing w:after="40"/>
        <w:ind w:left="432"/>
        <w:jc w:val="both"/>
      </w:pPr>
      <w:r>
        <w:rPr>
          <w:b/>
        </w:rPr>
        <w:t>Relevance to the proposed study.</w:t>
      </w:r>
      <w:r>
        <w:t xml:space="preserve"> It shows that local governments are largely absent from national open data. A method that makes city releases safer and easier to justify addresses one reason for that absence.</w:t>
      </w:r>
    </w:p>
    <w:p>
      <w:pPr>
        <w:spacing w:after="40"/>
        <w:ind w:left="432"/>
        <w:jc w:val="left"/>
      </w:pPr>
      <w:r>
        <w:t>Source: https://data.gov.ph</w:t>
      </w:r>
    </w:p>
    <w:p>
      <w:pPr>
        <w:spacing w:after="40"/>
        <w:ind w:left="432"/>
        <w:jc w:val="both"/>
      </w:pPr>
      <w:r>
        <w:rPr>
          <w:highlight w:val="yellow"/>
        </w:rPr>
        <w:t>[The counts are the group's own observation on September 19, 2026. Re-check them before submitting.]</w:t>
      </w:r>
    </w:p>
    <w:p>
      <w:pPr>
        <w:keepNext/>
        <w:spacing w:before="80" w:after="80"/>
      </w:pPr>
      <w:r>
        <w:rPr>
          <w:b/>
          <w:sz w:val="20"/>
        </w:rPr>
        <w:t>Foreign Literatures:</w:t>
      </w:r>
    </w:p>
    <w:p>
      <w:pPr>
        <w:keepNext/>
        <w:spacing w:before="120" w:after="40"/>
        <w:ind w:left="432" w:hanging="432"/>
      </w:pPr>
      <w:r>
        <w:t>6.</w:t>
        <w:tab/>
      </w:r>
      <w:r>
        <w:rPr>
          <w:b/>
        </w:rPr>
        <w:t>Beyond Accuracy: What Data Quality Means to Data Consumers</w:t>
      </w:r>
    </w:p>
    <w:p>
      <w:pPr>
        <w:spacing w:after="40"/>
        <w:ind w:left="432"/>
        <w:jc w:val="both"/>
      </w:pPr>
      <w:r>
        <w:rPr>
          <w:b/>
        </w:rPr>
        <w:t>Description / Summary (Foreign Literature).</w:t>
      </w:r>
      <w:r>
        <w:t xml:space="preserve"> Wang and Strong (1996) surveyed data users to find which qualities of data matter to them, and grouped the results into intrinsic, contextual, representational, and accessibility dimensions. They showed that data quality means more than accuracy, and depends on the task the data is used for.</w:t>
      </w:r>
    </w:p>
    <w:p>
      <w:pPr>
        <w:spacing w:after="40"/>
        <w:ind w:left="432"/>
        <w:jc w:val="both"/>
      </w:pPr>
      <w:r>
        <w:rPr>
          <w:b/>
        </w:rPr>
        <w:t>Relevance to the proposed study.</w:t>
      </w:r>
      <w:r>
        <w:t xml:space="preserve"> It is the basis for measuring the quality of a release in several dimensions, and for judging quality by whether the data can answer the questions the public will ask of it.</w:t>
      </w:r>
    </w:p>
    <w:p>
      <w:pPr>
        <w:spacing w:after="40"/>
        <w:ind w:left="432"/>
        <w:jc w:val="left"/>
      </w:pPr>
      <w:r>
        <w:t>Source: https://doi.org/10.1080/07421222.1996.11518099</w:t>
      </w:r>
    </w:p>
    <w:p>
      <w:pPr>
        <w:keepNext/>
        <w:spacing w:before="120" w:after="40"/>
        <w:ind w:left="432" w:hanging="432"/>
      </w:pPr>
      <w:r>
        <w:t>7.</w:t>
        <w:tab/>
      </w:r>
      <w:r>
        <w:rPr>
          <w:b/>
        </w:rPr>
        <w:t>Benefits, Adoption Barriers and Myths of Open Data and Open Government</w:t>
      </w:r>
    </w:p>
    <w:p>
      <w:pPr>
        <w:spacing w:after="40"/>
        <w:ind w:left="432"/>
        <w:jc w:val="both"/>
      </w:pPr>
      <w:r>
        <w:rPr>
          <w:b/>
        </w:rPr>
        <w:t>Description / Summary (Foreign Literature).</w:t>
      </w:r>
      <w:r>
        <w:t xml:space="preserve"> Janssen, Charalabidis, and Zuiderwijk (2012) described the benefits governments expect from open data and the barriers that stop it, including concerns about privacy and data quality. They challenged the belief that simply publishing data is enough to create value.</w:t>
      </w:r>
    </w:p>
    <w:p>
      <w:pPr>
        <w:spacing w:after="40"/>
        <w:ind w:left="432"/>
        <w:jc w:val="both"/>
      </w:pPr>
      <w:r>
        <w:rPr>
          <w:b/>
        </w:rPr>
        <w:t>Relevance to the proposed study.</w:t>
      </w:r>
      <w:r>
        <w:t xml:space="preserve"> Privacy and quality concerns are among the barriers they name. The proposed system reduces both, so it addresses a documented reason why governments hold back data.</w:t>
      </w:r>
    </w:p>
    <w:p>
      <w:pPr>
        <w:spacing w:after="40"/>
        <w:ind w:left="432"/>
        <w:jc w:val="left"/>
      </w:pPr>
      <w:r>
        <w:t>Source: https://doi.org/10.1080/10580530.2012.716740</w:t>
      </w:r>
    </w:p>
    <w:p>
      <w:pPr>
        <w:keepNext/>
        <w:spacing w:before="120" w:after="40"/>
        <w:ind w:left="432" w:hanging="432"/>
      </w:pPr>
      <w:r>
        <w:t>8.</w:t>
        <w:tab/>
      </w:r>
      <w:r>
        <w:rPr>
          <w:b/>
        </w:rPr>
        <w:t>k-Anonymity: A Model for Protecting Privacy</w:t>
      </w:r>
    </w:p>
    <w:p>
      <w:pPr>
        <w:spacing w:after="40"/>
        <w:ind w:left="432"/>
        <w:jc w:val="both"/>
      </w:pPr>
      <w:r>
        <w:rPr>
          <w:b/>
        </w:rPr>
        <w:t>Description / Summary (Foreign Literature).</w:t>
      </w:r>
      <w:r>
        <w:t xml:space="preserve"> Sweeney (2002) showed that records stripped of names can still be re-identified by linking fields such as birth date, sex, and postal code with other data. She proposed k-anonymity, which requires every record to share its quasi-identifier values with at least k-1 other records.</w:t>
      </w:r>
    </w:p>
    <w:p>
      <w:pPr>
        <w:spacing w:after="40"/>
        <w:ind w:left="432"/>
        <w:jc w:val="both"/>
      </w:pPr>
      <w:r>
        <w:rPr>
          <w:b/>
        </w:rPr>
        <w:t>Relevance to the proposed study.</w:t>
      </w:r>
      <w:r>
        <w:t xml:space="preserve"> It defines the quasi-identifier and the risk measure the system uses. It is also why removing names alone does not make a city dataset anonymous.</w:t>
      </w:r>
    </w:p>
    <w:p>
      <w:pPr>
        <w:spacing w:after="40"/>
        <w:ind w:left="432"/>
        <w:jc w:val="left"/>
      </w:pPr>
      <w:r>
        <w:t>Source: https://doi.org/10.1142/S0218488502001648</w:t>
      </w:r>
    </w:p>
    <w:p>
      <w:pPr>
        <w:keepNext/>
        <w:spacing w:before="120" w:after="40"/>
        <w:ind w:left="432" w:hanging="432"/>
      </w:pPr>
      <w:r>
        <w:t>9.</w:t>
        <w:tab/>
      </w:r>
      <w:r>
        <w:rPr>
          <w:b/>
        </w:rPr>
        <w:t>Mondrian Multidimensional K-Anonymity</w:t>
      </w:r>
    </w:p>
    <w:p>
      <w:pPr>
        <w:spacing w:after="40"/>
        <w:ind w:left="432"/>
        <w:jc w:val="both"/>
      </w:pPr>
      <w:r>
        <w:rPr>
          <w:b/>
        </w:rPr>
        <w:t>Description / Summary (Foreign Literature).</w:t>
      </w:r>
      <w:r>
        <w:t xml:space="preserve"> LeFevre, DeWitt, and Ramakrishnan (2006) proposed Mondrian, a greedy algorithm that recursively splits the data across several attributes at once until every group has at least k records. Because it splits on several attributes instead of one at a time, it keeps more detail than earlier single-dimension methods.</w:t>
      </w:r>
    </w:p>
    <w:p>
      <w:pPr>
        <w:spacing w:after="40"/>
        <w:ind w:left="432"/>
        <w:jc w:val="both"/>
      </w:pPr>
      <w:r>
        <w:rPr>
          <w:b/>
        </w:rPr>
        <w:t>Relevance to the proposed study.</w:t>
      </w:r>
      <w:r>
        <w:t xml:space="preserve"> It is the algorithm named in the proposed title. It is expected to reach the same k as blanket suppression while keeping more of the data useful.</w:t>
      </w:r>
    </w:p>
    <w:p>
      <w:pPr>
        <w:spacing w:after="40"/>
        <w:ind w:left="432"/>
        <w:jc w:val="left"/>
      </w:pPr>
      <w:r>
        <w:t>Source: https://doi.org/10.1109/ICDE.2006.101</w:t>
      </w:r>
    </w:p>
    <w:p>
      <w:pPr>
        <w:keepNext/>
        <w:spacing w:before="120" w:after="40"/>
        <w:ind w:left="432" w:hanging="432"/>
      </w:pPr>
      <w:r>
        <w:t>10.</w:t>
        <w:tab/>
      </w:r>
      <w:r>
        <w:rPr>
          <w:b/>
        </w:rPr>
        <w:t>l-Diversity: Privacy Beyond k-Anonymity</w:t>
      </w:r>
    </w:p>
    <w:p>
      <w:pPr>
        <w:spacing w:after="40"/>
        <w:ind w:left="432"/>
        <w:jc w:val="both"/>
      </w:pPr>
      <w:r>
        <w:rPr>
          <w:b/>
        </w:rPr>
        <w:t>Description / Summary (Foreign Literature).</w:t>
      </w:r>
      <w:r>
        <w:t xml:space="preserve"> Machanavajjhala, Kifer, Gehrke, and Venkitasubramaniam (2007) showed that k-anonymity can still leak information when every record in a group shares the same sensitive value, or when an attacker has background knowledge. They proposed l-diversity, which requires each group to contain several different sensitive values.</w:t>
      </w:r>
    </w:p>
    <w:p>
      <w:pPr>
        <w:spacing w:after="40"/>
        <w:ind w:left="432"/>
        <w:jc w:val="both"/>
      </w:pPr>
      <w:r>
        <w:rPr>
          <w:b/>
        </w:rPr>
        <w:t>Relevance to the proposed study.</w:t>
      </w:r>
      <w:r>
        <w:t xml:space="preserve"> It defines the known weakness of k-anonymity, which the system reports as a stated limitation, and it gives a second check for groups where every record has the same concern category.</w:t>
      </w:r>
    </w:p>
    <w:p>
      <w:pPr>
        <w:spacing w:after="40"/>
        <w:ind w:left="432"/>
        <w:jc w:val="left"/>
      </w:pPr>
      <w:r>
        <w:t>Source: https://doi.org/10.1145/1217299.1217302</w:t>
      </w:r>
    </w:p>
    <w:p>
      <w:pPr>
        <w:keepNext/>
        <w:spacing w:before="160" w:after="80"/>
      </w:pPr>
      <w:r>
        <w:rPr>
          <w:b/>
          <w:sz w:val="22"/>
        </w:rPr>
        <w:t>Review of Related Studies (RRS/s)</w:t>
      </w:r>
    </w:p>
    <w:p>
      <w:pPr>
        <w:spacing w:after="120"/>
        <w:jc w:val="both"/>
      </w:pPr>
      <w:r>
        <w:rPr>
          <w:sz w:val="18"/>
        </w:rPr>
        <w:t>The RRS focuses on existing research, systems, applications, or projects that address a problem similar to the one the group wants to solve.</w:t>
      </w:r>
    </w:p>
    <w:p>
      <w:pPr>
        <w:keepNext/>
        <w:spacing w:before="80" w:after="80"/>
      </w:pPr>
      <w:r>
        <w:rPr>
          <w:b/>
          <w:sz w:val="20"/>
        </w:rPr>
        <w:t>Local Studies:</w:t>
      </w:r>
    </w:p>
    <w:p>
      <w:pPr>
        <w:keepNext/>
        <w:spacing w:before="120" w:after="40"/>
        <w:ind w:left="432" w:hanging="432"/>
      </w:pPr>
      <w:r>
        <w:t>1.</w:t>
        <w:tab/>
      </w:r>
      <w:r>
        <w:rPr>
          <w:b/>
        </w:rPr>
        <w:t>Public FOI Requests in the Philippines: Transparency at the Expense of Privacy?</w:t>
      </w:r>
    </w:p>
    <w:p>
      <w:pPr>
        <w:spacing w:after="40"/>
        <w:ind w:left="432"/>
        <w:jc w:val="both"/>
      </w:pPr>
      <w:r>
        <w:rPr>
          <w:b/>
        </w:rPr>
        <w:t>Description / Summary (Local Study).</w:t>
      </w:r>
      <w:r>
        <w:t xml:space="preserve"> Perez (2025) analysed over 235,000 requests on the Philippine eFOI portal filed between 2016 and 2024, using Presidio, an open-source personal information detector. About 44 percent of requests contained personal information and 0.66 percent contained sensitive identifiers, even though privacy advisories were in place. Exposure was higher for some agencies and during the COVID-19 pandemic. The author recommends automated de-identification together with human oversight.</w:t>
      </w:r>
    </w:p>
    <w:p>
      <w:pPr>
        <w:spacing w:after="40"/>
        <w:ind w:left="432"/>
        <w:jc w:val="both"/>
      </w:pPr>
      <w:r>
        <w:rPr>
          <w:b/>
        </w:rPr>
        <w:t>Relevance to the proposed study.</w:t>
      </w:r>
      <w:r>
        <w:t xml:space="preserve"> It is direct Philippine evidence that government transparency platforms publish personal information at scale when there is no systematic check. The proposed system is that kind of check, applied before a city dataset is released.</w:t>
      </w:r>
    </w:p>
    <w:p>
      <w:pPr>
        <w:spacing w:after="40"/>
        <w:ind w:left="432"/>
        <w:jc w:val="left"/>
      </w:pPr>
      <w:r>
        <w:t>Source: https://doi.org/10.1007/978-981-95-4861-3_35</w:t>
      </w:r>
    </w:p>
    <w:p>
      <w:pPr>
        <w:keepNext/>
        <w:spacing w:before="120" w:after="40"/>
        <w:ind w:left="432" w:hanging="432"/>
      </w:pPr>
      <w:r>
        <w:t>2.</w:t>
        <w:tab/>
      </w:r>
      <w:r>
        <w:rPr>
          <w:b/>
        </w:rPr>
        <w:t>Why are Freedom of Information Requests in the Philippines Being Denied? An Analysis using a Practice-based Approach</w:t>
      </w:r>
    </w:p>
    <w:p>
      <w:pPr>
        <w:spacing w:after="40"/>
        <w:ind w:left="432"/>
        <w:jc w:val="both"/>
      </w:pPr>
      <w:r>
        <w:rPr>
          <w:b/>
        </w:rPr>
        <w:t>Description / Summary (Local Study).</w:t>
      </w:r>
      <w:r>
        <w:t xml:space="preserve"> Perez (2020) examined 346 randomly sampled requests from the eFOI portal, which had received 11,990 requests across 366 government offices by June 2019. Agencies mostly denied requests because they did not hold the information, did not consider the request valid, or processed requests differently from one another.</w:t>
      </w:r>
    </w:p>
    <w:p>
      <w:pPr>
        <w:spacing w:after="40"/>
        <w:ind w:left="432"/>
        <w:jc w:val="both"/>
      </w:pPr>
      <w:r>
        <w:rPr>
          <w:b/>
        </w:rPr>
        <w:t>Relevance to the proposed study.</w:t>
      </w:r>
      <w:r>
        <w:t xml:space="preserve"> It shows that Philippine agencies lack consistent procedures for deciding what to release. The proposed system gives a city a consistent, documented procedure for one kind of release decision.</w:t>
      </w:r>
    </w:p>
    <w:p>
      <w:pPr>
        <w:spacing w:after="40"/>
        <w:ind w:left="432"/>
        <w:jc w:val="left"/>
      </w:pPr>
      <w:r>
        <w:t>Source: https://phjlis.org/index.php/phjlis/article/view/41</w:t>
      </w:r>
    </w:p>
    <w:p>
      <w:pPr>
        <w:keepNext/>
        <w:spacing w:before="120" w:after="40"/>
        <w:ind w:left="432" w:hanging="432"/>
      </w:pPr>
      <w:r>
        <w:t>3.</w:t>
        <w:tab/>
      </w:r>
      <w:r>
        <w:rPr>
          <w:b/>
        </w:rPr>
        <w:t>Open Data Governance in the Time of the Pandemic</w:t>
      </w:r>
    </w:p>
    <w:p>
      <w:pPr>
        <w:spacing w:after="40"/>
        <w:ind w:left="432"/>
        <w:jc w:val="both"/>
      </w:pPr>
      <w:r>
        <w:rPr>
          <w:b/>
        </w:rPr>
        <w:t>Description / Summary (Local Study).</w:t>
      </w:r>
      <w:r>
        <w:t xml:space="preserve"> Alampay (2021) assessed open government data in the Philippines by comparing access to health information during the COVID-19 pandemic with open data available before it. The study used FOI requests and open-data platforms, and analysed openness in terms of content, people, and process.</w:t>
      </w:r>
    </w:p>
    <w:p>
      <w:pPr>
        <w:spacing w:after="40"/>
        <w:ind w:left="432"/>
        <w:jc w:val="both"/>
      </w:pPr>
      <w:r>
        <w:rPr>
          <w:b/>
        </w:rPr>
        <w:t>Relevance to the proposed study.</w:t>
      </w:r>
      <w:r>
        <w:t xml:space="preserve"> It documents the state of Philippine open data and the push for more systematic data sharing across government, which is the setting the proposed system works in.</w:t>
      </w:r>
    </w:p>
    <w:p>
      <w:pPr>
        <w:spacing w:after="40"/>
        <w:ind w:left="432"/>
        <w:jc w:val="left"/>
      </w:pPr>
      <w:r>
        <w:t>Source: https://doi.org/10.1145/3494193.3494255</w:t>
      </w:r>
    </w:p>
    <w:p>
      <w:pPr>
        <w:keepNext/>
        <w:spacing w:before="120" w:after="40"/>
        <w:ind w:left="432" w:hanging="432"/>
      </w:pPr>
      <w:r>
        <w:t>4.</w:t>
        <w:tab/>
      </w:r>
      <w:r>
        <w:rPr>
          <w:b/>
        </w:rPr>
        <w:t>Open Data in Philippines: An Issue of Access and Awareness</w:t>
      </w:r>
    </w:p>
    <w:p>
      <w:pPr>
        <w:spacing w:after="40"/>
        <w:ind w:left="432"/>
        <w:jc w:val="both"/>
      </w:pPr>
      <w:r>
        <w:rPr>
          <w:b/>
        </w:rPr>
        <w:t>Description / Summary (Local Study).</w:t>
      </w:r>
      <w:r>
        <w:t xml:space="preserve"> Pacis (2017), in a research brief for IT for Change, reviewed Philippine open data and freedom of information initiatives. The brief identified limited internet access, limited capacity of local groups, and low awareness among government staff as barriers to open data being used.</w:t>
      </w:r>
    </w:p>
    <w:p>
      <w:pPr>
        <w:spacing w:after="40"/>
        <w:ind w:left="432"/>
        <w:jc w:val="both"/>
      </w:pPr>
      <w:r>
        <w:rPr>
          <w:b/>
        </w:rPr>
        <w:t>Relevance to the proposed study.</w:t>
      </w:r>
      <w:r>
        <w:t xml:space="preserve"> It shows that the barriers to Philippine open data are practical and institutional, not only technical. A tool that helps staff make and explain release decisions addresses the capacity side of that problem.</w:t>
      </w:r>
    </w:p>
    <w:p>
      <w:pPr>
        <w:spacing w:after="40"/>
        <w:ind w:left="432"/>
        <w:jc w:val="left"/>
      </w:pPr>
      <w:r>
        <w:t>Source: https://projects.itforchange.net/mavc/wp-content/uploads/2017/06/Research-Brief-Philippines.pdf</w:t>
      </w:r>
    </w:p>
    <w:p>
      <w:pPr>
        <w:keepNext/>
        <w:spacing w:before="120" w:after="40"/>
        <w:ind w:left="432" w:hanging="432"/>
      </w:pPr>
      <w:r>
        <w:t>5.</w:t>
        <w:tab/>
      </w:r>
      <w:r>
        <w:rPr>
          <w:b/>
        </w:rPr>
        <w:t>National Government Agency's Compliance on Data Privacy Act of 2012: A Case Study</w:t>
      </w:r>
    </w:p>
    <w:p>
      <w:pPr>
        <w:spacing w:after="40"/>
        <w:ind w:left="432"/>
        <w:jc w:val="both"/>
      </w:pPr>
      <w:r>
        <w:rPr>
          <w:b/>
        </w:rPr>
        <w:t>Description / Summary (Local Study).</w:t>
      </w:r>
      <w:r>
        <w:t xml:space="preserve"> Pitogo (2019) used a qualitative case study to examine how a Philippine frontline national agency complies with the Data Privacy Act. The agency was found partially compliant, and faced a lack of awareness, a wait-and-see attitude, and time and resource constraints.</w:t>
      </w:r>
    </w:p>
    <w:p>
      <w:pPr>
        <w:spacing w:after="40"/>
        <w:ind w:left="432"/>
        <w:jc w:val="both"/>
      </w:pPr>
      <w:r>
        <w:rPr>
          <w:b/>
        </w:rPr>
        <w:t>Relevance to the proposed study.</w:t>
      </w:r>
      <w:r>
        <w:t xml:space="preserve"> It shows that Philippine government offices struggle to apply privacy law in practice. A system that turns a privacy requirement into measurable checks lowers the effort needed to comply.</w:t>
      </w:r>
    </w:p>
    <w:p>
      <w:pPr>
        <w:spacing w:after="40"/>
        <w:ind w:left="432"/>
        <w:jc w:val="left"/>
      </w:pPr>
      <w:r>
        <w:t>Source: https://doi.org/10.1088/1742-6596/1201/1/012021</w:t>
      </w:r>
    </w:p>
    <w:p>
      <w:pPr>
        <w:keepNext/>
        <w:spacing w:before="80" w:after="80"/>
      </w:pPr>
      <w:r>
        <w:rPr>
          <w:b/>
          <w:sz w:val="20"/>
        </w:rPr>
        <w:t>Foreign Studies:</w:t>
      </w:r>
    </w:p>
    <w:p>
      <w:pPr>
        <w:keepNext/>
        <w:spacing w:before="120" w:after="40"/>
        <w:ind w:left="432" w:hanging="432"/>
      </w:pPr>
      <w:r>
        <w:t>6.</w:t>
        <w:tab/>
      </w:r>
      <w:r>
        <w:rPr>
          <w:b/>
        </w:rPr>
        <w:t>Open Data Quality Measurement Framework: Definition and Application to Open Government Data</w:t>
      </w:r>
    </w:p>
    <w:p>
      <w:pPr>
        <w:spacing w:after="40"/>
        <w:ind w:left="432"/>
        <w:jc w:val="both"/>
      </w:pPr>
      <w:r>
        <w:rPr>
          <w:b/>
        </w:rPr>
        <w:t>Description / Summary (Foreign Study).</w:t>
      </w:r>
      <w:r>
        <w:t xml:space="preserve"> Vetrò et al. (2016) built a framework of indicators to measure the quality of open government datasets and applied it to Italian data. Datasets from a centralised release with quality controls were compared with municipal releases without them, and the municipal data showed weaker quality on several dimensions.</w:t>
      </w:r>
    </w:p>
    <w:p>
      <w:pPr>
        <w:spacing w:after="40"/>
        <w:ind w:left="432"/>
        <w:jc w:val="both"/>
      </w:pPr>
      <w:r>
        <w:rPr>
          <w:b/>
        </w:rPr>
        <w:t>Relevance to the proposed study.</w:t>
      </w:r>
      <w:r>
        <w:t xml:space="preserve"> It shows that city-level releases without quality controls are measurably worse, and provides indicators the system can adapt for its quality profile.</w:t>
      </w:r>
    </w:p>
    <w:p>
      <w:pPr>
        <w:spacing w:after="40"/>
        <w:ind w:left="432"/>
        <w:jc w:val="left"/>
      </w:pPr>
      <w:r>
        <w:t>Source: https://doi.org/10.1016/j.giq.2016.02.001</w:t>
      </w:r>
    </w:p>
    <w:p>
      <w:pPr>
        <w:keepNext/>
        <w:spacing w:before="120" w:after="40"/>
        <w:ind w:left="432" w:hanging="432"/>
      </w:pPr>
      <w:r>
        <w:t>7.</w:t>
        <w:tab/>
      </w:r>
      <w:r>
        <w:rPr>
          <w:b/>
        </w:rPr>
        <w:t>Estimating the Success of Re-identifications in Incomplete Datasets Using Generative Models</w:t>
      </w:r>
    </w:p>
    <w:p>
      <w:pPr>
        <w:spacing w:after="40"/>
        <w:ind w:left="432"/>
        <w:jc w:val="both"/>
      </w:pPr>
      <w:r>
        <w:rPr>
          <w:b/>
        </w:rPr>
        <w:t>Description / Summary (Foreign Study).</w:t>
      </w:r>
      <w:r>
        <w:t xml:space="preserve"> Rocher, Hendrickx, and de Montjoye (2019) built a model that estimates the chance that a specific person can be correctly re-identified, even in a heavily sampled dataset. They estimated that 99.98 percent of Americans would be correctly re-identified in any dataset using 15 demographic attributes.</w:t>
      </w:r>
    </w:p>
    <w:p>
      <w:pPr>
        <w:spacing w:after="40"/>
        <w:ind w:left="432"/>
        <w:jc w:val="both"/>
      </w:pPr>
      <w:r>
        <w:rPr>
          <w:b/>
        </w:rPr>
        <w:t>Relevance to the proposed study.</w:t>
      </w:r>
      <w:r>
        <w:t xml:space="preserve"> It shows that sampling and removing names do not make a dataset anonymous, which is why the system measures risk directly instead of assuming it is low.</w:t>
      </w:r>
    </w:p>
    <w:p>
      <w:pPr>
        <w:spacing w:after="40"/>
        <w:ind w:left="432"/>
        <w:jc w:val="left"/>
      </w:pPr>
      <w:r>
        <w:t>Source: https://doi.org/10.1038/s41467-019-10933-3</w:t>
      </w:r>
    </w:p>
    <w:p>
      <w:pPr>
        <w:keepNext/>
        <w:spacing w:before="120" w:after="40"/>
        <w:ind w:left="432" w:hanging="432"/>
      </w:pPr>
      <w:r>
        <w:t>8.</w:t>
        <w:tab/>
      </w:r>
      <w:r>
        <w:rPr>
          <w:b/>
        </w:rPr>
        <w:t>Unique in the Crowd: The Privacy Bounds of Human Mobility</w:t>
      </w:r>
    </w:p>
    <w:p>
      <w:pPr>
        <w:spacing w:after="40"/>
        <w:ind w:left="432"/>
        <w:jc w:val="both"/>
      </w:pPr>
      <w:r>
        <w:rPr>
          <w:b/>
        </w:rPr>
        <w:t>Description / Summary (Foreign Study).</w:t>
      </w:r>
      <w:r>
        <w:t xml:space="preserve"> De Montjoye, Hidalgo, Verleysen, and Blondel (2013) studied location records from 1.5 million mobile phone users and found that four points in space and time were enough to uniquely identify 95 percent of them. Making the data coarser reduced this uniqueness only slowly.</w:t>
      </w:r>
    </w:p>
    <w:p>
      <w:pPr>
        <w:spacing w:after="40"/>
        <w:ind w:left="432"/>
        <w:jc w:val="both"/>
      </w:pPr>
      <w:r>
        <w:rPr>
          <w:b/>
        </w:rPr>
        <w:t>Relevance to the proposed study.</w:t>
      </w:r>
      <w:r>
        <w:t xml:space="preserve"> Helpline 122 records carry a place and a time. This study shows why barangay and date fields must be treated as quasi-identifiers and generalised with care.</w:t>
      </w:r>
    </w:p>
    <w:p>
      <w:pPr>
        <w:spacing w:after="40"/>
        <w:ind w:left="432"/>
        <w:jc w:val="left"/>
      </w:pPr>
      <w:r>
        <w:t>Source: https://doi.org/10.1038/srep01376</w:t>
      </w:r>
    </w:p>
    <w:p>
      <w:pPr>
        <w:keepNext/>
        <w:spacing w:before="120" w:after="40"/>
        <w:ind w:left="432" w:hanging="432"/>
      </w:pPr>
      <w:r>
        <w:t>9.</w:t>
        <w:tab/>
      </w:r>
      <w:r>
        <w:rPr>
          <w:b/>
        </w:rPr>
        <w:t>A Globally Optimal k-Anonymity Method for the De-identification of Health Data</w:t>
      </w:r>
    </w:p>
    <w:p>
      <w:pPr>
        <w:spacing w:after="40"/>
        <w:ind w:left="432"/>
        <w:jc w:val="both"/>
      </w:pPr>
      <w:r>
        <w:rPr>
          <w:b/>
        </w:rPr>
        <w:t>Description / Summary (Foreign Study).</w:t>
      </w:r>
      <w:r>
        <w:t xml:space="preserve"> El Emam et al. (2009) developed a k-anonymity algorithm that searches for the generalisation with the least information loss and compared it with earlier algorithms on real datasets. Their method lost less information than the alternatives at the same level of protection.</w:t>
      </w:r>
    </w:p>
    <w:p>
      <w:pPr>
        <w:spacing w:after="40"/>
        <w:ind w:left="432"/>
        <w:jc w:val="both"/>
      </w:pPr>
      <w:r>
        <w:rPr>
          <w:b/>
        </w:rPr>
        <w:t>Relevance to the proposed study.</w:t>
      </w:r>
      <w:r>
        <w:t xml:space="preserve"> It shows that the choice of k-anonymity algorithm changes how much useful detail survives. The proposed study makes the same kind of comparison between Mondrian and fixed suppression.</w:t>
      </w:r>
    </w:p>
    <w:p>
      <w:pPr>
        <w:spacing w:after="40"/>
        <w:ind w:left="432"/>
        <w:jc w:val="left"/>
      </w:pPr>
      <w:r>
        <w:t>Source: https://doi.org/10.1197/jamia.M3144</w:t>
      </w:r>
    </w:p>
    <w:p>
      <w:pPr>
        <w:keepNext/>
        <w:spacing w:before="120" w:after="40"/>
        <w:ind w:left="432" w:hanging="432"/>
      </w:pPr>
      <w:r>
        <w:t>10.</w:t>
        <w:tab/>
      </w:r>
      <w:r>
        <w:rPr>
          <w:b/>
        </w:rPr>
        <w:t>Flexible Data Anonymization Using ARX: Current Status and Challenges Ahead</w:t>
      </w:r>
    </w:p>
    <w:p>
      <w:pPr>
        <w:spacing w:after="40"/>
        <w:ind w:left="432"/>
        <w:jc w:val="both"/>
      </w:pPr>
      <w:r>
        <w:rPr>
          <w:b/>
        </w:rPr>
        <w:t>Description / Summary (Foreign Study).</w:t>
      </w:r>
      <w:r>
        <w:t xml:space="preserve"> Prasser, Eicher, Spengler, Bild, and Kuhn (2020) described ARX, an open-source anonymisation tool that supports k-anonymity and related privacy models, risk analysis, and utility measurement, and reviewed the challenges of using such tools in practice.</w:t>
      </w:r>
    </w:p>
    <w:p>
      <w:pPr>
        <w:spacing w:after="40"/>
        <w:ind w:left="432"/>
        <w:jc w:val="both"/>
      </w:pPr>
      <w:r>
        <w:rPr>
          <w:b/>
        </w:rPr>
        <w:t>Relevance to the proposed study.</w:t>
      </w:r>
      <w:r>
        <w:t xml:space="preserve"> ARX is the reference implementation the group will use to cross-check its own Mondrian output, so an implementation error is caught rather than defended.</w:t>
      </w:r>
    </w:p>
    <w:p>
      <w:pPr>
        <w:spacing w:after="40"/>
        <w:ind w:left="432"/>
        <w:jc w:val="left"/>
      </w:pPr>
      <w:r>
        <w:t>Source: https://doi.org/10.1002/spe.2812</w:t>
      </w:r>
    </w:p>
    <w:p>
      <w:pPr>
        <w:keepNext/>
        <w:spacing w:before="160" w:after="80"/>
      </w:pPr>
      <w:r>
        <w:rPr>
          <w:b/>
          <w:sz w:val="22"/>
        </w:rPr>
        <w:t>Research and System Gap</w:t>
      </w:r>
    </w:p>
    <w:p>
      <w:pPr>
        <w:spacing w:after="120"/>
        <w:jc w:val="both"/>
      </w:pPr>
      <w:r>
        <w:t>The Philippine sources show that openness and privacy are both legal duties, that government platforms have exposed personal information at scale without systematic checks, and that agencies lack consistent release procedures and the capacity to apply privacy law. The international sources show that removing names does not make data anonymous, that place and time fields are especially identifying, that k-anonymity and Mondrian can reduce risk while keeping detail, and that unmanaged municipal releases are measurably lower in quality.</w:t>
      </w:r>
    </w:p>
    <w:p>
      <w:pPr>
        <w:spacing w:after="120"/>
        <w:jc w:val="both"/>
      </w:pPr>
      <w:r>
        <w:rPr>
          <w:b/>
        </w:rPr>
        <w:t>The gap.</w:t>
      </w:r>
      <w:r>
        <w:t xml:space="preserve"> No published work applies these measurements to a Philippine local government open-data release. No Philippine study compares a smarter anonymisation method against the blanket suppression that data owners actually use, on real city data, while also measuring quality. This study fills that gap with an auditable, reusable release-readiness procedure.</w:t>
      </w:r>
    </w:p>
    <w:p>
      <w:pPr>
        <w:keepNext/>
        <w:spacing w:before="160" w:after="80"/>
      </w:pPr>
      <w:r>
        <w:rPr>
          <w:b/>
          <w:sz w:val="22"/>
        </w:rPr>
        <w:t>Refined Proposed Title and Solution</w:t>
      </w:r>
    </w:p>
    <w:p>
      <w:pPr>
        <w:spacing w:after="120"/>
        <w:jc w:val="both"/>
      </w:pPr>
      <w:r>
        <w:rPr>
          <w:b/>
        </w:rPr>
        <w:t>A Data Governance System for Privacy Release Readiness of Quezon City Open Data Using Mondrian k-Anonymity</w:t>
      </w:r>
      <w:r>
        <w:t xml:space="preserve"> (16 words). The title is kept, because the review confirmed Mondrian as the right method for the comparison the study makes.</w:t>
      </w:r>
    </w:p>
    <w:p>
      <w:pPr>
        <w:keepNext/>
        <w:spacing w:before="160" w:after="80"/>
      </w:pPr>
      <w:r>
        <w:rPr>
          <w:b/>
          <w:sz w:val="22"/>
        </w:rPr>
        <w:t>References for the RRL and RRS</w:t>
      </w:r>
    </w:p>
    <w:p>
      <w:pPr>
        <w:spacing w:after="60"/>
        <w:ind w:left="576" w:hanging="576"/>
        <w:jc w:val="left"/>
      </w:pPr>
      <w:r>
        <w:t>Alampay, E. A. (2021). Open data governance in the time of the pandemic. Proceedings of the 14th International Conference on Theory and Practice of Electronic Governance, 455–462. https://doi.org/10.1145/3494193.3494255</w:t>
      </w:r>
    </w:p>
    <w:p>
      <w:pPr>
        <w:spacing w:after="60"/>
        <w:ind w:left="576" w:hanging="576"/>
        <w:jc w:val="left"/>
      </w:pPr>
      <w:r>
        <w:t>de Montjoye, Y.-A., Hidalgo, C. A., Verleysen, M., &amp; Blondel, V. D. (2013). Unique in the crowd: The privacy bounds of human mobility. Scientific Reports, 3, 1376. https://doi.org/10.1038/srep01376</w:t>
      </w:r>
    </w:p>
    <w:p>
      <w:pPr>
        <w:spacing w:after="60"/>
        <w:ind w:left="576" w:hanging="576"/>
        <w:jc w:val="left"/>
      </w:pPr>
      <w:r>
        <w:t>El Emam, K., Dankar, F. K., Issa, R., Jonker, E., Amyot, D., Cogo, E., et al. (2009). A globally optimal k-anonymity method for the de-identification of health data. Journal of the American Medical Informatics Association, 16(5), 670–682. https://doi.org/10.1197/jamia.M3144</w:t>
      </w:r>
    </w:p>
    <w:p>
      <w:pPr>
        <w:spacing w:after="60"/>
        <w:ind w:left="576" w:hanging="576"/>
        <w:jc w:val="left"/>
      </w:pPr>
      <w:r>
        <w:t>Executive Order No. 2, s. 2016. (2016). Operationalizing in the executive branch the people's constitutional right to information. https://lawphil.net/executive/execord/eo2016/eo_2_2016.html</w:t>
      </w:r>
    </w:p>
    <w:p>
      <w:pPr>
        <w:spacing w:after="60"/>
        <w:ind w:left="576" w:hanging="576"/>
        <w:jc w:val="left"/>
      </w:pPr>
      <w:r>
        <w:t>Janssen, M., Charalabidis, Y., &amp; Zuiderwijk, A. (2012). Benefits, adoption barriers and myths of open data and open government. Information Systems Management, 29(4), 258–268. https://doi.org/10.1080/10580530.2012.716740</w:t>
      </w:r>
    </w:p>
    <w:p>
      <w:pPr>
        <w:spacing w:after="60"/>
        <w:ind w:left="576" w:hanging="576"/>
        <w:jc w:val="left"/>
      </w:pPr>
      <w:r>
        <w:t>LeFevre, K., DeWitt, D. J., &amp; Ramakrishnan, R. (2006). Mondrian multidimensional k-anonymity. Proceedings of the 22nd International Conference on Data Engineering, 25. https://doi.org/10.1109/ICDE.2006.101</w:t>
      </w:r>
    </w:p>
    <w:p>
      <w:pPr>
        <w:spacing w:after="60"/>
        <w:ind w:left="576" w:hanging="576"/>
        <w:jc w:val="left"/>
      </w:pPr>
      <w:r>
        <w:t>Machanavajjhala, A., Kifer, D., Gehrke, J., &amp; Venkitasubramaniam, M. (2007). l-Diversity: Privacy beyond k-anonymity. ACM Transactions on Knowledge Discovery from Data, 1(1), 3. https://doi.org/10.1145/1217299.1217302</w:t>
      </w:r>
    </w:p>
    <w:p>
      <w:pPr>
        <w:spacing w:after="60"/>
        <w:ind w:left="576" w:hanging="576"/>
        <w:jc w:val="left"/>
      </w:pPr>
      <w:r>
        <w:t>National Privacy Commission. (2025). NPC Advisory No. 2025-02: Guidelines on privacy engineering in systems life cycle processes. https://privacy.gov.ph/wp-content/uploads/2025/12/NPC_Advisory2025-02.pdf</w:t>
      </w:r>
    </w:p>
    <w:p>
      <w:pPr>
        <w:spacing w:after="60"/>
        <w:ind w:left="576" w:hanging="576"/>
        <w:jc w:val="left"/>
      </w:pPr>
      <w:r>
        <w:t>Open Data Philippines. (n.d.). data.gov.ph. Retrieved September 19, 2026, from https://data.gov.ph</w:t>
      </w:r>
    </w:p>
    <w:p>
      <w:pPr>
        <w:spacing w:after="60"/>
        <w:ind w:left="576" w:hanging="576"/>
        <w:jc w:val="left"/>
      </w:pPr>
      <w:r>
        <w:t>Pacis, J. (2017). Open data in Philippines: An issue of access and awareness [Research brief]. IT for Change. https://projects.itforchange.net/mavc/wp-content/uploads/2017/06/Research-Brief-Philippines.pdf</w:t>
      </w:r>
    </w:p>
    <w:p>
      <w:pPr>
        <w:spacing w:after="60"/>
        <w:ind w:left="576" w:hanging="576"/>
        <w:jc w:val="left"/>
      </w:pPr>
      <w:r>
        <w:t>Perez, P. J. (2020). Why are freedom of information requests in the Philippines being denied? An analysis using a practice-based approach. Philippine Journal of Librarianship and Information Studies. https://phjlis.org/index.php/phjlis/article/view/41</w:t>
      </w:r>
    </w:p>
    <w:p>
      <w:pPr>
        <w:spacing w:after="60"/>
        <w:ind w:left="576" w:hanging="576"/>
        <w:jc w:val="left"/>
      </w:pPr>
      <w:r>
        <w:t>Perez, P. J. (2025). Public FOI requests in the Philippines: Transparency at the expense of privacy? In Intelligence and equity: Shaping the future of knowledge (Lecture Notes in Computer Science, pp. 417–426). Springer. https://doi.org/10.1007/978-981-95-4861-3_35</w:t>
      </w:r>
    </w:p>
    <w:p>
      <w:pPr>
        <w:spacing w:after="60"/>
        <w:ind w:left="576" w:hanging="576"/>
        <w:jc w:val="left"/>
      </w:pPr>
      <w:r>
        <w:t>Pitogo, V. (2019). National government agency's compliance on Data Privacy Act of 2012: A case study. Journal of Physics: Conference Series, 1201, 012021. https://doi.org/10.1088/1742-6596/1201/1/012021</w:t>
      </w:r>
    </w:p>
    <w:p>
      <w:pPr>
        <w:spacing w:after="60"/>
        <w:ind w:left="576" w:hanging="576"/>
        <w:jc w:val="left"/>
      </w:pPr>
      <w:r>
        <w:t>Prasser, F., Eicher, J., Spengler, H., Bild, R., &amp; Kuhn, K. A. (2020). Flexible data anonymization using ARX: Current status and challenges ahead. Software: Practice and Experience, 50(7), 1277–1304. https://doi.org/10.1002/spe.2812</w:t>
      </w:r>
    </w:p>
    <w:p>
      <w:pPr>
        <w:spacing w:after="60"/>
        <w:ind w:left="576" w:hanging="576"/>
        <w:jc w:val="left"/>
      </w:pPr>
      <w:r>
        <w:t>Quezon City Government. (n.d.). QC Open Data Dashboard. https://quezoncity.gov.ph/program/qc-open-data-dashboard/</w:t>
      </w:r>
    </w:p>
    <w:p>
      <w:pPr>
        <w:spacing w:after="60"/>
        <w:ind w:left="576" w:hanging="576"/>
        <w:jc w:val="left"/>
      </w:pPr>
      <w:r>
        <w:t>Republic Act No. 10173. (2012). Data Privacy Act of 2012. https://lawphil.net/statutes/repacts/ra2012/ra_10173_2012.html</w:t>
      </w:r>
    </w:p>
    <w:p>
      <w:pPr>
        <w:spacing w:after="60"/>
        <w:ind w:left="576" w:hanging="576"/>
        <w:jc w:val="left"/>
      </w:pPr>
      <w:r>
        <w:t>Rocher, L., Hendrickx, J. M., &amp; de Montjoye, Y.-A. (2019). Estimating the success of re-identifications in incomplete datasets using generative models. Nature Communications, 10, 3069. https://doi.org/10.1038/s41467-019-10933-3</w:t>
      </w:r>
    </w:p>
    <w:p>
      <w:pPr>
        <w:spacing w:after="60"/>
        <w:ind w:left="576" w:hanging="576"/>
        <w:jc w:val="left"/>
      </w:pPr>
      <w:r>
        <w:t>Sweeney, L. (2002). k-Anonymity: A model for protecting privacy. International Journal of Uncertainty, Fuzziness and Knowledge-Based Systems, 10(5), 557–570. https://doi.org/10.1142/S0218488502001648</w:t>
      </w:r>
    </w:p>
    <w:p>
      <w:pPr>
        <w:spacing w:after="60"/>
        <w:ind w:left="576" w:hanging="576"/>
        <w:jc w:val="left"/>
      </w:pPr>
      <w:r>
        <w:t>Vetrò, A., Canova, L., Torchiano, M., Minotas, C. O., Iemma, R., &amp; Morando, F. (2016). Open data quality measurement framework: Definition and application to open government data. Government Information Quarterly, 33(2), 325–337. https://doi.org/10.1016/j.giq.2016.02.001</w:t>
      </w:r>
    </w:p>
    <w:p>
      <w:pPr>
        <w:spacing w:after="60"/>
        <w:ind w:left="576" w:hanging="576"/>
        <w:jc w:val="left"/>
      </w:pPr>
      <w:r>
        <w:t>Wang, R. Y., &amp; Strong, D. M. (1996). Beyond accuracy: What data quality means to data consumers. Journal of Management Information Systems, 12(4), 5–33. https://doi.org/10.1080/07421222.1996.11518099</w:t>
      </w:r>
    </w:p>
    <w:p>
      <w:r>
        <w:br w:type="page"/>
      </w:r>
    </w:p>
    <w:tbl>
      <w:tblPr>
        <w:tblStyle w:val="TableGrid"/>
        <w:tblW w:type="auto" w:w="0"/>
        <w:tblLook w:firstColumn="1" w:firstRow="1" w:lastColumn="0" w:lastRow="0" w:noHBand="0" w:noVBand="1" w:val="04A0"/>
      </w:tblPr>
      <w:tblGrid>
        <w:gridCol w:w="10224"/>
      </w:tblGrid>
      <w:tr>
        <w:tc>
          <w:tcPr>
            <w:tcW w:type="dxa" w:w="10224"/>
            <w:shd w:val="clear" w:color="auto" w:fill="404040"/>
          </w:tcPr>
          <w:p>
            <w:pPr>
              <w:spacing w:before="60" w:after="60"/>
            </w:pPr>
            <w:r>
              <w:rPr>
                <w:b/>
                <w:color w:val="FFFFFF"/>
                <w:sz w:val="26"/>
              </w:rPr>
              <w:t>TARGET TITLE 4 OF 6</w:t>
            </w:r>
          </w:p>
          <w:p>
            <w:pPr>
              <w:spacing w:after="60"/>
            </w:pPr>
            <w:r>
              <w:rPr>
                <w:color w:val="E0E0E0"/>
                <w:sz w:val="18"/>
              </w:rPr>
              <w:t>Development of a Fuzzy Matching and Data Quality Scoring Model for Detecting Potential Duplicate and Incomplete Child Immunization Records at a Barangay Health Center in Mandaluyong City</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1. Target Thesis Title</w:t>
            </w:r>
          </w:p>
        </w:tc>
      </w:tr>
    </w:tbl>
    <w:p>
      <w:pPr>
        <w:spacing w:after="40"/>
      </w:pPr>
    </w:p>
    <w:p>
      <w:pPr>
        <w:spacing w:after="120"/>
        <w:jc w:val="both"/>
      </w:pPr>
      <w:r>
        <w:rPr>
          <w:b/>
        </w:rPr>
        <w:t>Development of a Fuzzy Matching and Data Quality Scoring Model for Detecting Potential Duplicate and Incomplete Child Immunization Records at a Barangay Health Center in Mandaluyong City</w:t>
      </w:r>
    </w:p>
    <w:p>
      <w:pPr>
        <w:spacing w:after="120"/>
        <w:jc w:val="both"/>
      </w:pPr>
      <w:r>
        <w:t>Thesis specialization: Data Science</w:t>
      </w:r>
    </w:p>
    <w:p>
      <w:pPr>
        <w:spacing w:after="120"/>
        <w:jc w:val="both"/>
      </w:pPr>
      <w:r>
        <w:t>Primary technique: Data Governance and Ethics, from the approved Data Science technique list</w:t>
      </w:r>
    </w:p>
    <w:p>
      <w:pPr>
        <w:spacing w:after="120"/>
        <w:jc w:val="both"/>
      </w:pPr>
      <w:r>
        <w:t>Research domain: Data science, health informatics, data quality, record linkage, and immunization information management</w:t>
      </w:r>
    </w:p>
    <w:p>
      <w:pPr>
        <w:spacing w:after="120"/>
        <w:jc w:val="both"/>
      </w:pPr>
      <w:r>
        <w:t>Proponents: Dawn Andrei Pamesa (Leader), Rogelio Porras, John Ashley Alba, Ralph Blanco</w:t>
      </w:r>
    </w:p>
    <w:p>
      <w:pPr>
        <w:spacing w:after="120"/>
        <w:jc w:val="both"/>
      </w:pPr>
      <w:r>
        <w:rPr>
          <w:highlight w:val="yellow"/>
        </w:rPr>
        <w:t>[The title is 25 words, over the 16-word limit in the CS guidelines. A 16-word option: "Fuzzy Matching and Data Quality Scoring for Duplicate Child Immunization Records at a Mandaluyong Barangay Health Center". Group to decide.]</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2. Project Overview</w:t>
            </w:r>
          </w:p>
        </w:tc>
      </w:tr>
    </w:tbl>
    <w:p>
      <w:pPr>
        <w:spacing w:after="40"/>
      </w:pPr>
    </w:p>
    <w:p>
      <w:pPr>
        <w:spacing w:after="120"/>
        <w:jc w:val="both"/>
      </w:pPr>
      <w:r>
        <w:t>Background of the problem. Barangay health centers maintain child immunization records used to monitor vaccine completion and prepare program reports. Missing vaccine dates, invalid ages, inconsistent entries, and duplicate records can make it harder for health workers to identify children needing follow up and can distort coverage counts.</w:t>
      </w:r>
    </w:p>
    <w:p>
      <w:pPr>
        <w:spacing w:after="120"/>
        <w:jc w:val="both"/>
      </w:pPr>
      <w:r>
        <w:t>Specific problem. Existing health information policies and research recognize data quality and record matching problems, but a barangay health center may not have a simple, explainable tool that flags incomplete child immunization records and possible duplicate entries before staff prepare reports or conduct follow up.</w:t>
      </w:r>
    </w:p>
    <w:p>
      <w:pPr>
        <w:spacing w:after="120"/>
        <w:jc w:val="both"/>
      </w:pPr>
      <w:r>
        <w:t>Target users and beneficiaries. Barangay health workers, public health nurses, health center record staff, city health office immunization personnel, and academic evaluators.</w:t>
      </w:r>
    </w:p>
    <w:p>
      <w:pPr>
        <w:spacing w:after="120"/>
        <w:jc w:val="both"/>
      </w:pPr>
      <w:r>
        <w:t>Proposed solution. A Python based data science prototype that applies rule based validation, fuzzy duplicate matching, and a weighted Data Quality Score to approved de identified or simulated child immunization records. It produces review flags and corrective recommendations; staff remain responsible for confirming any record.</w:t>
      </w:r>
    </w:p>
    <w:p>
      <w:pPr>
        <w:spacing w:after="120"/>
        <w:jc w:val="both"/>
      </w:pPr>
      <w:r>
        <w:t>Main objectives. Define a child immunization data dictionary; assess completeness, validity, consistency, and uniqueness of approved data; flag possible duplicate records for human review; calculate a Data Quality Score; and create a simple report or dashboard for health workers.</w:t>
      </w:r>
    </w:p>
    <w:p>
      <w:pPr>
        <w:spacing w:after="120"/>
        <w:jc w:val="both"/>
      </w:pPr>
      <w:r>
        <w:t>Expected output. A de identified or simulated child immunization dataset, documented validation rules, possible duplicate flags, Data Quality Score reports, a prototype dashboard or report, and recommendations for record review.</w:t>
      </w:r>
    </w:p>
    <w:p>
      <w:pPr>
        <w:spacing w:after="120"/>
        <w:jc w:val="both"/>
      </w:pPr>
      <w:r>
        <w:t>Intended contribution. A low cost, locally relevant data science prototype for improving the review of child immunization records at one barangay health center. It supports data review and reporting; it does not replace an electronic medical record system, verify vaccination status, or make clinical decisions.</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3. Technical and Technology Feasibility</w:t>
            </w:r>
          </w:p>
        </w:tc>
      </w:tr>
    </w:tbl>
    <w:p>
      <w:pPr>
        <w:spacing w:after="40"/>
      </w:pPr>
    </w:p>
    <w:tbl>
      <w:tblPr>
        <w:tblStyle w:val="TableGrid"/>
        <w:tblW w:type="auto" w:w="0"/>
        <w:jc w:val="center"/>
        <w:tblLook w:firstColumn="1" w:firstRow="1" w:lastColumn="0" w:lastRow="0" w:noHBand="0" w:noVBand="1" w:val="04A0"/>
      </w:tblPr>
      <w:tblGrid>
        <w:gridCol w:w="3408"/>
        <w:gridCol w:w="3408"/>
        <w:gridCol w:w="3408"/>
      </w:tblGrid>
      <w:tr>
        <w:tc>
          <w:tcPr>
            <w:tcW w:type="dxa" w:w="2160"/>
            <w:shd w:val="clear" w:color="auto" w:fill="EDEDED"/>
          </w:tcPr>
          <w:p>
            <w:r>
              <w:rPr>
                <w:b/>
                <w:sz w:val="18"/>
              </w:rPr>
              <w:t>Area</w:t>
            </w:r>
          </w:p>
        </w:tc>
        <w:tc>
          <w:tcPr>
            <w:tcW w:type="dxa" w:w="3744"/>
            <w:shd w:val="clear" w:color="auto" w:fill="EDEDED"/>
          </w:tcPr>
          <w:p>
            <w:r>
              <w:rPr>
                <w:b/>
                <w:sz w:val="18"/>
              </w:rPr>
              <w:t>Proposed Choice</w:t>
            </w:r>
          </w:p>
        </w:tc>
        <w:tc>
          <w:tcPr>
            <w:tcW w:type="dxa" w:w="4320"/>
            <w:shd w:val="clear" w:color="auto" w:fill="EDEDED"/>
          </w:tcPr>
          <w:p>
            <w:r>
              <w:rPr>
                <w:b/>
                <w:sz w:val="18"/>
              </w:rPr>
              <w:t>Feasibility and Alternative</w:t>
            </w:r>
          </w:p>
        </w:tc>
      </w:tr>
      <w:tr>
        <w:tc>
          <w:tcPr>
            <w:tcW w:type="dxa" w:w="2160"/>
          </w:tcPr>
          <w:p>
            <w:r>
              <w:rPr>
                <w:sz w:val="18"/>
              </w:rPr>
              <w:t>Programming languages</w:t>
            </w:r>
          </w:p>
        </w:tc>
        <w:tc>
          <w:tcPr>
            <w:tcW w:type="dxa" w:w="3744"/>
          </w:tcPr>
          <w:p>
            <w:r>
              <w:rPr>
                <w:sz w:val="18"/>
              </w:rPr>
              <w:t>Python</w:t>
            </w:r>
          </w:p>
        </w:tc>
        <w:tc>
          <w:tcPr>
            <w:tcW w:type="dxa" w:w="4320"/>
          </w:tcPr>
          <w:p>
            <w:r>
              <w:rPr>
                <w:sz w:val="18"/>
              </w:rPr>
              <w:t>Covers validation, matching, scoring, and the report in one language.</w:t>
            </w:r>
          </w:p>
        </w:tc>
      </w:tr>
      <w:tr>
        <w:tc>
          <w:tcPr>
            <w:tcW w:type="dxa" w:w="2160"/>
          </w:tcPr>
          <w:p>
            <w:r>
              <w:rPr>
                <w:sz w:val="18"/>
              </w:rPr>
              <w:t>Frameworks and libraries</w:t>
            </w:r>
          </w:p>
        </w:tc>
        <w:tc>
          <w:tcPr>
            <w:tcW w:type="dxa" w:w="3744"/>
          </w:tcPr>
          <w:p>
            <w:r>
              <w:rPr>
                <w:sz w:val="18"/>
              </w:rPr>
              <w:t>pandas, RapidFuzz or jellyfish for Jaro-Winkler and Levenshtein similarity, Streamlit</w:t>
            </w:r>
          </w:p>
        </w:tc>
        <w:tc>
          <w:tcPr>
            <w:tcW w:type="dxa" w:w="4320"/>
          </w:tcPr>
          <w:p>
            <w:r>
              <w:rPr>
                <w:sz w:val="18"/>
              </w:rPr>
              <w:t>All open source and widely documented.</w:t>
            </w:r>
          </w:p>
        </w:tc>
      </w:tr>
      <w:tr>
        <w:tc>
          <w:tcPr>
            <w:tcW w:type="dxa" w:w="2160"/>
          </w:tcPr>
          <w:p>
            <w:r>
              <w:rPr>
                <w:sz w:val="18"/>
              </w:rPr>
              <w:t>Database and storage</w:t>
            </w:r>
          </w:p>
        </w:tc>
        <w:tc>
          <w:tcPr>
            <w:tcW w:type="dxa" w:w="3744"/>
          </w:tcPr>
          <w:p>
            <w:r>
              <w:rPr>
                <w:sz w:val="18"/>
              </w:rPr>
              <w:t>SQLite or encrypted CSV files on approved storage</w:t>
            </w:r>
          </w:p>
        </w:tc>
        <w:tc>
          <w:tcPr>
            <w:tcW w:type="dxa" w:w="4320"/>
          </w:tcPr>
          <w:p>
            <w:r>
              <w:rPr>
                <w:sz w:val="18"/>
              </w:rPr>
              <w:t>No server needed for a single health center.</w:t>
            </w:r>
          </w:p>
        </w:tc>
      </w:tr>
      <w:tr>
        <w:tc>
          <w:tcPr>
            <w:tcW w:type="dxa" w:w="2160"/>
          </w:tcPr>
          <w:p>
            <w:r>
              <w:rPr>
                <w:sz w:val="18"/>
              </w:rPr>
              <w:t>APIs and third-party services</w:t>
            </w:r>
          </w:p>
        </w:tc>
        <w:tc>
          <w:tcPr>
            <w:tcW w:type="dxa" w:w="3744"/>
          </w:tcPr>
          <w:p>
            <w:r>
              <w:rPr>
                <w:sz w:val="18"/>
              </w:rPr>
              <w:t>None</w:t>
            </w:r>
          </w:p>
        </w:tc>
        <w:tc>
          <w:tcPr>
            <w:tcW w:type="dxa" w:w="4320"/>
          </w:tcPr>
          <w:p>
            <w:r>
              <w:rPr>
                <w:sz w:val="18"/>
              </w:rPr>
              <w:t>Nothing on the critical path depends on an outside service.</w:t>
            </w:r>
          </w:p>
        </w:tc>
      </w:tr>
      <w:tr>
        <w:tc>
          <w:tcPr>
            <w:tcW w:type="dxa" w:w="2160"/>
          </w:tcPr>
          <w:p>
            <w:r>
              <w:rPr>
                <w:sz w:val="18"/>
              </w:rPr>
              <w:t>Platform</w:t>
            </w:r>
          </w:p>
        </w:tc>
        <w:tc>
          <w:tcPr>
            <w:tcW w:type="dxa" w:w="3744"/>
          </w:tcPr>
          <w:p>
            <w:r>
              <w:rPr>
                <w:sz w:val="18"/>
              </w:rPr>
              <w:t>Streamlit report or dashboard, run locally</w:t>
            </w:r>
          </w:p>
        </w:tc>
        <w:tc>
          <w:tcPr>
            <w:tcW w:type="dxa" w:w="4320"/>
          </w:tcPr>
          <w:p>
            <w:r>
              <w:rPr>
                <w:sz w:val="18"/>
              </w:rPr>
              <w:t>Can be demonstrated offline during the defense.</w:t>
            </w:r>
          </w:p>
        </w:tc>
      </w:tr>
      <w:tr>
        <w:tc>
          <w:tcPr>
            <w:tcW w:type="dxa" w:w="2160"/>
          </w:tcPr>
          <w:p>
            <w:r>
              <w:rPr>
                <w:sz w:val="18"/>
              </w:rPr>
              <w:t>Hardware and equipment</w:t>
            </w:r>
          </w:p>
        </w:tc>
        <w:tc>
          <w:tcPr>
            <w:tcW w:type="dxa" w:w="3744"/>
          </w:tcPr>
          <w:p>
            <w:r>
              <w:rPr>
                <w:sz w:val="18"/>
              </w:rPr>
              <w:t>A laptop or school workstation</w:t>
            </w:r>
          </w:p>
        </w:tc>
        <w:tc>
          <w:tcPr>
            <w:tcW w:type="dxa" w:w="4320"/>
          </w:tcPr>
          <w:p>
            <w:r>
              <w:rPr>
                <w:sz w:val="18"/>
              </w:rPr>
              <w:t>No specialised hardware is needed.</w:t>
            </w:r>
          </w:p>
        </w:tc>
      </w:tr>
      <w:tr>
        <w:tc>
          <w:tcPr>
            <w:tcW w:type="dxa" w:w="2160"/>
          </w:tcPr>
          <w:p>
            <w:r>
              <w:rPr>
                <w:sz w:val="18"/>
              </w:rPr>
              <w:t>Architecture and integration</w:t>
            </w:r>
          </w:p>
        </w:tc>
        <w:tc>
          <w:tcPr>
            <w:tcW w:type="dxa" w:w="3744"/>
          </w:tcPr>
          <w:p>
            <w:r>
              <w:rPr>
                <w:sz w:val="18"/>
              </w:rPr>
              <w:t>Import of a de-identified or simulated file, then rule validation, fuzzy duplicate matching, Data Quality Scoring, and a report</w:t>
            </w:r>
          </w:p>
        </w:tc>
        <w:tc>
          <w:tcPr>
            <w:tcW w:type="dxa" w:w="4320"/>
          </w:tcPr>
          <w:p>
            <w:r>
              <w:rPr>
                <w:sz w:val="18"/>
              </w:rPr>
              <w:t>Reads a dataset export only and never alters the official immunization register.</w:t>
            </w:r>
          </w:p>
        </w:tc>
      </w:tr>
      <w:tr>
        <w:tc>
          <w:tcPr>
            <w:tcW w:type="dxa" w:w="2160"/>
          </w:tcPr>
          <w:p>
            <w:r>
              <w:rPr>
                <w:sz w:val="18"/>
              </w:rPr>
              <w:t>Security and maintenance</w:t>
            </w:r>
          </w:p>
        </w:tc>
        <w:tc>
          <w:tcPr>
            <w:tcW w:type="dxa" w:w="3744"/>
          </w:tcPr>
          <w:p>
            <w:r>
              <w:rPr>
                <w:sz w:val="18"/>
              </w:rPr>
              <w:t>Restricted access, secure local storage, no direct identifiers</w:t>
            </w:r>
          </w:p>
        </w:tc>
        <w:tc>
          <w:tcPr>
            <w:tcW w:type="dxa" w:w="4320"/>
          </w:tcPr>
          <w:p>
            <w:r>
              <w:rPr>
                <w:sz w:val="18"/>
              </w:rPr>
              <w:t>Health center staff retain every correction decision.</w:t>
            </w:r>
          </w:p>
        </w:tc>
      </w:tr>
      <w:tr>
        <w:tc>
          <w:tcPr>
            <w:tcW w:type="dxa" w:w="2160"/>
          </w:tcPr>
          <w:p>
            <w:r>
              <w:rPr>
                <w:sz w:val="18"/>
              </w:rPr>
              <w:t>Technical expertise</w:t>
            </w:r>
          </w:p>
        </w:tc>
        <w:tc>
          <w:tcPr>
            <w:tcW w:type="dxa" w:w="3744"/>
          </w:tcPr>
          <w:p>
            <w:r>
              <w:rPr>
                <w:sz w:val="18"/>
              </w:rPr>
              <w:t>Python and pandas are in hand; string similarity libraries are simple to use.</w:t>
            </w:r>
          </w:p>
        </w:tc>
        <w:tc>
          <w:tcPr>
            <w:tcW w:type="dxa" w:w="4320"/>
          </w:tcPr>
          <w:p>
            <w:r>
              <w:rPr>
                <w:sz w:val="18"/>
              </w:rPr>
              <w:t>Threshold tuning is the least familiar step and is documented in the record linkage literature.</w:t>
            </w:r>
          </w:p>
        </w:tc>
      </w:tr>
      <w:tr>
        <w:tc>
          <w:tcPr>
            <w:tcW w:type="dxa" w:w="2160"/>
          </w:tcPr>
          <w:p>
            <w:r>
              <w:rPr>
                <w:sz w:val="18"/>
              </w:rPr>
              <w:t>Limitations and alternatives</w:t>
            </w:r>
          </w:p>
        </w:tc>
        <w:tc>
          <w:tcPr>
            <w:tcW w:type="dxa" w:w="3744"/>
          </w:tcPr>
          <w:p>
            <w:r>
              <w:rPr>
                <w:sz w:val="18"/>
              </w:rPr>
              <w:t>Matching quality depends on which fields are approved.</w:t>
            </w:r>
          </w:p>
        </w:tc>
        <w:tc>
          <w:tcPr>
            <w:tcW w:type="dxa" w:w="4320"/>
          </w:tcPr>
          <w:p>
            <w:r>
              <w:rPr>
                <w:sz w:val="18"/>
              </w:rPr>
              <w:t>If real data is not approved, the simulated dataset is used.</w:t>
            </w:r>
          </w:p>
        </w:tc>
      </w:tr>
    </w:tbl>
    <w:p>
      <w:pPr>
        <w:spacing w:after="40"/>
      </w:pPr>
    </w:p>
    <w:p>
      <w:pPr>
        <w:spacing w:after="120"/>
        <w:jc w:val="both"/>
      </w:pPr>
      <w:r>
        <w:t>Technical finding. The stack is simple, free, and familiar, and the tool runs on a single laptop.</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4. Dataset and Data Feasibility</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2592"/>
            <w:shd w:val="clear" w:color="auto" w:fill="EDEDED"/>
          </w:tcPr>
          <w:p>
            <w:r>
              <w:rPr>
                <w:b/>
                <w:sz w:val="18"/>
              </w:rPr>
              <w:t>Requirement</w:t>
            </w:r>
          </w:p>
        </w:tc>
        <w:tc>
          <w:tcPr>
            <w:tcW w:type="dxa" w:w="7632"/>
            <w:shd w:val="clear" w:color="auto" w:fill="EDEDED"/>
          </w:tcPr>
          <w:p>
            <w:r>
              <w:rPr>
                <w:b/>
                <w:sz w:val="18"/>
              </w:rPr>
              <w:t>Current Assessment</w:t>
            </w:r>
          </w:p>
        </w:tc>
      </w:tr>
      <w:tr>
        <w:tc>
          <w:tcPr>
            <w:tcW w:type="dxa" w:w="2592"/>
          </w:tcPr>
          <w:p>
            <w:r>
              <w:rPr>
                <w:sz w:val="18"/>
              </w:rPr>
              <w:t>Dataset name and description</w:t>
            </w:r>
          </w:p>
        </w:tc>
        <w:tc>
          <w:tcPr>
            <w:tcW w:type="dxa" w:w="7632"/>
          </w:tcPr>
          <w:p>
            <w:r>
              <w:rPr>
                <w:sz w:val="18"/>
              </w:rPr>
              <w:t>Child immunization records: coded child ID, date of birth, sex, vaccine dose dates, and approved matching fields such as simulated name tokens and a guardian token.</w:t>
            </w:r>
          </w:p>
        </w:tc>
      </w:tr>
      <w:tr>
        <w:tc>
          <w:tcPr>
            <w:tcW w:type="dxa" w:w="2592"/>
          </w:tcPr>
          <w:p>
            <w:r>
              <w:rPr>
                <w:sz w:val="18"/>
              </w:rPr>
              <w:t>Source, owner, and provider</w:t>
            </w:r>
          </w:p>
        </w:tc>
        <w:tc>
          <w:tcPr>
            <w:tcW w:type="dxa" w:w="7632"/>
          </w:tcPr>
          <w:p>
            <w:r>
              <w:rPr>
                <w:sz w:val="18"/>
              </w:rPr>
              <w:t xml:space="preserve">A barangay health center in Mandaluyong City, which owns the records. </w:t>
            </w:r>
            <w:r>
              <w:rPr>
                <w:sz w:val="18"/>
                <w:highlight w:val="yellow"/>
              </w:rPr>
              <w:t>[Name the health center and the status of the request.]</w:t>
            </w:r>
          </w:p>
        </w:tc>
      </w:tr>
      <w:tr>
        <w:tc>
          <w:tcPr>
            <w:tcW w:type="dxa" w:w="2592"/>
          </w:tcPr>
          <w:p>
            <w:r>
              <w:rPr>
                <w:sz w:val="18"/>
              </w:rPr>
              <w:t>Public link</w:t>
            </w:r>
          </w:p>
        </w:tc>
        <w:tc>
          <w:tcPr>
            <w:tcW w:type="dxa" w:w="7632"/>
          </w:tcPr>
          <w:p>
            <w:r>
              <w:rPr>
                <w:sz w:val="18"/>
              </w:rPr>
              <w:t>None. Records are held by the health center.</w:t>
            </w:r>
          </w:p>
        </w:tc>
      </w:tr>
      <w:tr>
        <w:tc>
          <w:tcPr>
            <w:tcW w:type="dxa" w:w="2592"/>
          </w:tcPr>
          <w:p>
            <w:r>
              <w:rPr>
                <w:sz w:val="18"/>
              </w:rPr>
              <w:t>Data type and file format</w:t>
            </w:r>
          </w:p>
        </w:tc>
        <w:tc>
          <w:tcPr>
            <w:tcW w:type="dxa" w:w="7632"/>
          </w:tcPr>
          <w:p>
            <w:r>
              <w:rPr>
                <w:sz w:val="18"/>
              </w:rPr>
              <w:t>Tabular export, CSV or XLSX.</w:t>
            </w:r>
          </w:p>
        </w:tc>
      </w:tr>
      <w:tr>
        <w:tc>
          <w:tcPr>
            <w:tcW w:type="dxa" w:w="2592"/>
          </w:tcPr>
          <w:p>
            <w:r>
              <w:rPr>
                <w:sz w:val="18"/>
              </w:rPr>
              <w:t>Estimated size</w:t>
            </w:r>
          </w:p>
        </w:tc>
        <w:tc>
          <w:tcPr>
            <w:tcW w:type="dxa" w:w="7632"/>
          </w:tcPr>
          <w:p>
            <w:r>
              <w:rPr>
                <w:sz w:val="18"/>
                <w:highlight w:val="yellow"/>
              </w:rPr>
              <w:t>[Confirm the record count. The study needs at least 10,000 records, and whether simulated records count toward that floor should be confirmed with Ma'am.]</w:t>
            </w:r>
          </w:p>
        </w:tc>
      </w:tr>
      <w:tr>
        <w:tc>
          <w:tcPr>
            <w:tcW w:type="dxa" w:w="2592"/>
          </w:tcPr>
          <w:p>
            <w:r>
              <w:rPr>
                <w:sz w:val="18"/>
              </w:rPr>
              <w:t>Features and attributes</w:t>
            </w:r>
          </w:p>
        </w:tc>
        <w:tc>
          <w:tcPr>
            <w:tcW w:type="dxa" w:w="7632"/>
          </w:tcPr>
          <w:p>
            <w:r>
              <w:rPr>
                <w:sz w:val="18"/>
              </w:rPr>
              <w:t>Coded child ID, birth date, sex, vaccine and dose dates, and matching tokens.</w:t>
            </w:r>
          </w:p>
        </w:tc>
      </w:tr>
      <w:tr>
        <w:tc>
          <w:tcPr>
            <w:tcW w:type="dxa" w:w="2592"/>
          </w:tcPr>
          <w:p>
            <w:r>
              <w:rPr>
                <w:sz w:val="18"/>
              </w:rPr>
              <w:t>Labels and target variables</w:t>
            </w:r>
          </w:p>
        </w:tc>
        <w:tc>
          <w:tcPr>
            <w:tcW w:type="dxa" w:w="7632"/>
          </w:tcPr>
          <w:p>
            <w:r>
              <w:rPr>
                <w:sz w:val="18"/>
              </w:rPr>
              <w:t>Deliberately injected errors and labelled simulated duplicate pairs, used to measure detection.</w:t>
            </w:r>
          </w:p>
        </w:tc>
      </w:tr>
      <w:tr>
        <w:tc>
          <w:tcPr>
            <w:tcW w:type="dxa" w:w="2592"/>
          </w:tcPr>
          <w:p>
            <w:r>
              <w:rPr>
                <w:sz w:val="18"/>
              </w:rPr>
              <w:t>Accessibility and collection</w:t>
            </w:r>
          </w:p>
        </w:tc>
        <w:tc>
          <w:tcPr>
            <w:tcW w:type="dxa" w:w="7632"/>
          </w:tcPr>
          <w:p>
            <w:r>
              <w:rPr>
                <w:sz w:val="18"/>
              </w:rPr>
              <w:t>Written site permission for any real data; otherwise a realistic simulated dataset built from the data dictionary.</w:t>
            </w:r>
          </w:p>
        </w:tc>
      </w:tr>
      <w:tr>
        <w:tc>
          <w:tcPr>
            <w:tcW w:type="dxa" w:w="2592"/>
          </w:tcPr>
          <w:p>
            <w:r>
              <w:rPr>
                <w:sz w:val="18"/>
              </w:rPr>
              <w:t>Permission and licensing</w:t>
            </w:r>
          </w:p>
        </w:tc>
        <w:tc>
          <w:tcPr>
            <w:tcW w:type="dxa" w:w="7632"/>
          </w:tcPr>
          <w:p>
            <w:r>
              <w:rPr>
                <w:sz w:val="18"/>
              </w:rPr>
              <w:t>Official records stay under the health center's control; the team may not copy, redistribute, or publish patient data.</w:t>
            </w:r>
          </w:p>
        </w:tc>
      </w:tr>
      <w:tr>
        <w:tc>
          <w:tcPr>
            <w:tcW w:type="dxa" w:w="2592"/>
          </w:tcPr>
          <w:p>
            <w:r>
              <w:rPr>
                <w:sz w:val="18"/>
              </w:rPr>
              <w:t>Quality, completeness, and bias</w:t>
            </w:r>
          </w:p>
        </w:tc>
        <w:tc>
          <w:tcPr>
            <w:tcW w:type="dxa" w:w="7632"/>
          </w:tcPr>
          <w:p>
            <w:r>
              <w:rPr>
                <w:sz w:val="18"/>
              </w:rPr>
              <w:t>Missing vaccine dates, invalid ages, inconsistent entries, and duplicates are the very problems measured.</w:t>
            </w:r>
          </w:p>
        </w:tc>
      </w:tr>
      <w:tr>
        <w:tc>
          <w:tcPr>
            <w:tcW w:type="dxa" w:w="2592"/>
          </w:tcPr>
          <w:p>
            <w:r>
              <w:rPr>
                <w:sz w:val="18"/>
              </w:rPr>
              <w:t>Preprocessing and storage</w:t>
            </w:r>
          </w:p>
        </w:tc>
        <w:tc>
          <w:tcPr>
            <w:tcW w:type="dxa" w:w="7632"/>
          </w:tcPr>
          <w:p>
            <w:r>
              <w:rPr>
                <w:sz w:val="18"/>
              </w:rPr>
              <w:t>De-identification checklist; no free text, screenshots, or direct child or guardian identifiers.</w:t>
            </w:r>
          </w:p>
        </w:tc>
      </w:tr>
      <w:tr>
        <w:tc>
          <w:tcPr>
            <w:tcW w:type="dxa" w:w="2592"/>
          </w:tcPr>
          <w:p>
            <w:r>
              <w:rPr>
                <w:sz w:val="18"/>
              </w:rPr>
              <w:t>Training, validation, testing</w:t>
            </w:r>
          </w:p>
        </w:tc>
        <w:tc>
          <w:tcPr>
            <w:tcW w:type="dxa" w:w="7632"/>
          </w:tcPr>
          <w:p>
            <w:r>
              <w:rPr>
                <w:sz w:val="18"/>
              </w:rPr>
              <w:t>Rules and thresholds are tuned on one part of the simulated data and tested on another.</w:t>
            </w:r>
          </w:p>
        </w:tc>
      </w:tr>
      <w:tr>
        <w:tc>
          <w:tcPr>
            <w:tcW w:type="dxa" w:w="2592"/>
          </w:tcPr>
          <w:p>
            <w:r>
              <w:rPr>
                <w:sz w:val="18"/>
              </w:rPr>
              <w:t>Alternative data plan</w:t>
            </w:r>
          </w:p>
        </w:tc>
        <w:tc>
          <w:tcPr>
            <w:tcW w:type="dxa" w:w="7632"/>
          </w:tcPr>
          <w:p>
            <w:r>
              <w:rPr>
                <w:sz w:val="18"/>
              </w:rPr>
              <w:t>The simulated child immunization dataset is the documented fallback.</w:t>
            </w:r>
          </w:p>
        </w:tc>
      </w:tr>
    </w:tbl>
    <w:p>
      <w:pPr>
        <w:spacing w:after="40"/>
      </w:pPr>
    </w:p>
    <w:p>
      <w:pPr>
        <w:spacing w:after="120"/>
        <w:jc w:val="both"/>
      </w:pPr>
      <w:r>
        <w:t>Dataset finding. Feasible with the simulated-data plan. Real records would strengthen the study but require written permission and a stricter ethics route.</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5. Algorithm or Model Feasibility</w:t>
            </w:r>
          </w:p>
        </w:tc>
      </w:tr>
    </w:tbl>
    <w:p>
      <w:pPr>
        <w:spacing w:after="40"/>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shd w:val="clear" w:color="auto" w:fill="EDEDED"/>
          </w:tcPr>
          <w:p>
            <w:r>
              <w:rPr>
                <w:b/>
                <w:sz w:val="18"/>
              </w:rPr>
              <w:t>Evaluation</w:t>
            </w:r>
          </w:p>
        </w:tc>
        <w:tc>
          <w:tcPr>
            <w:tcW w:type="dxa" w:w="2736"/>
            <w:shd w:val="clear" w:color="auto" w:fill="EDEDED"/>
          </w:tcPr>
          <w:p>
            <w:r>
              <w:rPr>
                <w:b/>
                <w:sz w:val="18"/>
              </w:rPr>
              <w:t>Approach 1</w:t>
            </w:r>
          </w:p>
        </w:tc>
        <w:tc>
          <w:tcPr>
            <w:tcW w:type="dxa" w:w="2736"/>
            <w:shd w:val="clear" w:color="auto" w:fill="EDEDED"/>
          </w:tcPr>
          <w:p>
            <w:r>
              <w:rPr>
                <w:b/>
                <w:sz w:val="18"/>
              </w:rPr>
              <w:t>Approach 2</w:t>
            </w:r>
          </w:p>
        </w:tc>
        <w:tc>
          <w:tcPr>
            <w:tcW w:type="dxa" w:w="2880"/>
            <w:shd w:val="clear" w:color="auto" w:fill="EDEDED"/>
          </w:tcPr>
          <w:p>
            <w:r>
              <w:rPr>
                <w:b/>
                <w:sz w:val="18"/>
              </w:rPr>
              <w:t>Approach 3</w:t>
            </w:r>
          </w:p>
        </w:tc>
      </w:tr>
      <w:tr>
        <w:tc>
          <w:tcPr>
            <w:tcW w:type="dxa" w:w="1872"/>
          </w:tcPr>
          <w:p>
            <w:r>
              <w:rPr>
                <w:sz w:val="18"/>
              </w:rPr>
              <w:t>Name</w:t>
            </w:r>
          </w:p>
        </w:tc>
        <w:tc>
          <w:tcPr>
            <w:tcW w:type="dxa" w:w="2736"/>
          </w:tcPr>
          <w:p>
            <w:r>
              <w:rPr>
                <w:sz w:val="18"/>
              </w:rPr>
              <w:t>Rule based validation</w:t>
            </w:r>
          </w:p>
        </w:tc>
        <w:tc>
          <w:tcPr>
            <w:tcW w:type="dxa" w:w="2736"/>
          </w:tcPr>
          <w:p>
            <w:r>
              <w:rPr>
                <w:sz w:val="18"/>
              </w:rPr>
              <w:t>Fuzzy duplicate matching</w:t>
            </w:r>
          </w:p>
        </w:tc>
        <w:tc>
          <w:tcPr>
            <w:tcW w:type="dxa" w:w="2880"/>
          </w:tcPr>
          <w:p>
            <w:r>
              <w:rPr>
                <w:sz w:val="18"/>
              </w:rPr>
              <w:t>Weighted data quality scoring</w:t>
            </w:r>
          </w:p>
        </w:tc>
      </w:tr>
      <w:tr>
        <w:tc>
          <w:tcPr>
            <w:tcW w:type="dxa" w:w="1872"/>
          </w:tcPr>
          <w:p>
            <w:r>
              <w:rPr>
                <w:sz w:val="18"/>
              </w:rPr>
              <w:t>Purpose</w:t>
            </w:r>
          </w:p>
        </w:tc>
        <w:tc>
          <w:tcPr>
            <w:tcW w:type="dxa" w:w="2736"/>
          </w:tcPr>
          <w:p>
            <w:r>
              <w:rPr>
                <w:sz w:val="18"/>
              </w:rPr>
              <w:t>Detect missing, invalid, and inconsistent immunization fields</w:t>
            </w:r>
          </w:p>
        </w:tc>
        <w:tc>
          <w:tcPr>
            <w:tcW w:type="dxa" w:w="2736"/>
          </w:tcPr>
          <w:p>
            <w:r>
              <w:rPr>
                <w:sz w:val="18"/>
              </w:rPr>
              <w:t>Flag records that may refer to the same child</w:t>
            </w:r>
          </w:p>
        </w:tc>
        <w:tc>
          <w:tcPr>
            <w:tcW w:type="dxa" w:w="2880"/>
          </w:tcPr>
          <w:p>
            <w:r>
              <w:rPr>
                <w:sz w:val="18"/>
              </w:rPr>
              <w:t>Summarize the quality of each record and dataset</w:t>
            </w:r>
          </w:p>
        </w:tc>
      </w:tr>
      <w:tr>
        <w:tc>
          <w:tcPr>
            <w:tcW w:type="dxa" w:w="1872"/>
          </w:tcPr>
          <w:p>
            <w:r>
              <w:rPr>
                <w:sz w:val="18"/>
              </w:rPr>
              <w:t>Method</w:t>
            </w:r>
          </w:p>
        </w:tc>
        <w:tc>
          <w:tcPr>
            <w:tcW w:type="dxa" w:w="2736"/>
          </w:tcPr>
          <w:p>
            <w:r>
              <w:rPr>
                <w:sz w:val="18"/>
              </w:rPr>
              <w:t>Required field, date sequence, age range, and format rules</w:t>
            </w:r>
          </w:p>
        </w:tc>
        <w:tc>
          <w:tcPr>
            <w:tcW w:type="dxa" w:w="2736"/>
          </w:tcPr>
          <w:p>
            <w:r>
              <w:rPr>
                <w:sz w:val="18"/>
              </w:rPr>
              <w:t>Jaro Winkler or Levenshtein similarity using approved de identified or simulated child attributes</w:t>
            </w:r>
          </w:p>
        </w:tc>
        <w:tc>
          <w:tcPr>
            <w:tcW w:type="dxa" w:w="2880"/>
          </w:tcPr>
          <w:p>
            <w:r>
              <w:rPr>
                <w:sz w:val="18"/>
              </w:rPr>
              <w:t>Configured weights and documented thresholds based on validation results</w:t>
            </w:r>
          </w:p>
        </w:tc>
      </w:tr>
      <w:tr>
        <w:tc>
          <w:tcPr>
            <w:tcW w:type="dxa" w:w="1872"/>
          </w:tcPr>
          <w:p>
            <w:r>
              <w:rPr>
                <w:sz w:val="18"/>
              </w:rPr>
              <w:t>Data needs</w:t>
            </w:r>
          </w:p>
        </w:tc>
        <w:tc>
          <w:tcPr>
            <w:tcW w:type="dxa" w:w="2736"/>
          </w:tcPr>
          <w:p>
            <w:r>
              <w:rPr>
                <w:sz w:val="18"/>
              </w:rPr>
              <w:t>Fields such as coded child ID, date of birth, sex, vaccine dose dates, and validation rules</w:t>
            </w:r>
          </w:p>
        </w:tc>
        <w:tc>
          <w:tcPr>
            <w:tcW w:type="dxa" w:w="2736"/>
          </w:tcPr>
          <w:p>
            <w:r>
              <w:rPr>
                <w:sz w:val="18"/>
              </w:rPr>
              <w:t>At least two comparable approved fields, such as simulated name tokens, birth date, sex, and guardian token</w:t>
            </w:r>
          </w:p>
        </w:tc>
        <w:tc>
          <w:tcPr>
            <w:tcW w:type="dxa" w:w="2880"/>
          </w:tcPr>
          <w:p>
            <w:r>
              <w:rPr>
                <w:sz w:val="18"/>
              </w:rPr>
              <w:t>Validation and duplicate matching results</w:t>
            </w:r>
          </w:p>
        </w:tc>
      </w:tr>
      <w:tr>
        <w:tc>
          <w:tcPr>
            <w:tcW w:type="dxa" w:w="1872"/>
          </w:tcPr>
          <w:p>
            <w:r>
              <w:rPr>
                <w:sz w:val="18"/>
              </w:rPr>
              <w:t>Output</w:t>
            </w:r>
          </w:p>
        </w:tc>
        <w:tc>
          <w:tcPr>
            <w:tcW w:type="dxa" w:w="2736"/>
          </w:tcPr>
          <w:p>
            <w:r>
              <w:rPr>
                <w:sz w:val="18"/>
              </w:rPr>
              <w:t>Error type and corrective recommendation</w:t>
            </w:r>
          </w:p>
        </w:tc>
        <w:tc>
          <w:tcPr>
            <w:tcW w:type="dxa" w:w="2736"/>
          </w:tcPr>
          <w:p>
            <w:r>
              <w:rPr>
                <w:sz w:val="18"/>
              </w:rPr>
              <w:t>Possible duplicate flag with similarity reason for human review</w:t>
            </w:r>
          </w:p>
        </w:tc>
        <w:tc>
          <w:tcPr>
            <w:tcW w:type="dxa" w:w="2880"/>
          </w:tcPr>
          <w:p>
            <w:r>
              <w:rPr>
                <w:sz w:val="18"/>
              </w:rPr>
              <w:t>Record and dataset Data Quality Scores</w:t>
            </w:r>
          </w:p>
        </w:tc>
      </w:tr>
      <w:tr>
        <w:tc>
          <w:tcPr>
            <w:tcW w:type="dxa" w:w="1872"/>
          </w:tcPr>
          <w:p>
            <w:r>
              <w:rPr>
                <w:sz w:val="18"/>
              </w:rPr>
              <w:t>Evaluation</w:t>
            </w:r>
          </w:p>
        </w:tc>
        <w:tc>
          <w:tcPr>
            <w:tcW w:type="dxa" w:w="2736"/>
          </w:tcPr>
          <w:p>
            <w:r>
              <w:rPr>
                <w:sz w:val="18"/>
              </w:rPr>
              <w:t>Percentage of correctly detected test errors</w:t>
            </w:r>
          </w:p>
        </w:tc>
        <w:tc>
          <w:tcPr>
            <w:tcW w:type="dxa" w:w="2736"/>
          </w:tcPr>
          <w:p>
            <w:r>
              <w:rPr>
                <w:sz w:val="18"/>
              </w:rPr>
              <w:t>Precision, recall, and F1 score on labelled simulated duplicate pairs</w:t>
            </w:r>
          </w:p>
        </w:tc>
        <w:tc>
          <w:tcPr>
            <w:tcW w:type="dxa" w:w="2880"/>
          </w:tcPr>
          <w:p>
            <w:r>
              <w:rPr>
                <w:sz w:val="18"/>
              </w:rPr>
              <w:t>Clarity, consistency, and usefulness of score categories</w:t>
            </w:r>
          </w:p>
        </w:tc>
      </w:tr>
      <w:tr>
        <w:tc>
          <w:tcPr>
            <w:tcW w:type="dxa" w:w="1872"/>
          </w:tcPr>
          <w:p>
            <w:r>
              <w:rPr>
                <w:sz w:val="18"/>
              </w:rPr>
              <w:t>Limitations</w:t>
            </w:r>
          </w:p>
        </w:tc>
        <w:tc>
          <w:tcPr>
            <w:tcW w:type="dxa" w:w="2736"/>
          </w:tcPr>
          <w:p>
            <w:r>
              <w:rPr>
                <w:sz w:val="18"/>
              </w:rPr>
              <w:t>Rules must be reviewed by staff and follow the approved data dictionary</w:t>
            </w:r>
          </w:p>
        </w:tc>
        <w:tc>
          <w:tcPr>
            <w:tcW w:type="dxa" w:w="2736"/>
          </w:tcPr>
          <w:p>
            <w:r>
              <w:rPr>
                <w:sz w:val="18"/>
              </w:rPr>
              <w:t>A flag is not proof of a duplicate and must never trigger an automatic merge</w:t>
            </w:r>
          </w:p>
        </w:tc>
        <w:tc>
          <w:tcPr>
            <w:tcW w:type="dxa" w:w="2880"/>
          </w:tcPr>
          <w:p>
            <w:r>
              <w:rPr>
                <w:sz w:val="18"/>
              </w:rPr>
              <w:t>Scores guide review and do not establish vaccination status or clinical eligibility</w:t>
            </w:r>
          </w:p>
        </w:tc>
      </w:tr>
      <w:tr>
        <w:tc>
          <w:tcPr>
            <w:tcW w:type="dxa" w:w="1872"/>
          </w:tcPr>
          <w:p>
            <w:r>
              <w:rPr>
                <w:sz w:val="18"/>
              </w:rPr>
              <w:t>Recommendation</w:t>
            </w:r>
          </w:p>
        </w:tc>
        <w:tc>
          <w:tcPr>
            <w:tcW w:type="dxa" w:w="2736"/>
          </w:tcPr>
          <w:p>
            <w:r>
              <w:rPr>
                <w:sz w:val="18"/>
              </w:rPr>
              <w:t>Required core method</w:t>
            </w:r>
          </w:p>
        </w:tc>
        <w:tc>
          <w:tcPr>
            <w:tcW w:type="dxa" w:w="2736"/>
          </w:tcPr>
          <w:p>
            <w:r>
              <w:rPr>
                <w:sz w:val="18"/>
              </w:rPr>
              <w:t>Required with manual review</w:t>
            </w:r>
          </w:p>
        </w:tc>
        <w:tc>
          <w:tcPr>
            <w:tcW w:type="dxa" w:w="2880"/>
          </w:tcPr>
          <w:p>
            <w:r>
              <w:rPr>
                <w:sz w:val="18"/>
              </w:rPr>
              <w:t>Required reporting method</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6. Operational Feasibility</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2592"/>
            <w:shd w:val="clear" w:color="auto" w:fill="EDEDED"/>
          </w:tcPr>
          <w:p>
            <w:r>
              <w:rPr>
                <w:b/>
                <w:sz w:val="18"/>
              </w:rPr>
              <w:t>Area</w:t>
            </w:r>
          </w:p>
        </w:tc>
        <w:tc>
          <w:tcPr>
            <w:tcW w:type="dxa" w:w="7632"/>
            <w:shd w:val="clear" w:color="auto" w:fill="EDEDED"/>
          </w:tcPr>
          <w:p>
            <w:r>
              <w:rPr>
                <w:b/>
                <w:sz w:val="18"/>
              </w:rPr>
              <w:t>Assessment</w:t>
            </w:r>
          </w:p>
        </w:tc>
      </w:tr>
      <w:tr>
        <w:tc>
          <w:tcPr>
            <w:tcW w:type="dxa" w:w="2592"/>
          </w:tcPr>
          <w:p>
            <w:r>
              <w:rPr>
                <w:sz w:val="18"/>
              </w:rPr>
              <w:t>Users and stakeholders</w:t>
            </w:r>
          </w:p>
        </w:tc>
        <w:tc>
          <w:tcPr>
            <w:tcW w:type="dxa" w:w="7632"/>
          </w:tcPr>
          <w:p>
            <w:r>
              <w:rPr>
                <w:sz w:val="18"/>
              </w:rPr>
              <w:t>Barangay health workers, public health nurses, record staff, city health office immunization personnel, faculty, student developers, and evaluators.</w:t>
            </w:r>
          </w:p>
        </w:tc>
      </w:tr>
      <w:tr>
        <w:tc>
          <w:tcPr>
            <w:tcW w:type="dxa" w:w="2592"/>
          </w:tcPr>
          <w:p>
            <w:r>
              <w:rPr>
                <w:sz w:val="18"/>
              </w:rPr>
              <w:t>Environment and facilities</w:t>
            </w:r>
          </w:p>
        </w:tc>
        <w:tc>
          <w:tcPr>
            <w:tcW w:type="dxa" w:w="7632"/>
          </w:tcPr>
          <w:p>
            <w:r>
              <w:rPr>
                <w:sz w:val="18"/>
              </w:rPr>
              <w:t>A laptop or school workstation, a browser for the prototype, and secure local storage for a non identifiable child immunization test dataset.</w:t>
            </w:r>
          </w:p>
        </w:tc>
      </w:tr>
      <w:tr>
        <w:tc>
          <w:tcPr>
            <w:tcW w:type="dxa" w:w="2592"/>
          </w:tcPr>
          <w:p>
            <w:r>
              <w:rPr>
                <w:sz w:val="18"/>
              </w:rPr>
              <w:t>Benefits</w:t>
            </w:r>
          </w:p>
        </w:tc>
        <w:tc>
          <w:tcPr>
            <w:tcW w:type="dxa" w:w="7632"/>
          </w:tcPr>
          <w:p>
            <w:r>
              <w:rPr>
                <w:sz w:val="18"/>
              </w:rPr>
              <w:t>Earlier identification of incomplete or inconsistent child immunization entries, possible duplicate flags, and clearer prioritization of records for staff review.</w:t>
            </w:r>
          </w:p>
        </w:tc>
      </w:tr>
      <w:tr>
        <w:tc>
          <w:tcPr>
            <w:tcW w:type="dxa" w:w="2592"/>
          </w:tcPr>
          <w:p>
            <w:r>
              <w:rPr>
                <w:sz w:val="18"/>
              </w:rPr>
              <w:t>Training</w:t>
            </w:r>
          </w:p>
        </w:tc>
        <w:tc>
          <w:tcPr>
            <w:tcW w:type="dxa" w:w="7632"/>
          </w:tcPr>
          <w:p>
            <w:r>
              <w:rPr>
                <w:sz w:val="18"/>
              </w:rPr>
              <w:t>Short orientation on interpreting validation flags, similarity scores, and Data Quality Scores; health staff retain judgment over every correction.</w:t>
            </w:r>
          </w:p>
        </w:tc>
      </w:tr>
      <w:tr>
        <w:tc>
          <w:tcPr>
            <w:tcW w:type="dxa" w:w="2592"/>
          </w:tcPr>
          <w:p>
            <w:r>
              <w:rPr>
                <w:sz w:val="18"/>
              </w:rPr>
              <w:t>Workflow fit</w:t>
            </w:r>
          </w:p>
        </w:tc>
        <w:tc>
          <w:tcPr>
            <w:tcW w:type="dxa" w:w="7632"/>
          </w:tcPr>
          <w:p>
            <w:r>
              <w:rPr>
                <w:sz w:val="18"/>
              </w:rPr>
              <w:t>The prototype reviews a dataset export or simulated file and does not automatically alter the official immunization register or patient record system.</w:t>
            </w:r>
          </w:p>
        </w:tc>
      </w:tr>
      <w:tr>
        <w:tc>
          <w:tcPr>
            <w:tcW w:type="dxa" w:w="2592"/>
          </w:tcPr>
          <w:p>
            <w:r>
              <w:rPr>
                <w:sz w:val="18"/>
              </w:rPr>
              <w:t>Support</w:t>
            </w:r>
          </w:p>
        </w:tc>
        <w:tc>
          <w:tcPr>
            <w:tcW w:type="dxa" w:w="7632"/>
          </w:tcPr>
          <w:p>
            <w:r>
              <w:rPr>
                <w:sz w:val="18"/>
              </w:rPr>
              <w:t>The student team maintains the prototype during the study; future use requires health center approval and an assigned responsible staff member.</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7. Economic Feasibility</w:t>
            </w:r>
          </w:p>
        </w:tc>
      </w:tr>
    </w:tbl>
    <w:p>
      <w:pPr>
        <w:spacing w:after="40"/>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shd w:val="clear" w:color="auto" w:fill="EDEDED"/>
          </w:tcPr>
          <w:p>
            <w:r>
              <w:rPr>
                <w:b/>
                <w:sz w:val="18"/>
              </w:rPr>
              <w:t>Expense</w:t>
            </w:r>
          </w:p>
        </w:tc>
        <w:tc>
          <w:tcPr>
            <w:tcW w:type="dxa" w:w="1872"/>
            <w:shd w:val="clear" w:color="auto" w:fill="EDEDED"/>
          </w:tcPr>
          <w:p>
            <w:r>
              <w:rPr>
                <w:b/>
                <w:sz w:val="18"/>
              </w:rPr>
              <w:t>Estimated cost</w:t>
            </w:r>
          </w:p>
        </w:tc>
        <w:tc>
          <w:tcPr>
            <w:tcW w:type="dxa" w:w="3168"/>
            <w:shd w:val="clear" w:color="auto" w:fill="EDEDED"/>
          </w:tcPr>
          <w:p>
            <w:r>
              <w:rPr>
                <w:b/>
                <w:sz w:val="18"/>
              </w:rPr>
              <w:t>Purpose</w:t>
            </w:r>
          </w:p>
        </w:tc>
        <w:tc>
          <w:tcPr>
            <w:tcW w:type="dxa" w:w="2880"/>
            <w:shd w:val="clear" w:color="auto" w:fill="EDEDED"/>
          </w:tcPr>
          <w:p>
            <w:r>
              <w:rPr>
                <w:b/>
                <w:sz w:val="18"/>
              </w:rPr>
              <w:t>Alternative</w:t>
            </w:r>
          </w:p>
        </w:tc>
      </w:tr>
      <w:tr>
        <w:tc>
          <w:tcPr>
            <w:tcW w:type="dxa" w:w="2304"/>
          </w:tcPr>
          <w:p>
            <w:r>
              <w:rPr>
                <w:sz w:val="18"/>
              </w:rPr>
              <w:t>Software licenses</w:t>
            </w:r>
          </w:p>
        </w:tc>
        <w:tc>
          <w:tcPr>
            <w:tcW w:type="dxa" w:w="1872"/>
          </w:tcPr>
          <w:p>
            <w:r>
              <w:rPr>
                <w:sz w:val="18"/>
              </w:rPr>
              <w:t>PHP 0</w:t>
            </w:r>
          </w:p>
        </w:tc>
        <w:tc>
          <w:tcPr>
            <w:tcW w:type="dxa" w:w="3168"/>
          </w:tcPr>
          <w:p>
            <w:r>
              <w:rPr>
                <w:sz w:val="18"/>
              </w:rPr>
              <w:t>Python and open source libraries</w:t>
            </w:r>
          </w:p>
        </w:tc>
        <w:tc>
          <w:tcPr>
            <w:tcW w:type="dxa" w:w="2880"/>
          </w:tcPr>
          <w:p>
            <w:r>
              <w:rPr>
                <w:sz w:val="18"/>
              </w:rPr>
              <w:t>Use free open source tools</w:t>
            </w:r>
          </w:p>
        </w:tc>
      </w:tr>
      <w:tr>
        <w:tc>
          <w:tcPr>
            <w:tcW w:type="dxa" w:w="2304"/>
          </w:tcPr>
          <w:p>
            <w:r>
              <w:rPr>
                <w:sz w:val="18"/>
              </w:rPr>
              <w:t>Data storage</w:t>
            </w:r>
          </w:p>
        </w:tc>
        <w:tc>
          <w:tcPr>
            <w:tcW w:type="dxa" w:w="1872"/>
          </w:tcPr>
          <w:p>
            <w:r>
              <w:rPr>
                <w:sz w:val="18"/>
              </w:rPr>
              <w:t>PHP 0 to 500</w:t>
            </w:r>
          </w:p>
        </w:tc>
        <w:tc>
          <w:tcPr>
            <w:tcW w:type="dxa" w:w="3168"/>
          </w:tcPr>
          <w:p>
            <w:r>
              <w:rPr>
                <w:sz w:val="18"/>
              </w:rPr>
              <w:t>Encrypted local storage or approved drive</w:t>
            </w:r>
          </w:p>
        </w:tc>
        <w:tc>
          <w:tcPr>
            <w:tcW w:type="dxa" w:w="2880"/>
          </w:tcPr>
          <w:p>
            <w:r>
              <w:rPr>
                <w:sz w:val="18"/>
              </w:rPr>
              <w:t>Use password protected school storage if permitted</w:t>
            </w:r>
          </w:p>
        </w:tc>
      </w:tr>
      <w:tr>
        <w:tc>
          <w:tcPr>
            <w:tcW w:type="dxa" w:w="2304"/>
          </w:tcPr>
          <w:p>
            <w:r>
              <w:rPr>
                <w:sz w:val="18"/>
              </w:rPr>
              <w:t>Hosting</w:t>
            </w:r>
          </w:p>
        </w:tc>
        <w:tc>
          <w:tcPr>
            <w:tcW w:type="dxa" w:w="1872"/>
          </w:tcPr>
          <w:p>
            <w:r>
              <w:rPr>
                <w:sz w:val="18"/>
              </w:rPr>
              <w:t>PHP 0 to 500</w:t>
            </w:r>
          </w:p>
        </w:tc>
        <w:tc>
          <w:tcPr>
            <w:tcW w:type="dxa" w:w="3168"/>
          </w:tcPr>
          <w:p>
            <w:r>
              <w:rPr>
                <w:sz w:val="18"/>
              </w:rPr>
              <w:t>Optional Streamlit demonstration</w:t>
            </w:r>
          </w:p>
        </w:tc>
        <w:tc>
          <w:tcPr>
            <w:tcW w:type="dxa" w:w="2880"/>
          </w:tcPr>
          <w:p>
            <w:r>
              <w:rPr>
                <w:sz w:val="18"/>
              </w:rPr>
              <w:t>Run locally during defense</w:t>
            </w:r>
          </w:p>
        </w:tc>
      </w:tr>
      <w:tr>
        <w:tc>
          <w:tcPr>
            <w:tcW w:type="dxa" w:w="2304"/>
          </w:tcPr>
          <w:p>
            <w:r>
              <w:rPr>
                <w:sz w:val="18"/>
              </w:rPr>
              <w:t>Printing and documentation</w:t>
            </w:r>
          </w:p>
        </w:tc>
        <w:tc>
          <w:tcPr>
            <w:tcW w:type="dxa" w:w="1872"/>
          </w:tcPr>
          <w:p>
            <w:r>
              <w:rPr>
                <w:sz w:val="18"/>
              </w:rPr>
              <w:t>PHP 500 to 1,500</w:t>
            </w:r>
          </w:p>
        </w:tc>
        <w:tc>
          <w:tcPr>
            <w:tcW w:type="dxa" w:w="3168"/>
          </w:tcPr>
          <w:p>
            <w:r>
              <w:rPr>
                <w:sz w:val="18"/>
              </w:rPr>
              <w:t>Letters, consent documents, and thesis printing</w:t>
            </w:r>
          </w:p>
        </w:tc>
        <w:tc>
          <w:tcPr>
            <w:tcW w:type="dxa" w:w="2880"/>
          </w:tcPr>
          <w:p>
            <w:r>
              <w:rPr>
                <w:sz w:val="18"/>
              </w:rPr>
              <w:t>Use digital documents where allowed</w:t>
            </w:r>
          </w:p>
        </w:tc>
      </w:tr>
      <w:tr>
        <w:tc>
          <w:tcPr>
            <w:tcW w:type="dxa" w:w="2304"/>
          </w:tcPr>
          <w:p>
            <w:r>
              <w:rPr>
                <w:sz w:val="18"/>
              </w:rPr>
              <w:t>Transportation</w:t>
            </w:r>
          </w:p>
        </w:tc>
        <w:tc>
          <w:tcPr>
            <w:tcW w:type="dxa" w:w="1872"/>
          </w:tcPr>
          <w:p>
            <w:r>
              <w:rPr>
                <w:sz w:val="18"/>
              </w:rPr>
              <w:t>PHP 500 to 2,000</w:t>
            </w:r>
          </w:p>
        </w:tc>
        <w:tc>
          <w:tcPr>
            <w:tcW w:type="dxa" w:w="3168"/>
          </w:tcPr>
          <w:p>
            <w:r>
              <w:rPr>
                <w:sz w:val="18"/>
              </w:rPr>
              <w:t>Visits to the approved health center</w:t>
            </w:r>
          </w:p>
        </w:tc>
        <w:tc>
          <w:tcPr>
            <w:tcW w:type="dxa" w:w="2880"/>
          </w:tcPr>
          <w:p>
            <w:r>
              <w:rPr>
                <w:sz w:val="18"/>
              </w:rPr>
              <w:t>Use online meetings where accepted</w:t>
            </w:r>
          </w:p>
        </w:tc>
      </w:tr>
      <w:tr>
        <w:tc>
          <w:tcPr>
            <w:tcW w:type="dxa" w:w="2304"/>
          </w:tcPr>
          <w:p>
            <w:r>
              <w:rPr>
                <w:sz w:val="18"/>
              </w:rPr>
              <w:t>Contingency</w:t>
            </w:r>
          </w:p>
        </w:tc>
        <w:tc>
          <w:tcPr>
            <w:tcW w:type="dxa" w:w="1872"/>
          </w:tcPr>
          <w:p>
            <w:r>
              <w:rPr>
                <w:sz w:val="18"/>
              </w:rPr>
              <w:t>PHP 500 to 1,000</w:t>
            </w:r>
          </w:p>
        </w:tc>
        <w:tc>
          <w:tcPr>
            <w:tcW w:type="dxa" w:w="3168"/>
          </w:tcPr>
          <w:p>
            <w:r>
              <w:rPr>
                <w:sz w:val="18"/>
              </w:rPr>
              <w:t>Minor testing and presentation costs</w:t>
            </w:r>
          </w:p>
        </w:tc>
        <w:tc>
          <w:tcPr>
            <w:tcW w:type="dxa" w:w="2880"/>
          </w:tcPr>
          <w:p>
            <w:r>
              <w:rPr>
                <w:sz w:val="18"/>
              </w:rPr>
              <w:t>Keep a small reserve</w:t>
            </w:r>
          </w:p>
        </w:tc>
      </w:tr>
      <w:tr>
        <w:tc>
          <w:tcPr>
            <w:tcW w:type="dxa" w:w="2304"/>
          </w:tcPr>
          <w:p>
            <w:r>
              <w:rPr>
                <w:sz w:val="18"/>
              </w:rPr>
              <w:t>Estimated total</w:t>
            </w:r>
          </w:p>
        </w:tc>
        <w:tc>
          <w:tcPr>
            <w:tcW w:type="dxa" w:w="1872"/>
          </w:tcPr>
          <w:p>
            <w:r>
              <w:rPr>
                <w:sz w:val="18"/>
              </w:rPr>
              <w:t>PHP 1,500 to 5,500</w:t>
            </w:r>
          </w:p>
        </w:tc>
        <w:tc>
          <w:tcPr>
            <w:tcW w:type="dxa" w:w="3168"/>
          </w:tcPr>
          <w:p>
            <w:r>
              <w:rPr>
                <w:sz w:val="18"/>
              </w:rPr>
              <w:t>Undergraduate prototype and documentation</w:t>
            </w:r>
          </w:p>
        </w:tc>
        <w:tc>
          <w:tcPr>
            <w:tcW w:type="dxa" w:w="2880"/>
          </w:tcPr>
          <w:p>
            <w:r>
              <w:rPr>
                <w:sz w:val="18"/>
              </w:rPr>
              <w:t>Remain feasible within a low budget</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8. Schedule Feasibility</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1872"/>
            <w:shd w:val="clear" w:color="auto" w:fill="EDEDED"/>
          </w:tcPr>
          <w:p>
            <w:r>
              <w:rPr>
                <w:b/>
                <w:sz w:val="18"/>
              </w:rPr>
              <w:t>Period</w:t>
            </w:r>
          </w:p>
        </w:tc>
        <w:tc>
          <w:tcPr>
            <w:tcW w:type="dxa" w:w="8352"/>
            <w:shd w:val="clear" w:color="auto" w:fill="EDEDED"/>
          </w:tcPr>
          <w:p>
            <w:r>
              <w:rPr>
                <w:b/>
                <w:sz w:val="18"/>
              </w:rPr>
              <w:t>Activities</w:t>
            </w:r>
          </w:p>
        </w:tc>
      </w:tr>
      <w:tr>
        <w:tc>
          <w:tcPr>
            <w:tcW w:type="dxa" w:w="1872"/>
          </w:tcPr>
          <w:p>
            <w:r>
              <w:rPr>
                <w:sz w:val="18"/>
              </w:rPr>
              <w:t>Weeks 1 to 2</w:t>
            </w:r>
          </w:p>
        </w:tc>
        <w:tc>
          <w:tcPr>
            <w:tcW w:type="dxa" w:w="8352"/>
          </w:tcPr>
          <w:p>
            <w:r>
              <w:rPr>
                <w:sz w:val="18"/>
              </w:rPr>
              <w:t>Confirm title, research site, data permission, ethics requirements, and literature review.</w:t>
            </w:r>
          </w:p>
        </w:tc>
      </w:tr>
      <w:tr>
        <w:tc>
          <w:tcPr>
            <w:tcW w:type="dxa" w:w="1872"/>
          </w:tcPr>
          <w:p>
            <w:r>
              <w:rPr>
                <w:sz w:val="18"/>
              </w:rPr>
              <w:t>Weeks 2 to 4</w:t>
            </w:r>
          </w:p>
        </w:tc>
        <w:tc>
          <w:tcPr>
            <w:tcW w:type="dxa" w:w="8352"/>
          </w:tcPr>
          <w:p>
            <w:r>
              <w:rPr>
                <w:sz w:val="18"/>
              </w:rPr>
              <w:t>Create a simulated or de identified child immunization dataset, data dictionary, validation rules, and duplicate-pair labels.</w:t>
            </w:r>
          </w:p>
        </w:tc>
      </w:tr>
      <w:tr>
        <w:tc>
          <w:tcPr>
            <w:tcW w:type="dxa" w:w="1872"/>
          </w:tcPr>
          <w:p>
            <w:r>
              <w:rPr>
                <w:sz w:val="18"/>
              </w:rPr>
              <w:t>Weeks 4 to 6</w:t>
            </w:r>
          </w:p>
        </w:tc>
        <w:tc>
          <w:tcPr>
            <w:tcW w:type="dxa" w:w="8352"/>
          </w:tcPr>
          <w:p>
            <w:r>
              <w:rPr>
                <w:sz w:val="18"/>
              </w:rPr>
              <w:t>Develop validation and fuzzy matching prototype; test data-error detection and possible duplicate flags.</w:t>
            </w:r>
          </w:p>
        </w:tc>
      </w:tr>
      <w:tr>
        <w:tc>
          <w:tcPr>
            <w:tcW w:type="dxa" w:w="1872"/>
          </w:tcPr>
          <w:p>
            <w:r>
              <w:rPr>
                <w:sz w:val="18"/>
              </w:rPr>
              <w:t>Weeks 6 to 8</w:t>
            </w:r>
          </w:p>
        </w:tc>
        <w:tc>
          <w:tcPr>
            <w:tcW w:type="dxa" w:w="8352"/>
          </w:tcPr>
          <w:p>
            <w:r>
              <w:rPr>
                <w:sz w:val="18"/>
              </w:rPr>
              <w:t>Build the Data Quality Score report or dashboard; conduct usability feedback with authorized health workers if approved.</w:t>
            </w:r>
          </w:p>
        </w:tc>
      </w:tr>
      <w:tr>
        <w:tc>
          <w:tcPr>
            <w:tcW w:type="dxa" w:w="1872"/>
          </w:tcPr>
          <w:p>
            <w:r>
              <w:rPr>
                <w:sz w:val="18"/>
              </w:rPr>
              <w:t>Weeks 8 to 10</w:t>
            </w:r>
          </w:p>
        </w:tc>
        <w:tc>
          <w:tcPr>
            <w:tcW w:type="dxa" w:w="8352"/>
          </w:tcPr>
          <w:p>
            <w:r>
              <w:rPr>
                <w:sz w:val="18"/>
              </w:rPr>
              <w:t>Analyze results, revise the prototype, document limitations, and prepare thesis chapters.</w:t>
            </w:r>
          </w:p>
        </w:tc>
      </w:tr>
      <w:tr>
        <w:tc>
          <w:tcPr>
            <w:tcW w:type="dxa" w:w="1872"/>
          </w:tcPr>
          <w:p>
            <w:r>
              <w:rPr>
                <w:sz w:val="18"/>
              </w:rPr>
              <w:t>Weeks 10 to 12</w:t>
            </w:r>
          </w:p>
        </w:tc>
        <w:tc>
          <w:tcPr>
            <w:tcW w:type="dxa" w:w="8352"/>
          </w:tcPr>
          <w:p>
            <w:r>
              <w:rPr>
                <w:sz w:val="18"/>
              </w:rPr>
              <w:t>Finalize testing, defense materials, source citations, and recommendations.</w:t>
            </w:r>
          </w:p>
        </w:tc>
      </w:tr>
    </w:tbl>
    <w:p>
      <w:pPr>
        <w:spacing w:after="40"/>
      </w:pPr>
    </w:p>
    <w:p>
      <w:pPr>
        <w:spacing w:after="120"/>
        <w:jc w:val="both"/>
      </w:pPr>
      <w:r>
        <w:t>Possible delays. Permission processing, staff availability, privacy review, and refinement of child immunization validation rules may delay the study. Manage them by using a simulated-data fallback, preparing an early prototype, keeping the questionnaire short, and avoiding features that require access to identifiable records.</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9. Legal and Ethical Feasibility</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2592"/>
            <w:shd w:val="clear" w:color="auto" w:fill="EDEDED"/>
          </w:tcPr>
          <w:p>
            <w:r>
              <w:rPr>
                <w:b/>
                <w:sz w:val="18"/>
              </w:rPr>
              <w:t>Topic</w:t>
            </w:r>
          </w:p>
        </w:tc>
        <w:tc>
          <w:tcPr>
            <w:tcW w:type="dxa" w:w="7632"/>
            <w:shd w:val="clear" w:color="auto" w:fill="EDEDED"/>
          </w:tcPr>
          <w:p>
            <w:r>
              <w:rPr>
                <w:b/>
                <w:sz w:val="18"/>
              </w:rPr>
              <w:t>Assessment</w:t>
            </w:r>
          </w:p>
        </w:tc>
      </w:tr>
      <w:tr>
        <w:tc>
          <w:tcPr>
            <w:tcW w:type="dxa" w:w="2592"/>
          </w:tcPr>
          <w:p>
            <w:r>
              <w:rPr>
                <w:sz w:val="18"/>
              </w:rPr>
              <w:t>Privacy and consent</w:t>
            </w:r>
          </w:p>
        </w:tc>
        <w:tc>
          <w:tcPr>
            <w:tcW w:type="dxa" w:w="7632"/>
          </w:tcPr>
          <w:p>
            <w:r>
              <w:rPr>
                <w:sz w:val="18"/>
              </w:rPr>
              <w:t>Use only simulated or de identified child immunization data. Obtain written site permission before observing workflows or asking staff to answer surveys.</w:t>
            </w:r>
          </w:p>
        </w:tc>
      </w:tr>
      <w:tr>
        <w:tc>
          <w:tcPr>
            <w:tcW w:type="dxa" w:w="2592"/>
          </w:tcPr>
          <w:p>
            <w:r>
              <w:rPr>
                <w:sz w:val="18"/>
              </w:rPr>
              <w:t>Data Privacy Act</w:t>
            </w:r>
          </w:p>
        </w:tc>
        <w:tc>
          <w:tcPr>
            <w:tcW w:type="dxa" w:w="7632"/>
          </w:tcPr>
          <w:p>
            <w:r>
              <w:rPr>
                <w:sz w:val="18"/>
              </w:rPr>
              <w:t>Treat Republic Act No. 10173 and its IRR as RRL legal sources. The prototype must use purpose limitation, restricted access, and appropriate safeguards.</w:t>
            </w:r>
          </w:p>
        </w:tc>
      </w:tr>
      <w:tr>
        <w:tc>
          <w:tcPr>
            <w:tcW w:type="dxa" w:w="2592"/>
          </w:tcPr>
          <w:p>
            <w:r>
              <w:rPr>
                <w:sz w:val="18"/>
              </w:rPr>
              <w:t>Ethics review</w:t>
            </w:r>
          </w:p>
        </w:tc>
        <w:tc>
          <w:tcPr>
            <w:tcW w:type="dxa" w:w="7632"/>
          </w:tcPr>
          <w:p>
            <w:r>
              <w:rPr>
                <w:sz w:val="18"/>
              </w:rPr>
              <w:t>Confirm school requirements before any staff survey, interview, observation, or data access. The project must remain minimal risk.</w:t>
            </w:r>
          </w:p>
        </w:tc>
      </w:tr>
      <w:tr>
        <w:tc>
          <w:tcPr>
            <w:tcW w:type="dxa" w:w="2592"/>
          </w:tcPr>
          <w:p>
            <w:r>
              <w:rPr>
                <w:sz w:val="18"/>
              </w:rPr>
              <w:t>Ownership and access</w:t>
            </w:r>
          </w:p>
        </w:tc>
        <w:tc>
          <w:tcPr>
            <w:tcW w:type="dxa" w:w="7632"/>
          </w:tcPr>
          <w:p>
            <w:r>
              <w:rPr>
                <w:sz w:val="18"/>
              </w:rPr>
              <w:t>Official health center records remain under the health center control. The student team may not copy, redistribute, or publish patient data.</w:t>
            </w:r>
          </w:p>
        </w:tc>
      </w:tr>
      <w:tr>
        <w:tc>
          <w:tcPr>
            <w:tcW w:type="dxa" w:w="2592"/>
          </w:tcPr>
          <w:p>
            <w:r>
              <w:rPr>
                <w:sz w:val="18"/>
              </w:rPr>
              <w:t>Automated decisions</w:t>
            </w:r>
          </w:p>
        </w:tc>
        <w:tc>
          <w:tcPr>
            <w:tcW w:type="dxa" w:w="7632"/>
          </w:tcPr>
          <w:p>
            <w:r>
              <w:rPr>
                <w:sz w:val="18"/>
              </w:rPr>
              <w:t>The tool only flags possible data problems. It does not determine vaccination status, treatment, eligibility, or any other decision affecting a child.</w:t>
            </w:r>
          </w:p>
        </w:tc>
      </w:tr>
      <w:tr>
        <w:tc>
          <w:tcPr>
            <w:tcW w:type="dxa" w:w="2592"/>
          </w:tcPr>
          <w:p>
            <w:r>
              <w:rPr>
                <w:sz w:val="18"/>
              </w:rPr>
              <w:t>Documentation</w:t>
            </w:r>
          </w:p>
        </w:tc>
        <w:tc>
          <w:tcPr>
            <w:tcW w:type="dxa" w:w="7632"/>
          </w:tcPr>
          <w:p>
            <w:r>
              <w:rPr>
                <w:sz w:val="18"/>
              </w:rPr>
              <w:t>Keep a child immunization data dictionary, rule list, consent or permission records, and summary results without identifiers.</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10. Risk Assessment and Feasibility Conclusion</w:t>
            </w:r>
          </w:p>
        </w:tc>
      </w:tr>
    </w:tbl>
    <w:p>
      <w:pPr>
        <w:spacing w:after="40"/>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168"/>
            <w:shd w:val="clear" w:color="auto" w:fill="EDEDED"/>
          </w:tcPr>
          <w:p>
            <w:r>
              <w:rPr>
                <w:b/>
                <w:sz w:val="18"/>
              </w:rPr>
              <w:t>Risk</w:t>
            </w:r>
          </w:p>
        </w:tc>
        <w:tc>
          <w:tcPr>
            <w:tcW w:type="dxa" w:w="1296"/>
            <w:shd w:val="clear" w:color="auto" w:fill="EDEDED"/>
          </w:tcPr>
          <w:p>
            <w:r>
              <w:rPr>
                <w:b/>
                <w:sz w:val="18"/>
              </w:rPr>
              <w:t>Likelihood</w:t>
            </w:r>
          </w:p>
        </w:tc>
        <w:tc>
          <w:tcPr>
            <w:tcW w:type="dxa" w:w="1152"/>
            <w:shd w:val="clear" w:color="auto" w:fill="EDEDED"/>
          </w:tcPr>
          <w:p>
            <w:r>
              <w:rPr>
                <w:b/>
                <w:sz w:val="18"/>
              </w:rPr>
              <w:t>Impact</w:t>
            </w:r>
          </w:p>
        </w:tc>
        <w:tc>
          <w:tcPr>
            <w:tcW w:type="dxa" w:w="4608"/>
            <w:shd w:val="clear" w:color="auto" w:fill="EDEDED"/>
          </w:tcPr>
          <w:p>
            <w:r>
              <w:rPr>
                <w:b/>
                <w:sz w:val="18"/>
              </w:rPr>
              <w:t>Mitigation</w:t>
            </w:r>
          </w:p>
        </w:tc>
      </w:tr>
      <w:tr>
        <w:tc>
          <w:tcPr>
            <w:tcW w:type="dxa" w:w="3168"/>
          </w:tcPr>
          <w:p>
            <w:r>
              <w:rPr>
                <w:sz w:val="18"/>
              </w:rPr>
              <w:t>Permission for real data is not granted</w:t>
            </w:r>
          </w:p>
        </w:tc>
        <w:tc>
          <w:tcPr>
            <w:tcW w:type="dxa" w:w="1296"/>
          </w:tcPr>
          <w:p>
            <w:r>
              <w:rPr>
                <w:sz w:val="18"/>
              </w:rPr>
              <w:t>Medium</w:t>
            </w:r>
          </w:p>
        </w:tc>
        <w:tc>
          <w:tcPr>
            <w:tcW w:type="dxa" w:w="1152"/>
          </w:tcPr>
          <w:p>
            <w:r>
              <w:rPr>
                <w:sz w:val="18"/>
              </w:rPr>
              <w:t>Medium</w:t>
            </w:r>
          </w:p>
        </w:tc>
        <w:tc>
          <w:tcPr>
            <w:tcW w:type="dxa" w:w="4608"/>
          </w:tcPr>
          <w:p>
            <w:r>
              <w:rPr>
                <w:sz w:val="18"/>
              </w:rPr>
              <w:t>Use a realistic simulated child immunization dataset and focus on the prototype and workflow assessment.</w:t>
            </w:r>
          </w:p>
        </w:tc>
      </w:tr>
      <w:tr>
        <w:tc>
          <w:tcPr>
            <w:tcW w:type="dxa" w:w="3168"/>
          </w:tcPr>
          <w:p>
            <w:r>
              <w:rPr>
                <w:sz w:val="18"/>
              </w:rPr>
              <w:t>Privacy risk from accidental identifiers</w:t>
            </w:r>
          </w:p>
        </w:tc>
        <w:tc>
          <w:tcPr>
            <w:tcW w:type="dxa" w:w="1296"/>
          </w:tcPr>
          <w:p>
            <w:r>
              <w:rPr>
                <w:sz w:val="18"/>
              </w:rPr>
              <w:t>Low</w:t>
            </w:r>
          </w:p>
        </w:tc>
        <w:tc>
          <w:tcPr>
            <w:tcW w:type="dxa" w:w="1152"/>
          </w:tcPr>
          <w:p>
            <w:r>
              <w:rPr>
                <w:sz w:val="18"/>
              </w:rPr>
              <w:t>High</w:t>
            </w:r>
          </w:p>
        </w:tc>
        <w:tc>
          <w:tcPr>
            <w:tcW w:type="dxa" w:w="4608"/>
          </w:tcPr>
          <w:p>
            <w:r>
              <w:rPr>
                <w:sz w:val="18"/>
              </w:rPr>
              <w:t>Use a strict de identification checklist; do not collect free text, screenshots, or direct child or guardian identifiers.</w:t>
            </w:r>
          </w:p>
        </w:tc>
      </w:tr>
      <w:tr>
        <w:tc>
          <w:tcPr>
            <w:tcW w:type="dxa" w:w="3168"/>
          </w:tcPr>
          <w:p>
            <w:r>
              <w:rPr>
                <w:sz w:val="18"/>
              </w:rPr>
              <w:t>Rules do not match the immunization workflow</w:t>
            </w:r>
          </w:p>
        </w:tc>
        <w:tc>
          <w:tcPr>
            <w:tcW w:type="dxa" w:w="1296"/>
          </w:tcPr>
          <w:p>
            <w:r>
              <w:rPr>
                <w:sz w:val="18"/>
              </w:rPr>
              <w:t>Medium</w:t>
            </w:r>
          </w:p>
        </w:tc>
        <w:tc>
          <w:tcPr>
            <w:tcW w:type="dxa" w:w="1152"/>
          </w:tcPr>
          <w:p>
            <w:r>
              <w:rPr>
                <w:sz w:val="18"/>
              </w:rPr>
              <w:t>Medium</w:t>
            </w:r>
          </w:p>
        </w:tc>
        <w:tc>
          <w:tcPr>
            <w:tcW w:type="dxa" w:w="4608"/>
          </w:tcPr>
          <w:p>
            <w:r>
              <w:rPr>
                <w:sz w:val="18"/>
              </w:rPr>
              <w:t>Review validation rules with authorized health workers and document approved changes.</w:t>
            </w:r>
          </w:p>
        </w:tc>
      </w:tr>
      <w:tr>
        <w:tc>
          <w:tcPr>
            <w:tcW w:type="dxa" w:w="3168"/>
          </w:tcPr>
          <w:p>
            <w:r>
              <w:rPr>
                <w:sz w:val="18"/>
              </w:rPr>
              <w:t>Too many duplicate flags</w:t>
            </w:r>
          </w:p>
        </w:tc>
        <w:tc>
          <w:tcPr>
            <w:tcW w:type="dxa" w:w="1296"/>
          </w:tcPr>
          <w:p>
            <w:r>
              <w:rPr>
                <w:sz w:val="18"/>
              </w:rPr>
              <w:t>Medium</w:t>
            </w:r>
          </w:p>
        </w:tc>
        <w:tc>
          <w:tcPr>
            <w:tcW w:type="dxa" w:w="1152"/>
          </w:tcPr>
          <w:p>
            <w:r>
              <w:rPr>
                <w:sz w:val="18"/>
              </w:rPr>
              <w:t>Medium</w:t>
            </w:r>
          </w:p>
        </w:tc>
        <w:tc>
          <w:tcPr>
            <w:tcW w:type="dxa" w:w="4608"/>
          </w:tcPr>
          <w:p>
            <w:r>
              <w:rPr>
                <w:sz w:val="18"/>
              </w:rPr>
              <w:t>Use conservative thresholds and require human review before identifying a true duplicate.</w:t>
            </w:r>
          </w:p>
        </w:tc>
      </w:tr>
      <w:tr>
        <w:tc>
          <w:tcPr>
            <w:tcW w:type="dxa" w:w="3168"/>
          </w:tcPr>
          <w:p>
            <w:r>
              <w:rPr>
                <w:sz w:val="18"/>
              </w:rPr>
              <w:t>Limited staff availability</w:t>
            </w:r>
          </w:p>
        </w:tc>
        <w:tc>
          <w:tcPr>
            <w:tcW w:type="dxa" w:w="1296"/>
          </w:tcPr>
          <w:p>
            <w:r>
              <w:rPr>
                <w:sz w:val="18"/>
              </w:rPr>
              <w:t>Medium</w:t>
            </w:r>
          </w:p>
        </w:tc>
        <w:tc>
          <w:tcPr>
            <w:tcW w:type="dxa" w:w="1152"/>
          </w:tcPr>
          <w:p>
            <w:r>
              <w:rPr>
                <w:sz w:val="18"/>
              </w:rPr>
              <w:t>Medium</w:t>
            </w:r>
          </w:p>
        </w:tc>
        <w:tc>
          <w:tcPr>
            <w:tcW w:type="dxa" w:w="4608"/>
          </w:tcPr>
          <w:p>
            <w:r>
              <w:rPr>
                <w:sz w:val="18"/>
              </w:rPr>
              <w:t>Use a short questionnaire and schedule one focused review session.</w:t>
            </w:r>
          </w:p>
        </w:tc>
      </w:tr>
      <w:tr>
        <w:tc>
          <w:tcPr>
            <w:tcW w:type="dxa" w:w="3168"/>
          </w:tcPr>
          <w:p>
            <w:r>
              <w:rPr>
                <w:sz w:val="18"/>
              </w:rPr>
              <w:t>Prototype scope becomes too large</w:t>
            </w:r>
          </w:p>
        </w:tc>
        <w:tc>
          <w:tcPr>
            <w:tcW w:type="dxa" w:w="1296"/>
          </w:tcPr>
          <w:p>
            <w:r>
              <w:rPr>
                <w:sz w:val="18"/>
              </w:rPr>
              <w:t>Medium</w:t>
            </w:r>
          </w:p>
        </w:tc>
        <w:tc>
          <w:tcPr>
            <w:tcW w:type="dxa" w:w="1152"/>
          </w:tcPr>
          <w:p>
            <w:r>
              <w:rPr>
                <w:sz w:val="18"/>
              </w:rPr>
              <w:t>Medium</w:t>
            </w:r>
          </w:p>
        </w:tc>
        <w:tc>
          <w:tcPr>
            <w:tcW w:type="dxa" w:w="4608"/>
          </w:tcPr>
          <w:p>
            <w:r>
              <w:rPr>
                <w:sz w:val="18"/>
              </w:rPr>
              <w:t>Keep the first version to validation, fuzzy matching, Data Quality Scoring, and a simple report.</w:t>
            </w:r>
          </w:p>
        </w:tc>
      </w:tr>
    </w:tbl>
    <w:p>
      <w:pPr>
        <w:spacing w:after="40"/>
      </w:pPr>
    </w:p>
    <w:p>
      <w:pPr>
        <w:spacing w:after="120"/>
        <w:jc w:val="both"/>
      </w:pPr>
      <w:r>
        <w:t>Conclusion for this title: FEASIBLE WITH MODIFICATIONS.</w:t>
      </w:r>
    </w:p>
    <w:p>
      <w:pPr>
        <w:spacing w:after="120"/>
        <w:jc w:val="both"/>
      </w:pPr>
      <w:r>
        <w:t>Supporting findings. The Python tools, skills, hardware, and budget are manageable. The study may proceed after the team confirms written approval for any real workflow assessment or adopts the documented simulated-data fallback. The prototype must remain an explainable, nonclinical data quality and possible-duplicate assessment tool.</w:t>
      </w:r>
    </w:p>
    <w:p>
      <w:pPr>
        <w:keepNext/>
        <w:spacing w:before="160" w:after="80"/>
      </w:pPr>
      <w:r>
        <w:rPr>
          <w:b/>
          <w:sz w:val="22"/>
        </w:rPr>
        <w:t>Provisional Feasibility Score for This Title</w:t>
      </w:r>
    </w:p>
    <w:p>
      <w:pPr>
        <w:spacing w:after="120"/>
        <w:jc w:val="both"/>
      </w:pPr>
      <w:r>
        <w:t xml:space="preserve">Scores use the activity's 1 to 5 scale, where 5 is highly feasible. The group's ranking across all six titles is carried in the final comparison table. </w:t>
      </w:r>
      <w:r>
        <w:rPr>
          <w:highlight w:val="yellow"/>
        </w:rPr>
        <w:t>[These scores were assigned by Dawn from the write-up; the Title 4 authors should confirm them.]</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val="clear" w:color="auto" w:fill="EDEDED"/>
          </w:tcPr>
          <w:p>
            <w:r>
              <w:rPr>
                <w:b/>
                <w:sz w:val="18"/>
              </w:rPr>
              <w:t>Criterion</w:t>
            </w:r>
          </w:p>
        </w:tc>
        <w:tc>
          <w:tcPr>
            <w:tcW w:type="dxa" w:w="864"/>
            <w:shd w:val="clear" w:color="auto" w:fill="EDEDED"/>
          </w:tcPr>
          <w:p>
            <w:r>
              <w:rPr>
                <w:b/>
                <w:sz w:val="18"/>
              </w:rPr>
              <w:t>Score</w:t>
            </w:r>
          </w:p>
        </w:tc>
        <w:tc>
          <w:tcPr>
            <w:tcW w:type="dxa" w:w="6192"/>
            <w:shd w:val="clear" w:color="auto" w:fill="EDEDED"/>
          </w:tcPr>
          <w:p>
            <w:r>
              <w:rPr>
                <w:b/>
                <w:sz w:val="18"/>
              </w:rPr>
              <w:t>Basis</w:t>
            </w:r>
          </w:p>
        </w:tc>
      </w:tr>
      <w:tr>
        <w:tc>
          <w:tcPr>
            <w:tcW w:type="dxa" w:w="3168"/>
          </w:tcPr>
          <w:p>
            <w:r>
              <w:rPr>
                <w:sz w:val="18"/>
              </w:rPr>
              <w:t>Technical and technology feasibility</w:t>
            </w:r>
          </w:p>
        </w:tc>
        <w:tc>
          <w:tcPr>
            <w:tcW w:type="dxa" w:w="864"/>
          </w:tcPr>
          <w:p>
            <w:r>
              <w:rPr>
                <w:sz w:val="18"/>
              </w:rPr>
              <w:t>5</w:t>
            </w:r>
          </w:p>
        </w:tc>
        <w:tc>
          <w:tcPr>
            <w:tcW w:type="dxa" w:w="6192"/>
          </w:tcPr>
          <w:p>
            <w:r>
              <w:rPr>
                <w:sz w:val="18"/>
              </w:rPr>
              <w:t>Simple, familiar, free stack</w:t>
            </w:r>
          </w:p>
        </w:tc>
      </w:tr>
      <w:tr>
        <w:tc>
          <w:tcPr>
            <w:tcW w:type="dxa" w:w="3168"/>
          </w:tcPr>
          <w:p>
            <w:r>
              <w:rPr>
                <w:sz w:val="18"/>
              </w:rPr>
              <w:t>Dataset and data feasibility</w:t>
            </w:r>
          </w:p>
        </w:tc>
        <w:tc>
          <w:tcPr>
            <w:tcW w:type="dxa" w:w="864"/>
          </w:tcPr>
          <w:p>
            <w:r>
              <w:rPr>
                <w:sz w:val="18"/>
              </w:rPr>
              <w:t>3</w:t>
            </w:r>
          </w:p>
        </w:tc>
        <w:tc>
          <w:tcPr>
            <w:tcW w:type="dxa" w:w="6192"/>
          </w:tcPr>
          <w:p>
            <w:r>
              <w:rPr>
                <w:sz w:val="18"/>
              </w:rPr>
              <w:t>Simulated fallback is in the group's control; real records need permission</w:t>
            </w:r>
          </w:p>
        </w:tc>
      </w:tr>
      <w:tr>
        <w:tc>
          <w:tcPr>
            <w:tcW w:type="dxa" w:w="3168"/>
          </w:tcPr>
          <w:p>
            <w:r>
              <w:rPr>
                <w:sz w:val="18"/>
              </w:rPr>
              <w:t>Algorithm or model feasibility</w:t>
            </w:r>
          </w:p>
        </w:tc>
        <w:tc>
          <w:tcPr>
            <w:tcW w:type="dxa" w:w="864"/>
          </w:tcPr>
          <w:p>
            <w:r>
              <w:rPr>
                <w:sz w:val="18"/>
              </w:rPr>
              <w:t>4</w:t>
            </w:r>
          </w:p>
        </w:tc>
        <w:tc>
          <w:tcPr>
            <w:tcW w:type="dxa" w:w="6192"/>
          </w:tcPr>
          <w:p>
            <w:r>
              <w:rPr>
                <w:sz w:val="18"/>
              </w:rPr>
              <w:t>Established rule and fuzzy matching methods</w:t>
            </w:r>
          </w:p>
        </w:tc>
      </w:tr>
      <w:tr>
        <w:tc>
          <w:tcPr>
            <w:tcW w:type="dxa" w:w="3168"/>
          </w:tcPr>
          <w:p>
            <w:r>
              <w:rPr>
                <w:sz w:val="18"/>
              </w:rPr>
              <w:t>Operational feasibility</w:t>
            </w:r>
          </w:p>
        </w:tc>
        <w:tc>
          <w:tcPr>
            <w:tcW w:type="dxa" w:w="864"/>
          </w:tcPr>
          <w:p>
            <w:r>
              <w:rPr>
                <w:sz w:val="18"/>
              </w:rPr>
              <w:t>3</w:t>
            </w:r>
          </w:p>
        </w:tc>
        <w:tc>
          <w:tcPr>
            <w:tcW w:type="dxa" w:w="6192"/>
          </w:tcPr>
          <w:p>
            <w:r>
              <w:rPr>
                <w:sz w:val="18"/>
              </w:rPr>
              <w:t>Needs health worker time for rules and feedback</w:t>
            </w:r>
          </w:p>
        </w:tc>
      </w:tr>
      <w:tr>
        <w:tc>
          <w:tcPr>
            <w:tcW w:type="dxa" w:w="3168"/>
          </w:tcPr>
          <w:p>
            <w:r>
              <w:rPr>
                <w:sz w:val="18"/>
              </w:rPr>
              <w:t>Economic feasibility</w:t>
            </w:r>
          </w:p>
        </w:tc>
        <w:tc>
          <w:tcPr>
            <w:tcW w:type="dxa" w:w="864"/>
          </w:tcPr>
          <w:p>
            <w:r>
              <w:rPr>
                <w:sz w:val="18"/>
              </w:rPr>
              <w:t>5</w:t>
            </w:r>
          </w:p>
        </w:tc>
        <w:tc>
          <w:tcPr>
            <w:tcW w:type="dxa" w:w="6192"/>
          </w:tcPr>
          <w:p>
            <w:r>
              <w:rPr>
                <w:sz w:val="18"/>
              </w:rPr>
              <w:t>PHP 1,500 to 5,500</w:t>
            </w:r>
          </w:p>
        </w:tc>
      </w:tr>
      <w:tr>
        <w:tc>
          <w:tcPr>
            <w:tcW w:type="dxa" w:w="3168"/>
          </w:tcPr>
          <w:p>
            <w:r>
              <w:rPr>
                <w:sz w:val="18"/>
              </w:rPr>
              <w:t>Schedule feasibility</w:t>
            </w:r>
          </w:p>
        </w:tc>
        <w:tc>
          <w:tcPr>
            <w:tcW w:type="dxa" w:w="864"/>
          </w:tcPr>
          <w:p>
            <w:r>
              <w:rPr>
                <w:sz w:val="18"/>
              </w:rPr>
              <w:t>4</w:t>
            </w:r>
          </w:p>
        </w:tc>
        <w:tc>
          <w:tcPr>
            <w:tcW w:type="dxa" w:w="6192"/>
          </w:tcPr>
          <w:p>
            <w:r>
              <w:rPr>
                <w:sz w:val="18"/>
              </w:rPr>
              <w:t>12-week plan with a simulated-data fallback</w:t>
            </w:r>
          </w:p>
        </w:tc>
      </w:tr>
      <w:tr>
        <w:tc>
          <w:tcPr>
            <w:tcW w:type="dxa" w:w="3168"/>
          </w:tcPr>
          <w:p>
            <w:r>
              <w:rPr>
                <w:sz w:val="18"/>
              </w:rPr>
              <w:t>Legal and ethical feasibility</w:t>
            </w:r>
          </w:p>
        </w:tc>
        <w:tc>
          <w:tcPr>
            <w:tcW w:type="dxa" w:w="864"/>
          </w:tcPr>
          <w:p>
            <w:r>
              <w:rPr>
                <w:sz w:val="18"/>
              </w:rPr>
              <w:t>4</w:t>
            </w:r>
          </w:p>
        </w:tc>
        <w:tc>
          <w:tcPr>
            <w:tcW w:type="dxa" w:w="6192"/>
          </w:tcPr>
          <w:p>
            <w:r>
              <w:rPr>
                <w:sz w:val="18"/>
              </w:rPr>
              <w:t>Child health data is sensitive, but only simulated or de-identified records are used</w:t>
            </w:r>
          </w:p>
        </w:tc>
      </w:tr>
      <w:tr>
        <w:tc>
          <w:tcPr>
            <w:tcW w:type="dxa" w:w="3168"/>
          </w:tcPr>
          <w:p>
            <w:r>
              <w:rPr>
                <w:sz w:val="18"/>
              </w:rPr>
              <w:t>Risk manageability</w:t>
            </w:r>
          </w:p>
        </w:tc>
        <w:tc>
          <w:tcPr>
            <w:tcW w:type="dxa" w:w="864"/>
          </w:tcPr>
          <w:p>
            <w:r>
              <w:rPr>
                <w:sz w:val="18"/>
              </w:rPr>
              <w:t>4</w:t>
            </w:r>
          </w:p>
        </w:tc>
        <w:tc>
          <w:tcPr>
            <w:tcW w:type="dxa" w:w="6192"/>
          </w:tcPr>
          <w:p>
            <w:r>
              <w:rPr>
                <w:sz w:val="18"/>
              </w:rPr>
              <w:t>Every listed risk has a stated mitigation</w:t>
            </w:r>
          </w:p>
        </w:tc>
      </w:tr>
      <w:tr>
        <w:tc>
          <w:tcPr>
            <w:tcW w:type="dxa" w:w="3168"/>
          </w:tcPr>
          <w:p>
            <w:r>
              <w:rPr>
                <w:b/>
                <w:sz w:val="18"/>
              </w:rPr>
              <w:t>Total score</w:t>
            </w:r>
          </w:p>
        </w:tc>
        <w:tc>
          <w:tcPr>
            <w:tcW w:type="dxa" w:w="864"/>
          </w:tcPr>
          <w:p>
            <w:r>
              <w:rPr>
                <w:b/>
                <w:sz w:val="18"/>
              </w:rPr>
              <w:t>32/40</w:t>
            </w:r>
          </w:p>
        </w:tc>
        <w:tc>
          <w:tcPr>
            <w:tcW w:type="dxa" w:w="6192"/>
          </w:tcPr>
          <w:p/>
        </w:tc>
      </w:tr>
      <w:tr>
        <w:tc>
          <w:tcPr>
            <w:tcW w:type="dxa" w:w="3168"/>
          </w:tcPr>
          <w:p>
            <w:r>
              <w:rPr>
                <w:b/>
                <w:sz w:val="18"/>
              </w:rPr>
              <w:t>Group's ranking</w:t>
            </w:r>
          </w:p>
        </w:tc>
        <w:tc>
          <w:tcPr>
            <w:tcW w:type="dxa" w:w="864"/>
          </w:tcPr>
          <w:p>
            <w:r>
              <w:rPr>
                <w:sz w:val="18"/>
              </w:rPr>
              <w:t>5</w:t>
            </w:r>
          </w:p>
        </w:tc>
        <w:tc>
          <w:tcPr>
            <w:tcW w:type="dxa" w:w="6192"/>
          </w:tcPr>
          <w:p>
            <w:r>
              <w:rPr>
                <w:sz w:val="18"/>
              </w:rPr>
              <w:t>See the final comparison table</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Supporting Review of Related Literature and Studies</w:t>
            </w:r>
          </w:p>
        </w:tc>
      </w:tr>
    </w:tbl>
    <w:p>
      <w:pPr>
        <w:spacing w:after="40"/>
      </w:pPr>
    </w:p>
    <w:p>
      <w:pPr>
        <w:keepNext/>
        <w:spacing w:before="40" w:after="80"/>
      </w:pPr>
      <w:r>
        <w:rPr>
          <w:b/>
          <w:sz w:val="22"/>
        </w:rPr>
        <w:t>Proposal Thesis Title</w:t>
      </w:r>
    </w:p>
    <w:p>
      <w:pPr>
        <w:spacing w:after="120"/>
        <w:jc w:val="both"/>
      </w:pPr>
      <w:r>
        <w:rPr>
          <w:b/>
        </w:rPr>
        <w:t>Development of a Fuzzy Matching and Data Quality Scoring Model for Detecting Potential Duplicate and Incomplete Child Immunization Records at a Barangay Health Center in Mandaluyong City</w:t>
      </w:r>
    </w:p>
    <w:p>
      <w:pPr>
        <w:keepNext/>
        <w:spacing w:before="160" w:after="80"/>
      </w:pPr>
      <w:r>
        <w:rPr>
          <w:b/>
          <w:sz w:val="22"/>
        </w:rPr>
        <w:t>Review of Related Literature (RRL/s)</w:t>
      </w:r>
    </w:p>
    <w:p>
      <w:pPr>
        <w:spacing w:after="120"/>
        <w:jc w:val="both"/>
      </w:pPr>
      <w:r>
        <w:rPr>
          <w:sz w:val="18"/>
        </w:rPr>
        <w:t>The RRL helps the group understand the chosen area, the problem being addressed, and the concepts or approaches relevant to the proposed solution.</w:t>
      </w:r>
    </w:p>
    <w:p>
      <w:pPr>
        <w:keepNext/>
        <w:spacing w:before="80" w:after="80"/>
      </w:pPr>
      <w:r>
        <w:rPr>
          <w:b/>
          <w:sz w:val="20"/>
        </w:rPr>
        <w:t>Local Literatures:</w:t>
      </w:r>
    </w:p>
    <w:p>
      <w:pPr>
        <w:keepNext/>
        <w:spacing w:before="120" w:after="40"/>
        <w:ind w:left="432" w:hanging="432"/>
      </w:pPr>
      <w:r>
        <w:t>1.</w:t>
        <w:tab/>
      </w:r>
      <w:r>
        <w:rPr>
          <w:b/>
        </w:rPr>
        <w:t>Republic Act No. 10173 Data Privacy Act of 2012</w:t>
      </w:r>
    </w:p>
    <w:p>
      <w:pPr>
        <w:spacing w:after="40"/>
        <w:ind w:left="432"/>
        <w:jc w:val="both"/>
      </w:pPr>
      <w:r>
        <w:rPr>
          <w:b/>
        </w:rPr>
        <w:t>Description / Summary (Local Literature).</w:t>
      </w:r>
      <w:r>
        <w:t xml:space="preserve"> Section 11 sets privacy principles and Section 20 requires safeguards. It requires restricted, lawful handling of child immunization data and supports the use of simulated or de identified records.</w:t>
      </w:r>
    </w:p>
    <w:p>
      <w:pPr>
        <w:keepNext/>
        <w:spacing w:before="120" w:after="40"/>
        <w:ind w:left="432" w:hanging="432"/>
      </w:pPr>
      <w:r>
        <w:t>2.</w:t>
        <w:tab/>
      </w:r>
      <w:r>
        <w:rPr>
          <w:b/>
        </w:rPr>
        <w:t>Data Privacy Act Implementing Rules and Regulations</w:t>
      </w:r>
    </w:p>
    <w:p>
      <w:pPr>
        <w:spacing w:after="40"/>
        <w:ind w:left="432"/>
        <w:jc w:val="both"/>
      </w:pPr>
      <w:r>
        <w:rPr>
          <w:b/>
        </w:rPr>
        <w:t>Description / Summary (Local Literature).</w:t>
      </w:r>
      <w:r>
        <w:t xml:space="preserve"> Section 25 requires organizational, physical, and technical safeguards. It supports access restriction, secure storage, and a clear data handling plan for the prototype.</w:t>
      </w:r>
    </w:p>
    <w:p>
      <w:pPr>
        <w:keepNext/>
        <w:spacing w:before="120" w:after="40"/>
        <w:ind w:left="432" w:hanging="432"/>
      </w:pPr>
      <w:r>
        <w:t>3.</w:t>
        <w:tab/>
      </w:r>
      <w:r>
        <w:rPr>
          <w:b/>
        </w:rPr>
        <w:t>Republic Act No. 11223 Universal Health Care Act</w:t>
      </w:r>
    </w:p>
    <w:p>
      <w:pPr>
        <w:spacing w:after="40"/>
        <w:ind w:left="432"/>
        <w:jc w:val="both"/>
      </w:pPr>
      <w:r>
        <w:rPr>
          <w:b/>
        </w:rPr>
        <w:t>Description / Summary (Local Literature).</w:t>
      </w:r>
      <w:r>
        <w:t xml:space="preserve"> The law supports integrated health services. Reliable immunization information is important for service continuity, monitoring, and local health reporting.</w:t>
      </w:r>
    </w:p>
    <w:p>
      <w:pPr>
        <w:keepNext/>
        <w:spacing w:before="120" w:after="40"/>
        <w:ind w:left="432" w:hanging="432"/>
      </w:pPr>
      <w:r>
        <w:t>4.</w:t>
        <w:tab/>
      </w:r>
      <w:r>
        <w:rPr>
          <w:b/>
        </w:rPr>
        <w:t>Philippine eHealth Strategic Framework and Plan</w:t>
      </w:r>
    </w:p>
    <w:p>
      <w:pPr>
        <w:spacing w:after="40"/>
        <w:ind w:left="432"/>
        <w:jc w:val="both"/>
      </w:pPr>
      <w:r>
        <w:rPr>
          <w:b/>
        </w:rPr>
        <w:t>Description / Summary (Local Literature).</w:t>
      </w:r>
      <w:r>
        <w:t xml:space="preserve"> The framework provides Philippine direction for safe and useful health information management, supporting practical digital improvements in primary care.</w:t>
      </w:r>
    </w:p>
    <w:p>
      <w:pPr>
        <w:spacing w:before="120" w:after="40"/>
        <w:ind w:left="432" w:hanging="432"/>
      </w:pPr>
      <w:r>
        <w:t>5.</w:t>
        <w:tab/>
      </w:r>
      <w:r>
        <w:rPr>
          <w:highlight w:val="yellow"/>
        </w:rPr>
        <w:t>[Open slot: add one local literature here.]</w:t>
      </w:r>
    </w:p>
    <w:p>
      <w:pPr>
        <w:keepNext/>
        <w:spacing w:before="80" w:after="80"/>
      </w:pPr>
      <w:r>
        <w:rPr>
          <w:b/>
          <w:sz w:val="20"/>
        </w:rPr>
        <w:t>Foreign Literatures:</w:t>
      </w:r>
    </w:p>
    <w:p>
      <w:pPr>
        <w:keepNext/>
        <w:spacing w:before="120" w:after="40"/>
        <w:ind w:left="432" w:hanging="432"/>
      </w:pPr>
      <w:r>
        <w:t>6.</w:t>
        <w:tab/>
      </w:r>
      <w:r>
        <w:rPr>
          <w:b/>
        </w:rPr>
        <w:t>WHO Immunization Agenda 2030</w:t>
      </w:r>
    </w:p>
    <w:p>
      <w:pPr>
        <w:spacing w:after="40"/>
        <w:ind w:left="432"/>
        <w:jc w:val="both"/>
      </w:pPr>
      <w:r>
        <w:rPr>
          <w:b/>
        </w:rPr>
        <w:t>Description / Summary (Foreign Literature).</w:t>
      </w:r>
      <w:r>
        <w:t xml:space="preserve"> The strategy emphasizes equitable immunization and the use of good information to identify missed children and improve program performance.</w:t>
      </w:r>
    </w:p>
    <w:p>
      <w:pPr>
        <w:keepNext/>
        <w:spacing w:before="120" w:after="40"/>
        <w:ind w:left="432" w:hanging="432"/>
      </w:pPr>
      <w:r>
        <w:t>7.</w:t>
        <w:tab/>
      </w:r>
      <w:r>
        <w:rPr>
          <w:b/>
        </w:rPr>
        <w:t>WHO Monitoring and Evaluating Digital Health Interventions</w:t>
      </w:r>
    </w:p>
    <w:p>
      <w:pPr>
        <w:spacing w:after="40"/>
        <w:ind w:left="432"/>
        <w:jc w:val="both"/>
      </w:pPr>
      <w:r>
        <w:rPr>
          <w:b/>
        </w:rPr>
        <w:t>Description / Summary (Foreign Literature).</w:t>
      </w:r>
      <w:r>
        <w:t xml:space="preserve"> The guide supports clear indicators and evidence for evaluating the prototype through error detection, duplicate matching results, and staff feedback.</w:t>
      </w:r>
    </w:p>
    <w:p>
      <w:pPr>
        <w:keepNext/>
        <w:spacing w:before="120" w:after="40"/>
        <w:ind w:left="432" w:hanging="432"/>
      </w:pPr>
      <w:r>
        <w:t>8.</w:t>
        <w:tab/>
      </w:r>
      <w:r>
        <w:rPr>
          <w:b/>
        </w:rPr>
        <w:t>WHO Data Quality Review Toolkit</w:t>
      </w:r>
    </w:p>
    <w:p>
      <w:pPr>
        <w:spacing w:after="40"/>
        <w:ind w:left="432"/>
        <w:jc w:val="both"/>
      </w:pPr>
      <w:r>
        <w:rPr>
          <w:b/>
        </w:rPr>
        <w:t>Description / Summary (Foreign Literature).</w:t>
      </w:r>
      <w:r>
        <w:t xml:space="preserve"> The toolkit describes routine checks for completeness, consistency, and reporting quality. Its ideas can be adapted into child immunization validation rules.</w:t>
      </w:r>
    </w:p>
    <w:p>
      <w:pPr>
        <w:keepNext/>
        <w:spacing w:before="120" w:after="40"/>
        <w:ind w:left="432" w:hanging="432"/>
      </w:pPr>
      <w:r>
        <w:t>9.</w:t>
        <w:tab/>
      </w:r>
      <w:r>
        <w:rPr>
          <w:b/>
        </w:rPr>
        <w:t>Methods and Dimensions of Electronic Health Record Data Quality Assessment</w:t>
      </w:r>
    </w:p>
    <w:p>
      <w:pPr>
        <w:spacing w:after="40"/>
        <w:ind w:left="432"/>
        <w:jc w:val="both"/>
      </w:pPr>
      <w:r>
        <w:rPr>
          <w:b/>
        </w:rPr>
        <w:t>Description / Summary (Foreign Literature).</w:t>
      </w:r>
      <w:r>
        <w:t xml:space="preserve"> This work identifies practical data quality dimensions such as completeness, correctness, concordance, plausibility, and currency that can guide the scoring model.</w:t>
      </w:r>
    </w:p>
    <w:p>
      <w:pPr>
        <w:keepNext/>
        <w:spacing w:before="120" w:after="40"/>
        <w:ind w:left="432" w:hanging="432"/>
      </w:pPr>
      <w:r>
        <w:t>10.</w:t>
        <w:tab/>
      </w:r>
      <w:r>
        <w:rPr>
          <w:b/>
        </w:rPr>
        <w:t>A Harmonized Data Quality Assessment Terminology and Framework for the Secondary Use of Electronic Health Record Data</w:t>
      </w:r>
    </w:p>
    <w:p>
      <w:pPr>
        <w:spacing w:after="40"/>
        <w:ind w:left="432"/>
        <w:jc w:val="both"/>
      </w:pPr>
      <w:r>
        <w:rPr>
          <w:b/>
        </w:rPr>
        <w:t>Description / Summary (Foreign Literature).</w:t>
      </w:r>
      <w:r>
        <w:t xml:space="preserve"> The framework organizes data quality checks into conformance, completeness, and plausibility, helping convert record review into measurable rules.</w:t>
      </w:r>
    </w:p>
    <w:p>
      <w:pPr>
        <w:keepNext/>
        <w:spacing w:before="120" w:after="80"/>
      </w:pPr>
      <w:r>
        <w:rPr>
          <w:b/>
          <w:sz w:val="20"/>
        </w:rPr>
        <w:t>Additional Literature Also Consulted</w:t>
      </w:r>
    </w:p>
    <w:tbl>
      <w:tblPr>
        <w:tblStyle w:val="TableGrid"/>
        <w:tblW w:type="auto" w:w="0"/>
        <w:jc w:val="center"/>
        <w:tblLook w:firstColumn="1" w:firstRow="1" w:lastColumn="0" w:lastRow="0" w:noHBand="0" w:noVBand="1" w:val="04A0"/>
      </w:tblPr>
      <w:tblGrid>
        <w:gridCol w:w="3408"/>
        <w:gridCol w:w="3408"/>
        <w:gridCol w:w="3408"/>
      </w:tblGrid>
      <w:tr>
        <w:tc>
          <w:tcPr>
            <w:tcW w:type="dxa" w:w="3024"/>
            <w:shd w:val="clear" w:color="auto" w:fill="EDEDED"/>
          </w:tcPr>
          <w:p>
            <w:r>
              <w:rPr>
                <w:b/>
                <w:sz w:val="18"/>
              </w:rPr>
              <w:t>Source</w:t>
            </w:r>
          </w:p>
        </w:tc>
        <w:tc>
          <w:tcPr>
            <w:tcW w:type="dxa" w:w="1440"/>
            <w:shd w:val="clear" w:color="auto" w:fill="EDEDED"/>
          </w:tcPr>
          <w:p>
            <w:r>
              <w:rPr>
                <w:b/>
                <w:sz w:val="18"/>
              </w:rPr>
              <w:t>Type</w:t>
            </w:r>
          </w:p>
        </w:tc>
        <w:tc>
          <w:tcPr>
            <w:tcW w:type="dxa" w:w="5760"/>
            <w:shd w:val="clear" w:color="auto" w:fill="EDEDED"/>
          </w:tcPr>
          <w:p>
            <w:r>
              <w:rPr>
                <w:b/>
                <w:sz w:val="18"/>
              </w:rPr>
              <w:t>Summary and relevance</w:t>
            </w:r>
          </w:p>
        </w:tc>
      </w:tr>
      <w:tr>
        <w:tc>
          <w:tcPr>
            <w:tcW w:type="dxa" w:w="3024"/>
          </w:tcPr>
          <w:p>
            <w:r>
              <w:rPr>
                <w:sz w:val="18"/>
              </w:rPr>
              <w:t>A Framework for Health Information Governance A Scoping Review</w:t>
            </w:r>
          </w:p>
        </w:tc>
        <w:tc>
          <w:tcPr>
            <w:tcW w:type="dxa" w:w="1440"/>
          </w:tcPr>
          <w:p>
            <w:r>
              <w:rPr>
                <w:sz w:val="18"/>
              </w:rPr>
              <w:t>Foreign Literature</w:t>
            </w:r>
          </w:p>
        </w:tc>
        <w:tc>
          <w:tcPr>
            <w:tcW w:type="dxa" w:w="5760"/>
          </w:tcPr>
          <w:p>
            <w:r>
              <w:rPr>
                <w:sz w:val="18"/>
              </w:rPr>
              <w:t>The review shows that data quality needs both technical controls and human accountability, supporting human review of every duplicate flag.</w:t>
            </w:r>
          </w:p>
        </w:tc>
      </w:tr>
    </w:tbl>
    <w:p>
      <w:pPr>
        <w:spacing w:after="40"/>
      </w:pPr>
    </w:p>
    <w:p>
      <w:pPr>
        <w:keepNext/>
        <w:spacing w:before="160" w:after="80"/>
      </w:pPr>
      <w:r>
        <w:rPr>
          <w:b/>
          <w:sz w:val="22"/>
        </w:rPr>
        <w:t>Review of Related Studies (RRS/s)</w:t>
      </w:r>
    </w:p>
    <w:p>
      <w:pPr>
        <w:spacing w:after="120"/>
        <w:jc w:val="both"/>
      </w:pPr>
      <w:r>
        <w:rPr>
          <w:sz w:val="18"/>
        </w:rPr>
        <w:t>The RRS focuses on existing research, systems, applications, or projects that address a problem similar to the one the group wants to solve.</w:t>
      </w:r>
    </w:p>
    <w:p>
      <w:pPr>
        <w:keepNext/>
        <w:spacing w:before="80" w:after="80"/>
      </w:pPr>
      <w:r>
        <w:rPr>
          <w:b/>
          <w:sz w:val="20"/>
        </w:rPr>
        <w:t>Local Studies:</w:t>
      </w:r>
    </w:p>
    <w:p>
      <w:pPr>
        <w:keepNext/>
        <w:spacing w:before="120" w:after="40"/>
        <w:ind w:left="432" w:hanging="432"/>
      </w:pPr>
      <w:r>
        <w:t>1.</w:t>
        <w:tab/>
      </w:r>
      <w:r>
        <w:rPr>
          <w:b/>
        </w:rPr>
        <w:t>Understanding Adoption of Electronic Medical Records During a Health Emergency</w:t>
      </w:r>
    </w:p>
    <w:p>
      <w:pPr>
        <w:spacing w:after="40"/>
        <w:ind w:left="432"/>
        <w:jc w:val="both"/>
      </w:pPr>
      <w:r>
        <w:rPr>
          <w:b/>
        </w:rPr>
        <w:t>Description / Summary (Local Study).</w:t>
      </w:r>
      <w:r>
        <w:t xml:space="preserve"> Philippine usage logs from rural facilities showed that EMR feature use varies by user and context; installing a system alone does not ensure reliable or consistently entered records.</w:t>
      </w:r>
    </w:p>
    <w:p>
      <w:pPr>
        <w:keepNext/>
        <w:spacing w:before="120" w:after="40"/>
        <w:ind w:left="432" w:hanging="432"/>
      </w:pPr>
      <w:r>
        <w:t>2.</w:t>
        <w:tab/>
      </w:r>
      <w:r>
        <w:rPr>
          <w:b/>
        </w:rPr>
        <w:t>Strengthening Health Information Systems Policies Gaps and a Framework for Reform</w:t>
      </w:r>
    </w:p>
    <w:p>
      <w:pPr>
        <w:spacing w:after="40"/>
        <w:ind w:left="432"/>
        <w:jc w:val="both"/>
      </w:pPr>
      <w:r>
        <w:rPr>
          <w:b/>
        </w:rPr>
        <w:t>Description / Summary (Local Study).</w:t>
      </w:r>
      <w:r>
        <w:t xml:space="preserve"> Philippine evidence identifies fragmented data management, limited standardization, and interoperability issues that require practical local improvements.</w:t>
      </w:r>
    </w:p>
    <w:p>
      <w:pPr>
        <w:keepNext/>
        <w:spacing w:before="120" w:after="40"/>
        <w:ind w:left="432" w:hanging="432"/>
      </w:pPr>
      <w:r>
        <w:t>3.</w:t>
        <w:tab/>
      </w:r>
      <w:r>
        <w:rPr>
          <w:b/>
        </w:rPr>
        <w:t>Feedback Workshop and Random Monitoring as Quality Assurance Interventions</w:t>
      </w:r>
    </w:p>
    <w:p>
      <w:pPr>
        <w:spacing w:after="40"/>
        <w:ind w:left="432"/>
        <w:jc w:val="both"/>
      </w:pPr>
      <w:r>
        <w:rPr>
          <w:b/>
        </w:rPr>
        <w:t>Description / Summary (Local Study).</w:t>
      </w:r>
      <w:r>
        <w:t xml:space="preserve"> A Philippine study found that feedback, training, and monitoring can improve electronic record entries, supporting score based review of immunization records.</w:t>
      </w:r>
    </w:p>
    <w:p>
      <w:pPr>
        <w:keepNext/>
        <w:spacing w:before="120" w:after="40"/>
        <w:ind w:left="432" w:hanging="432"/>
      </w:pPr>
      <w:r>
        <w:t>4.</w:t>
        <w:tab/>
      </w:r>
      <w:r>
        <w:rPr>
          <w:b/>
        </w:rPr>
        <w:t>Implementing Electronic Health Records in Philippine Primary Care Settings Mixed Methods Pilot Study</w:t>
      </w:r>
    </w:p>
    <w:p>
      <w:pPr>
        <w:spacing w:after="40"/>
        <w:ind w:left="432"/>
        <w:jc w:val="both"/>
      </w:pPr>
      <w:r>
        <w:rPr>
          <w:b/>
        </w:rPr>
        <w:t>Description / Summary (Local Study).</w:t>
      </w:r>
      <w:r>
        <w:t xml:space="preserve"> The pilot found that workflow fit, training, connectivity, technical performance, and privacy design influence whether primary care staff accept EHR systems.</w:t>
      </w:r>
    </w:p>
    <w:p>
      <w:pPr>
        <w:spacing w:before="120" w:after="40"/>
        <w:ind w:left="432" w:hanging="432"/>
      </w:pPr>
      <w:r>
        <w:t>5.</w:t>
        <w:tab/>
      </w:r>
      <w:r>
        <w:rPr>
          <w:highlight w:val="yellow"/>
        </w:rPr>
        <w:t>[Open slot: add one local study here.]</w:t>
      </w:r>
    </w:p>
    <w:p>
      <w:pPr>
        <w:keepNext/>
        <w:spacing w:before="80" w:after="80"/>
      </w:pPr>
      <w:r>
        <w:rPr>
          <w:b/>
          <w:sz w:val="20"/>
        </w:rPr>
        <w:t>Foreign Studies:</w:t>
      </w:r>
    </w:p>
    <w:p>
      <w:pPr>
        <w:keepNext/>
        <w:spacing w:before="120" w:after="40"/>
        <w:ind w:left="432" w:hanging="432"/>
      </w:pPr>
      <w:r>
        <w:t>6.</w:t>
        <w:tab/>
      </w:r>
      <w:r>
        <w:rPr>
          <w:b/>
        </w:rPr>
        <w:t>Optimized Dual Threshold Entity Resolution for Electronic Health Record Databases</w:t>
      </w:r>
    </w:p>
    <w:p>
      <w:pPr>
        <w:spacing w:after="40"/>
        <w:ind w:left="432"/>
        <w:jc w:val="both"/>
      </w:pPr>
      <w:r>
        <w:rPr>
          <w:b/>
        </w:rPr>
        <w:t>Description / Summary (Foreign Study).</w:t>
      </w:r>
      <w:r>
        <w:t xml:space="preserve"> The study evaluates record linkage methods for finding records that may belong to the same patient. It supports fuzzy matching as a method for generating possible duplicate flags rather than automatic merges.</w:t>
      </w:r>
    </w:p>
    <w:p>
      <w:pPr>
        <w:keepNext/>
        <w:spacing w:before="120" w:after="40"/>
        <w:ind w:left="432" w:hanging="432"/>
      </w:pPr>
      <w:r>
        <w:t>7.</w:t>
        <w:tab/>
      </w:r>
      <w:r>
        <w:rPr>
          <w:b/>
        </w:rPr>
        <w:t>Electronic Health Record Data Quality Assessment and Tools A Systematic Review</w:t>
      </w:r>
    </w:p>
    <w:p>
      <w:pPr>
        <w:spacing w:after="40"/>
        <w:ind w:left="432"/>
        <w:jc w:val="both"/>
      </w:pPr>
      <w:r>
        <w:rPr>
          <w:b/>
        </w:rPr>
        <w:t>Description / Summary (Foreign Study).</w:t>
      </w:r>
      <w:r>
        <w:t xml:space="preserve"> The review found common quality dimensions but no single standard assessment method, creating an opportunity for a transparent local scoring tool.</w:t>
      </w:r>
    </w:p>
    <w:p>
      <w:pPr>
        <w:keepNext/>
        <w:spacing w:before="120" w:after="40"/>
        <w:ind w:left="432" w:hanging="432"/>
      </w:pPr>
      <w:r>
        <w:t>8.</w:t>
        <w:tab/>
      </w:r>
      <w:r>
        <w:rPr>
          <w:b/>
        </w:rPr>
        <w:t>Digital Health Data Quality Issues A Systematic Review</w:t>
      </w:r>
    </w:p>
    <w:p>
      <w:pPr>
        <w:spacing w:after="40"/>
        <w:ind w:left="432"/>
        <w:jc w:val="both"/>
      </w:pPr>
      <w:r>
        <w:rPr>
          <w:b/>
        </w:rPr>
        <w:t>Description / Summary (Foreign Study).</w:t>
      </w:r>
      <w:r>
        <w:t xml:space="preserve"> The review identifies recurring missing, inaccurate, inconsistent, and duplicated data problems that can weaken reporting and later analysis.</w:t>
      </w:r>
    </w:p>
    <w:p>
      <w:pPr>
        <w:keepNext/>
        <w:spacing w:before="120" w:after="40"/>
        <w:ind w:left="432" w:hanging="432"/>
      </w:pPr>
      <w:r>
        <w:t>9.</w:t>
        <w:tab/>
      </w:r>
      <w:r>
        <w:rPr>
          <w:b/>
        </w:rPr>
        <w:t>Linking Patient Records at Scale with a Hybrid Approach Combining Contrastive Learning and Deterministic Rules</w:t>
      </w:r>
    </w:p>
    <w:p>
      <w:pPr>
        <w:spacing w:after="40"/>
        <w:ind w:left="432"/>
        <w:jc w:val="both"/>
      </w:pPr>
      <w:r>
        <w:rPr>
          <w:b/>
        </w:rPr>
        <w:t>Description / Summary (Foreign Study).</w:t>
      </w:r>
      <w:r>
        <w:t xml:space="preserve"> This recent patient linkage study shows that combining rules with matching models can improve record linkage. The proposed undergraduate system uses the simpler, more explainable rule and fuzzy matching approach.</w:t>
      </w:r>
    </w:p>
    <w:p>
      <w:pPr>
        <w:spacing w:before="120" w:after="40"/>
        <w:ind w:left="432" w:hanging="432"/>
      </w:pPr>
      <w:r>
        <w:t>10.</w:t>
        <w:tab/>
      </w:r>
      <w:r>
        <w:rPr>
          <w:highlight w:val="yellow"/>
        </w:rPr>
        <w:t>[Open slot: add one foreign study here.]</w:t>
      </w:r>
    </w:p>
    <w:p>
      <w:pPr>
        <w:keepNext/>
        <w:spacing w:before="160" w:after="80"/>
      </w:pPr>
      <w:r>
        <w:rPr>
          <w:b/>
          <w:sz w:val="22"/>
        </w:rPr>
        <w:t>Research and System Gap</w:t>
      </w:r>
    </w:p>
    <w:p>
      <w:pPr>
        <w:spacing w:after="120"/>
        <w:jc w:val="both"/>
      </w:pPr>
      <w:r>
        <w:t>The legal, immunization, and technical literature supports secure data handling, defined quality checks, and human accountability for local immunization information.</w:t>
      </w:r>
    </w:p>
    <w:p>
      <w:pPr>
        <w:spacing w:after="120"/>
        <w:jc w:val="both"/>
      </w:pPr>
      <w:r>
        <w:rPr>
          <w:b/>
        </w:rPr>
        <w:t>The gap.</w:t>
      </w:r>
      <w:r>
        <w:t xml:space="preserve"> The reviewed frameworks explain good data quality and immunization monitoring, but do not provide a small Philippine barangay health center with an explainable tool for jointly flagging incomplete and potentially duplicate child immunization records.</w:t>
      </w:r>
    </w:p>
    <w:p>
      <w:pPr>
        <w:spacing w:after="120"/>
        <w:jc w:val="both"/>
      </w:pPr>
      <w:r>
        <w:t>The RRL supports four measurable dimensions: completeness, validity, consistency, and uniqueness. These become rule checks, fuzzy matching features, and the Data Quality Score.</w:t>
      </w:r>
    </w:p>
    <w:p>
      <w:pPr>
        <w:keepNext/>
        <w:spacing w:before="160" w:after="80"/>
      </w:pPr>
      <w:r>
        <w:rPr>
          <w:b/>
          <w:sz w:val="22"/>
        </w:rPr>
        <w:t>Refined Proposed Title and Solution</w:t>
      </w:r>
    </w:p>
    <w:p>
      <w:pPr>
        <w:spacing w:after="120"/>
        <w:jc w:val="both"/>
      </w:pPr>
      <w:r>
        <w:rPr>
          <w:highlight w:val="yellow"/>
        </w:rPr>
        <w:t>[Group to confirm the refined title; see the note under section 1 on the 16-word limit.]</w:t>
      </w:r>
    </w:p>
    <w:p>
      <w:pPr>
        <w:keepNext/>
        <w:spacing w:before="160" w:after="80"/>
      </w:pPr>
      <w:r>
        <w:rPr>
          <w:b/>
          <w:sz w:val="22"/>
        </w:rPr>
        <w:t>References for the RRL and RRS</w:t>
      </w:r>
    </w:p>
    <w:p>
      <w:pPr>
        <w:spacing w:after="60"/>
        <w:ind w:left="576" w:hanging="576"/>
        <w:jc w:val="left"/>
      </w:pPr>
      <w:r>
        <w:t>Acacio Claro, P. J., et al. (2024). Understanding adoption of electronic medical records during a health emergency. Acta Medica Philippina, 58(22). https://doi.org/10.47895/amp.vi0.8911</w:t>
      </w:r>
    </w:p>
    <w:p>
      <w:pPr>
        <w:spacing w:after="60"/>
        <w:ind w:left="576" w:hanging="576"/>
        <w:jc w:val="left"/>
      </w:pPr>
      <w:r>
        <w:t>Conjares, M. N. T. M., et al. (2025). Strengthening health information systems policies gaps and a framework for reform. PIDS Discussion Paper 2025-31. https://doi.org/10.62986/dp2025.31</w:t>
      </w:r>
    </w:p>
    <w:p>
      <w:pPr>
        <w:spacing w:after="60"/>
        <w:ind w:left="576" w:hanging="576"/>
        <w:jc w:val="left"/>
      </w:pPr>
      <w:r>
        <w:t>Elepano, A., et al. (2025). Implementing electronic health records in Philippine primary care settings: Mixed methods pilot study. JMIR Medical Informatics, 13, e63036. https://doi.org/10.2196/63036</w:t>
      </w:r>
    </w:p>
    <w:p>
      <w:pPr>
        <w:spacing w:after="60"/>
        <w:ind w:left="576" w:hanging="576"/>
        <w:jc w:val="left"/>
      </w:pPr>
      <w:r>
        <w:t>Jin, D., et al. (2023). Digital health data quality issues: Systematic review. Journal of Medical Internet Research, 25, e42615. https://www.jmir.org/2023/1/e42615</w:t>
      </w:r>
    </w:p>
    <w:p>
      <w:pPr>
        <w:spacing w:after="60"/>
        <w:ind w:left="576" w:hanging="576"/>
        <w:jc w:val="left"/>
      </w:pPr>
      <w:r>
        <w:t>Kahn, M. G., et al. (2016). A harmonized data quality assessment terminology and framework for the secondary use of electronic health record data. Journal of the American Medical Informatics Association, 23(6), 1049-1059. https://doi.org/10.1093/jamia/ocv212</w:t>
      </w:r>
    </w:p>
    <w:p>
      <w:pPr>
        <w:spacing w:after="60"/>
        <w:ind w:left="576" w:hanging="576"/>
        <w:jc w:val="left"/>
      </w:pPr>
      <w:r>
        <w:t>Lewis, A. E., et al. (2023). Electronic health record data quality assessment and tools: A systematic review. Journal of the American Medical Informatics Association, 30(10), 1730-1740. https://doi.org/10.1093/jamia/ocad120</w:t>
      </w:r>
    </w:p>
    <w:p>
      <w:pPr>
        <w:spacing w:after="60"/>
        <w:ind w:left="576" w:hanging="576"/>
        <w:jc w:val="left"/>
      </w:pPr>
      <w:r>
        <w:t>National Privacy Commission. (2021). Implementing rules and regulations of the Data Privacy Act of 2012 as amended. https://privacy.gov.ph/wp-content/uploads/2023/06/IRR_RA-10173-as-amended.pdf</w:t>
      </w:r>
    </w:p>
    <w:p>
      <w:pPr>
        <w:spacing w:after="60"/>
        <w:ind w:left="576" w:hanging="576"/>
        <w:jc w:val="left"/>
      </w:pPr>
      <w:r>
        <w:t>Republic Act No. 10173. (2012). Data Privacy Act of 2012. https://lawphil.net/statutes/repacts/ra2012/ra_10173_2012.html</w:t>
      </w:r>
    </w:p>
    <w:p>
      <w:pPr>
        <w:spacing w:after="60"/>
        <w:ind w:left="576" w:hanging="576"/>
        <w:jc w:val="left"/>
      </w:pPr>
      <w:r>
        <w:t>Republic Act No. 11223. (2019). Universal Health Care Act. https://lawphil.net/statutes/repacts/ra2019/ra_11223_2019.html</w:t>
      </w:r>
    </w:p>
    <w:p>
      <w:pPr>
        <w:spacing w:after="60"/>
        <w:ind w:left="576" w:hanging="576"/>
        <w:jc w:val="left"/>
      </w:pPr>
      <w:r>
        <w:t>Republic Act No. 12254. (2025). E-Governance Act. https://lawphil.net/statutes/repacts/ra2025/ra_12254_2025.html</w:t>
      </w:r>
    </w:p>
    <w:p>
      <w:pPr>
        <w:spacing w:after="60"/>
        <w:ind w:left="576" w:hanging="576"/>
        <w:jc w:val="left"/>
      </w:pPr>
      <w:r>
        <w:t>Sweeney, C., et al. (2013). Optimized dual threshold entity resolution for electronic health record databases: Training set size and active learning. Journal of the American Medical Informatics Association, 21(1), 113-121. https://pmc.ncbi.nlm.nih.gov/articles/PMC3900213/</w:t>
      </w:r>
    </w:p>
    <w:p>
      <w:pPr>
        <w:spacing w:after="60"/>
        <w:ind w:left="576" w:hanging="576"/>
        <w:jc w:val="left"/>
      </w:pPr>
      <w:r>
        <w:t>Weiskopf, N. G., &amp; Weng, C. (2013). Methods and dimensions of electronic health record data quality assessment. Journal of the American Medical Informatics Association, 20(1), 144-151. https://doi.org/10.1136/amiajnl-2011-000681</w:t>
      </w:r>
    </w:p>
    <w:p>
      <w:pPr>
        <w:spacing w:after="60"/>
        <w:ind w:left="576" w:hanging="576"/>
        <w:jc w:val="left"/>
      </w:pPr>
      <w:r>
        <w:t>World Health Organization. (2017). Data quality review toolkit. https://www.who.int/publications/i/item/9789241512725</w:t>
      </w:r>
    </w:p>
    <w:p>
      <w:pPr>
        <w:spacing w:after="60"/>
        <w:ind w:left="576" w:hanging="576"/>
        <w:jc w:val="left"/>
      </w:pPr>
      <w:r>
        <w:t>World Health Organization. (2020). Immunization agenda 2030: A global strategy to leave no one behind. https://www.who.int/publications/m/item/immunization-agenda-2030-a-global-strategy-to-leave-no-one-behind</w:t>
      </w:r>
    </w:p>
    <w:p>
      <w:pPr>
        <w:spacing w:after="60"/>
        <w:ind w:left="576" w:hanging="576"/>
        <w:jc w:val="left"/>
      </w:pPr>
      <w:r>
        <w:t>World Health Organization. (2021). Global strategy on digital health 2020-2025. https://www.who.int/publications/i/item/9789240020924</w:t>
      </w:r>
    </w:p>
    <w:p>
      <w:r>
        <w:br w:type="page"/>
      </w:r>
    </w:p>
    <w:tbl>
      <w:tblPr>
        <w:tblStyle w:val="TableGrid"/>
        <w:tblW w:type="auto" w:w="0"/>
        <w:tblLook w:firstColumn="1" w:firstRow="1" w:lastColumn="0" w:lastRow="0" w:noHBand="0" w:noVBand="1" w:val="04A0"/>
      </w:tblPr>
      <w:tblGrid>
        <w:gridCol w:w="10224"/>
      </w:tblGrid>
      <w:tr>
        <w:tc>
          <w:tcPr>
            <w:tcW w:type="dxa" w:w="10224"/>
            <w:shd w:val="clear" w:color="auto" w:fill="404040"/>
          </w:tcPr>
          <w:p>
            <w:pPr>
              <w:spacing w:before="60" w:after="60"/>
            </w:pPr>
            <w:r>
              <w:rPr>
                <w:b/>
                <w:color w:val="FFFFFF"/>
                <w:sz w:val="26"/>
              </w:rPr>
              <w:t>TARGET TITLE 5 OF 6</w:t>
            </w:r>
          </w:p>
          <w:p>
            <w:pPr>
              <w:spacing w:after="60"/>
            </w:pPr>
            <w:r>
              <w:rPr>
                <w:color w:val="E0E0E0"/>
                <w:sz w:val="18"/>
              </w:rPr>
              <w:t>Demand Forecasting and Dynamic Price Optimization for Milk Retail Products Considering Remaining Shelf Life Using XGBoost</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1. Target Thesis Title</w:t>
            </w:r>
          </w:p>
        </w:tc>
      </w:tr>
    </w:tbl>
    <w:p>
      <w:pPr>
        <w:spacing w:after="40"/>
      </w:pPr>
    </w:p>
    <w:p>
      <w:pPr>
        <w:spacing w:after="120"/>
        <w:jc w:val="both"/>
      </w:pPr>
      <w:r>
        <w:rPr>
          <w:b/>
        </w:rPr>
        <w:t>Demand Forecasting and Dynamic Price Optimization for Milk Retail Products Considering Remaining Shelf Life Using XGBoost</w:t>
      </w:r>
    </w:p>
    <w:p>
      <w:pPr>
        <w:spacing w:after="120"/>
        <w:jc w:val="both"/>
      </w:pPr>
      <w:r>
        <w:t>Thesis specialization: Data Science</w:t>
      </w:r>
    </w:p>
    <w:p>
      <w:pPr>
        <w:spacing w:after="120"/>
        <w:jc w:val="both"/>
      </w:pPr>
      <w:r>
        <w:t>Primary technique: Predictive Analytics, from the approved Data Science technique list, supported by Optimization</w:t>
      </w:r>
    </w:p>
    <w:p>
      <w:pPr>
        <w:spacing w:after="120"/>
        <w:jc w:val="both"/>
      </w:pPr>
      <w:r>
        <w:t>Research domain: Machine Learning, Demand Forecasting, Dynamic Pricing, Retail Analytics, and Optimization</w:t>
      </w:r>
    </w:p>
    <w:p>
      <w:pPr>
        <w:spacing w:after="120"/>
        <w:jc w:val="both"/>
      </w:pPr>
      <w:r>
        <w:t>Proponents: Dawn Andrei Pamesa (Leader), Rogelio Porras, John Ashley Alba, Ralph Blanco</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2. Project Overview</w:t>
            </w:r>
          </w:p>
        </w:tc>
      </w:tr>
    </w:tbl>
    <w:p>
      <w:pPr>
        <w:spacing w:after="40"/>
      </w:pPr>
    </w:p>
    <w:p>
      <w:pPr>
        <w:spacing w:after="120"/>
        <w:jc w:val="both"/>
      </w:pPr>
      <w:r>
        <w:t>Background of the problem. Retail businesses that sell perishable products such as fresh milk, bread, yogurt, meat, and other short shelf-life goods face a unique pricing problem. Demand changes over time, while the opportunity to sell these products decreases as they approach expiration. Historical sales, pricing, inventory, and shelf-life data can be analyzed using machine learning to estimate future demand and support pricing decisions before products become unsellable.</w:t>
      </w:r>
    </w:p>
    <w:p>
      <w:pPr>
        <w:spacing w:after="120"/>
        <w:jc w:val="both"/>
      </w:pPr>
      <w:r>
        <w:t>Specific problem. General retail demand forecasting and price optimization methods may focus mainly on sales history, price, promotions, and seasonality. For milk products, retailers must also consider remaining inventory and the limited time available to sell each item. Poor pricing decisions may result in unsold products, unnecessary markdowns, or missed revenue opportunities. The study will investigate how demand forecasts and remaining shelf-life information can be combined to support dynamic pricing decisions.</w:t>
      </w:r>
    </w:p>
    <w:p>
      <w:pPr>
        <w:spacing w:after="120"/>
        <w:jc w:val="both"/>
      </w:pPr>
      <w:r>
        <w:t>Target users and beneficiaries. The target users are retail store owners, managers, pricing staff, and inventory personnel who handle milk products and make decisions about product pricing, stock movement, and markdowns.</w:t>
      </w:r>
    </w:p>
    <w:p>
      <w:pPr>
        <w:spacing w:after="120"/>
        <w:jc w:val="both"/>
      </w:pPr>
      <w:r>
        <w:t>Proposed solution. The study will develop a data-driven decision-support system for milk retail products; Machine learning models will analyze historical sales and product information to forecast demand. The study will compare models such as Linear Regression, Random Forest, and XGBoost using appropriate forecasting metrics. The selected model will estimate demand at candidate prices. A price optimization component will then evaluate those prices while considering predicted demand, product cost, remaining inventory, and remaining shelf life. The results will be presented through an interactive dashboard.</w:t>
      </w:r>
    </w:p>
    <w:p>
      <w:pPr>
        <w:spacing w:after="120"/>
        <w:jc w:val="both"/>
      </w:pPr>
      <w:r>
        <w:t>Main objectives. The project aims to analyze historical sales and pricing patterns of milk retail products, develop and compare machine learning models for demand forecasting, and examine how price and remaining shelf life relate to product demand, product cost, inventory, and shelf-life constraints. It also aims to create a dashboard that presents demand forecasts, product conditions, and pricing recommendations in an understandable format.</w:t>
      </w:r>
    </w:p>
    <w:p>
      <w:pPr>
        <w:spacing w:after="120"/>
        <w:jc w:val="both"/>
      </w:pPr>
      <w:r>
        <w:t>Expected output. The expected output is a retail analytics and decision-support system for milk products. The system will provide historical sales and price visualizations, demand forecasts, inventory and shelf-life information, candidate price evaluations, and recommended pricing decisions. The study will also report the performance of the selected machine learning models using metrics such as MAE, RMSE, and MAPE.</w:t>
      </w:r>
    </w:p>
    <w:p>
      <w:pPr>
        <w:spacing w:after="120"/>
        <w:jc w:val="both"/>
      </w:pPr>
      <w:r>
        <w:t>Intended contribution. The study will provide a more specific application of machine learning and optimization to retail pricing by focusing on products with limited shelf lives. Instead of treating pricing as a general retail problem, the proposed approach will investigate how remaining shelf life and inventory conditions can be incorporated into demand-based pricing decisions. The project may help retailers make more informed decisions about milk inventory while demonstrating a practical Data Science application of demand forecasting and optimization.</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3. Technical and Technology Feasibility</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2592"/>
            <w:shd w:val="clear" w:color="auto" w:fill="EDEDED"/>
          </w:tcPr>
          <w:p>
            <w:r>
              <w:rPr>
                <w:b/>
                <w:sz w:val="18"/>
              </w:rPr>
              <w:t>Date Submitted:</w:t>
            </w:r>
          </w:p>
        </w:tc>
        <w:tc>
          <w:tcPr>
            <w:tcW w:type="dxa" w:w="7632"/>
            <w:shd w:val="clear" w:color="auto" w:fill="EDEDED"/>
          </w:tcP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4. Dataset and Data Feasibility</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2592"/>
            <w:shd w:val="clear" w:color="auto" w:fill="EDEDED"/>
          </w:tcPr>
          <w:p>
            <w:r>
              <w:rPr>
                <w:b/>
                <w:sz w:val="18"/>
              </w:rPr>
              <w:t>Requirement</w:t>
            </w:r>
          </w:p>
        </w:tc>
        <w:tc>
          <w:tcPr>
            <w:tcW w:type="dxa" w:w="7632"/>
            <w:shd w:val="clear" w:color="auto" w:fill="EDEDED"/>
          </w:tcPr>
          <w:p>
            <w:r>
              <w:rPr>
                <w:b/>
                <w:sz w:val="18"/>
              </w:rPr>
              <w:t>Current assessment</w:t>
            </w:r>
          </w:p>
        </w:tc>
      </w:tr>
      <w:tr>
        <w:tc>
          <w:tcPr>
            <w:tcW w:type="dxa" w:w="2592"/>
          </w:tcPr>
          <w:p>
            <w:r>
              <w:rPr>
                <w:sz w:val="18"/>
              </w:rPr>
              <w:t>Dataset</w:t>
            </w:r>
          </w:p>
        </w:tc>
        <w:tc>
          <w:tcPr>
            <w:tcW w:type="dxa" w:w="7632"/>
          </w:tcPr>
          <w:p>
            <w:r>
              <w:rPr>
                <w:sz w:val="18"/>
              </w:rPr>
              <w:t>Historical transaction data for perishable retail products containing product, date, selling price, quantity sold, inventory, and shelf-life or expiration information.</w:t>
            </w:r>
          </w:p>
        </w:tc>
      </w:tr>
      <w:tr>
        <w:tc>
          <w:tcPr>
            <w:tcW w:type="dxa" w:w="2592"/>
          </w:tcPr>
          <w:p>
            <w:r>
              <w:rPr>
                <w:sz w:val="18"/>
              </w:rPr>
              <w:t>Provider</w:t>
            </w:r>
          </w:p>
        </w:tc>
        <w:tc>
          <w:tcPr>
            <w:tcW w:type="dxa" w:w="7632"/>
          </w:tcPr>
          <w:p>
            <w:r>
              <w:rPr>
                <w:sz w:val="18"/>
              </w:rPr>
              <w:t>Primary data may come from a partner grocery, convenience store, bakery, or other retailer selling perishable products. Suitable public datasets may support model development when necessary.</w:t>
            </w:r>
          </w:p>
        </w:tc>
      </w:tr>
      <w:tr>
        <w:tc>
          <w:tcPr>
            <w:tcW w:type="dxa" w:w="2592"/>
          </w:tcPr>
          <w:p>
            <w:r>
              <w:rPr>
                <w:sz w:val="18"/>
              </w:rPr>
              <w:t>Links</w:t>
            </w:r>
          </w:p>
        </w:tc>
        <w:tc>
          <w:tcPr>
            <w:tcW w:type="dxa" w:w="7632"/>
          </w:tcPr>
          <w:p>
            <w:r>
              <w:rPr>
                <w:sz w:val="18"/>
              </w:rPr>
              <w:t>To be finalized after confirming the primary dataset and participating retailer.</w:t>
            </w:r>
          </w:p>
        </w:tc>
      </w:tr>
      <w:tr>
        <w:tc>
          <w:tcPr>
            <w:tcW w:type="dxa" w:w="2592"/>
          </w:tcPr>
          <w:p>
            <w:r>
              <w:rPr>
                <w:sz w:val="18"/>
              </w:rPr>
              <w:t>Format and volume</w:t>
            </w:r>
          </w:p>
        </w:tc>
        <w:tc>
          <w:tcPr>
            <w:tcW w:type="dxa" w:w="7632"/>
          </w:tcPr>
          <w:p>
            <w:r>
              <w:rPr>
                <w:sz w:val="18"/>
              </w:rPr>
              <w:t>CSV, Excel, or database records are acceptable. At least one year of historical data is preferred to capture seasonal patterns, subject to actual data availability.</w:t>
            </w:r>
          </w:p>
        </w:tc>
      </w:tr>
      <w:tr>
        <w:tc>
          <w:tcPr>
            <w:tcW w:type="dxa" w:w="2592"/>
          </w:tcPr>
          <w:p>
            <w:r>
              <w:rPr>
                <w:sz w:val="18"/>
              </w:rPr>
              <w:t>Features</w:t>
            </w:r>
          </w:p>
        </w:tc>
        <w:tc>
          <w:tcPr>
            <w:tcW w:type="dxa" w:w="7632"/>
          </w:tcPr>
          <w:p>
            <w:r>
              <w:rPr>
                <w:sz w:val="18"/>
              </w:rPr>
              <w:t>Date, product ID/category, selling price, quantity sold, inventory level, product cost, promotions/discounts, expiration date or remaining shelf life, and derived calendar features.</w:t>
            </w:r>
          </w:p>
        </w:tc>
      </w:tr>
      <w:tr>
        <w:tc>
          <w:tcPr>
            <w:tcW w:type="dxa" w:w="2592"/>
          </w:tcPr>
          <w:p>
            <w:r>
              <w:rPr>
                <w:sz w:val="18"/>
              </w:rPr>
              <w:t>Target</w:t>
            </w:r>
          </w:p>
        </w:tc>
        <w:tc>
          <w:tcPr>
            <w:tcW w:type="dxa" w:w="7632"/>
          </w:tcPr>
          <w:p>
            <w:r>
              <w:rPr>
                <w:sz w:val="18"/>
              </w:rPr>
              <w:t>The main prediction target is product demand, represented by quantity sold during a defined period. Predicted demand will serve as an input to the dynamic price optimization process.</w:t>
            </w:r>
          </w:p>
        </w:tc>
      </w:tr>
      <w:tr>
        <w:tc>
          <w:tcPr>
            <w:tcW w:type="dxa" w:w="2592"/>
          </w:tcPr>
          <w:p>
            <w:r>
              <w:rPr>
                <w:sz w:val="18"/>
              </w:rPr>
              <w:t>Collection</w:t>
            </w:r>
          </w:p>
        </w:tc>
        <w:tc>
          <w:tcPr>
            <w:tcW w:type="dxa" w:w="7632"/>
          </w:tcPr>
          <w:p>
            <w:r>
              <w:rPr>
                <w:sz w:val="18"/>
              </w:rPr>
              <w:t>Historical sales, inventory, pricing, and shelf-life records will be requested from the participating retailer or extracted from its available records.</w:t>
            </w:r>
          </w:p>
        </w:tc>
      </w:tr>
      <w:tr>
        <w:tc>
          <w:tcPr>
            <w:tcW w:type="dxa" w:w="2592"/>
          </w:tcPr>
          <w:p>
            <w:r>
              <w:rPr>
                <w:sz w:val="18"/>
              </w:rPr>
              <w:t>Rights and privacy</w:t>
            </w:r>
          </w:p>
        </w:tc>
        <w:tc>
          <w:tcPr>
            <w:tcW w:type="dxa" w:w="7632"/>
          </w:tcPr>
          <w:p>
            <w:r>
              <w:rPr>
                <w:sz w:val="18"/>
              </w:rPr>
              <w:t>Permission will be obtained before using private retail data. Personally identifiable customer information is unnecessary and will be excluded. Sensitive business information will be protected when required.</w:t>
            </w:r>
          </w:p>
        </w:tc>
      </w:tr>
      <w:tr>
        <w:tc>
          <w:tcPr>
            <w:tcW w:type="dxa" w:w="2592"/>
          </w:tcPr>
          <w:p>
            <w:r>
              <w:rPr>
                <w:sz w:val="18"/>
              </w:rPr>
              <w:t>Quality and bias</w:t>
            </w:r>
          </w:p>
        </w:tc>
        <w:tc>
          <w:tcPr>
            <w:tcW w:type="dxa" w:w="7632"/>
          </w:tcPr>
          <w:p>
            <w:r>
              <w:rPr>
                <w:sz w:val="18"/>
              </w:rPr>
              <w:t>Data will be examined for missing transactions, incorrect prices, duplicates, stockouts, inconsistent product records, missing expiration information, and unusual sales events.</w:t>
            </w:r>
          </w:p>
        </w:tc>
      </w:tr>
      <w:tr>
        <w:tc>
          <w:tcPr>
            <w:tcW w:type="dxa" w:w="2592"/>
          </w:tcPr>
          <w:p>
            <w:r>
              <w:rPr>
                <w:sz w:val="18"/>
              </w:rPr>
              <w:t>Preprocessing</w:t>
            </w:r>
          </w:p>
        </w:tc>
        <w:tc>
          <w:tcPr>
            <w:tcW w:type="dxa" w:w="7632"/>
          </w:tcPr>
          <w:p>
            <w:r>
              <w:rPr>
                <w:sz w:val="18"/>
              </w:rPr>
              <w:t>Data cleaning, missing-value handling, duplicate removal, outlier assessment, categorical encoding, time-based feature engineering, and calculation of remaining shelf life will be performed.</w:t>
            </w:r>
          </w:p>
        </w:tc>
      </w:tr>
      <w:tr>
        <w:tc>
          <w:tcPr>
            <w:tcW w:type="dxa" w:w="2592"/>
          </w:tcPr>
          <w:p>
            <w:r>
              <w:rPr>
                <w:sz w:val="18"/>
              </w:rPr>
              <w:t>Validation split</w:t>
            </w:r>
          </w:p>
        </w:tc>
        <w:tc>
          <w:tcPr>
            <w:tcW w:type="dxa" w:w="7632"/>
          </w:tcPr>
          <w:p>
            <w:r>
              <w:rPr>
                <w:sz w:val="18"/>
              </w:rPr>
              <w:t>A chronological train-validation-test split will prevent future information from leaking into earlier observations. Time-series cross-validation may also be evaluated.</w:t>
            </w:r>
          </w:p>
        </w:tc>
      </w:tr>
      <w:tr>
        <w:tc>
          <w:tcPr>
            <w:tcW w:type="dxa" w:w="2592"/>
          </w:tcPr>
          <w:p>
            <w:r>
              <w:rPr>
                <w:sz w:val="18"/>
              </w:rPr>
              <w:t>Fallback</w:t>
            </w:r>
          </w:p>
        </w:tc>
        <w:tc>
          <w:tcPr>
            <w:tcW w:type="dxa" w:w="7632"/>
          </w:tcPr>
          <w:p>
            <w:r>
              <w:rPr>
                <w:sz w:val="18"/>
              </w:rPr>
              <w:t>If complete store data are unavailable, the scope may be limited to selected perishable products with sufficient sales and shelf-life records. A suitable public dataset may support model development where appropriate.</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5. Algorithm or Model Feasibility</w:t>
            </w:r>
          </w:p>
        </w:tc>
      </w:tr>
    </w:tbl>
    <w:p>
      <w:pPr>
        <w:spacing w:after="40"/>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shd w:val="clear" w:color="auto" w:fill="EDEDED"/>
          </w:tcPr>
          <w:p>
            <w:r>
              <w:rPr>
                <w:b/>
                <w:sz w:val="18"/>
              </w:rPr>
              <w:t>Evaluation</w:t>
            </w:r>
          </w:p>
        </w:tc>
        <w:tc>
          <w:tcPr>
            <w:tcW w:type="dxa" w:w="2736"/>
            <w:shd w:val="clear" w:color="auto" w:fill="EDEDED"/>
          </w:tcPr>
          <w:p>
            <w:r>
              <w:rPr>
                <w:b/>
                <w:sz w:val="18"/>
              </w:rPr>
              <w:t>Approach 1</w:t>
            </w:r>
          </w:p>
        </w:tc>
        <w:tc>
          <w:tcPr>
            <w:tcW w:type="dxa" w:w="2736"/>
            <w:shd w:val="clear" w:color="auto" w:fill="EDEDED"/>
          </w:tcPr>
          <w:p>
            <w:r>
              <w:rPr>
                <w:b/>
                <w:sz w:val="18"/>
              </w:rPr>
              <w:t>Approach 2</w:t>
            </w:r>
          </w:p>
        </w:tc>
        <w:tc>
          <w:tcPr>
            <w:tcW w:type="dxa" w:w="2880"/>
            <w:shd w:val="clear" w:color="auto" w:fill="EDEDED"/>
          </w:tcPr>
          <w:p>
            <w:r>
              <w:rPr>
                <w:b/>
                <w:sz w:val="18"/>
              </w:rPr>
              <w:t>Approach 3</w:t>
            </w:r>
          </w:p>
        </w:tc>
      </w:tr>
      <w:tr>
        <w:tc>
          <w:tcPr>
            <w:tcW w:type="dxa" w:w="1872"/>
          </w:tcPr>
          <w:p>
            <w:r>
              <w:rPr>
                <w:sz w:val="18"/>
              </w:rPr>
              <w:t>Name</w:t>
            </w:r>
          </w:p>
        </w:tc>
        <w:tc>
          <w:tcPr>
            <w:tcW w:type="dxa" w:w="2736"/>
          </w:tcPr>
          <w:p>
            <w:r>
              <w:rPr>
                <w:sz w:val="18"/>
              </w:rPr>
              <w:t>Linear Regression</w:t>
            </w:r>
          </w:p>
        </w:tc>
        <w:tc>
          <w:tcPr>
            <w:tcW w:type="dxa" w:w="2736"/>
          </w:tcPr>
          <w:p>
            <w:r>
              <w:rPr>
                <w:sz w:val="18"/>
              </w:rPr>
              <w:t>Random Forest</w:t>
            </w:r>
          </w:p>
        </w:tc>
        <w:tc>
          <w:tcPr>
            <w:tcW w:type="dxa" w:w="2880"/>
          </w:tcPr>
          <w:p>
            <w:r>
              <w:rPr>
                <w:sz w:val="18"/>
              </w:rPr>
              <w:t>XGBoost</w:t>
            </w:r>
          </w:p>
        </w:tc>
      </w:tr>
      <w:tr>
        <w:tc>
          <w:tcPr>
            <w:tcW w:type="dxa" w:w="1872"/>
          </w:tcPr>
          <w:p>
            <w:r>
              <w:rPr>
                <w:sz w:val="18"/>
              </w:rPr>
              <w:t>Purpose</w:t>
            </w:r>
          </w:p>
        </w:tc>
        <w:tc>
          <w:tcPr>
            <w:tcW w:type="dxa" w:w="2736"/>
          </w:tcPr>
          <w:p>
            <w:r>
              <w:rPr>
                <w:sz w:val="18"/>
              </w:rPr>
              <w:t>Baseline model for predicting product demand and examining price-demand relationships</w:t>
            </w:r>
          </w:p>
        </w:tc>
        <w:tc>
          <w:tcPr>
            <w:tcW w:type="dxa" w:w="2736"/>
          </w:tcPr>
          <w:p>
            <w:r>
              <w:rPr>
                <w:sz w:val="18"/>
              </w:rPr>
              <w:t>Nonlinear demand prediction using multiple retail factors</w:t>
            </w:r>
          </w:p>
        </w:tc>
        <w:tc>
          <w:tcPr>
            <w:tcW w:type="dxa" w:w="2880"/>
          </w:tcPr>
          <w:p>
            <w:r>
              <w:rPr>
                <w:sz w:val="18"/>
              </w:rPr>
              <w:t>Advanced boosting model for demand forecasting</w:t>
            </w:r>
          </w:p>
        </w:tc>
      </w:tr>
      <w:tr>
        <w:tc>
          <w:tcPr>
            <w:tcW w:type="dxa" w:w="1872"/>
          </w:tcPr>
          <w:p>
            <w:r>
              <w:rPr>
                <w:sz w:val="18"/>
              </w:rPr>
              <w:t>Data needs</w:t>
            </w:r>
          </w:p>
        </w:tc>
        <w:tc>
          <w:tcPr>
            <w:tcW w:type="dxa" w:w="2736"/>
          </w:tcPr>
          <w:p>
            <w:r>
              <w:rPr>
                <w:sz w:val="18"/>
              </w:rPr>
              <w:t>Historical price, quantity sold, and basic product/time features</w:t>
            </w:r>
          </w:p>
        </w:tc>
        <w:tc>
          <w:tcPr>
            <w:tcW w:type="dxa" w:w="2736"/>
          </w:tcPr>
          <w:p>
            <w:r>
              <w:rPr>
                <w:sz w:val="18"/>
              </w:rPr>
              <w:t>Historical sales with price, product, promotions, inventory, and time features</w:t>
            </w:r>
          </w:p>
        </w:tc>
        <w:tc>
          <w:tcPr>
            <w:tcW w:type="dxa" w:w="2880"/>
          </w:tcPr>
          <w:p>
            <w:r>
              <w:rPr>
                <w:sz w:val="18"/>
              </w:rPr>
              <w:t>Larger structured dataset with sales, pricing, promotions, inventory, and engineered time features</w:t>
            </w:r>
          </w:p>
        </w:tc>
      </w:tr>
      <w:tr>
        <w:tc>
          <w:tcPr>
            <w:tcW w:type="dxa" w:w="1872"/>
          </w:tcPr>
          <w:p>
            <w:r>
              <w:rPr>
                <w:sz w:val="18"/>
              </w:rPr>
              <w:t>Expected result</w:t>
            </w:r>
          </w:p>
        </w:tc>
        <w:tc>
          <w:tcPr>
            <w:tcW w:type="dxa" w:w="2736"/>
          </w:tcPr>
          <w:p>
            <w:r>
              <w:rPr>
                <w:sz w:val="18"/>
              </w:rPr>
              <w:t>Simple and interpretable baseline</w:t>
            </w:r>
          </w:p>
        </w:tc>
        <w:tc>
          <w:tcPr>
            <w:tcW w:type="dxa" w:w="2736"/>
          </w:tcPr>
          <w:p>
            <w:r>
              <w:rPr>
                <w:sz w:val="18"/>
              </w:rPr>
              <w:t>Strong performance with nonlinear retail patterns</w:t>
            </w:r>
          </w:p>
        </w:tc>
        <w:tc>
          <w:tcPr>
            <w:tcW w:type="dxa" w:w="2880"/>
          </w:tcPr>
          <w:p>
            <w:r>
              <w:rPr>
                <w:sz w:val="18"/>
              </w:rPr>
              <w:t>Potentially higher predictive performance after tuning</w:t>
            </w:r>
          </w:p>
        </w:tc>
      </w:tr>
    </w:tbl>
    <w:p>
      <w:pPr>
        <w:spacing w:after="40"/>
      </w:pPr>
    </w:p>
    <w:p>
      <w:pPr>
        <w:spacing w:after="120"/>
        <w:jc w:val="both"/>
      </w:pPr>
      <w:r>
        <w:t>Recommended approach. Linear Regression will serve as the baseline and will be compared with Random Forest and XGBoost for forecasting demand for selected perishable products. Input features may include historical sales, prices, inventory, promotions, calendar variables, and remaining shelf life. Model performance will be evaluated using MAE, RMSE, and MAPE. The selected model will estimate demand at candidate prices. The dynamic price optimization component will then evaluate these prices based on predicted demand, product cost, remaining inventory, and remaining shelf life under defined constraints.</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6. Operational Feasibility</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2592"/>
            <w:shd w:val="clear" w:color="auto" w:fill="EDEDED"/>
          </w:tcPr>
          <w:p>
            <w:r>
              <w:rPr>
                <w:b/>
                <w:sz w:val="18"/>
              </w:rPr>
              <w:t>Area</w:t>
            </w:r>
          </w:p>
        </w:tc>
        <w:tc>
          <w:tcPr>
            <w:tcW w:type="dxa" w:w="7632"/>
            <w:shd w:val="clear" w:color="auto" w:fill="EDEDED"/>
          </w:tcPr>
          <w:p>
            <w:r>
              <w:rPr>
                <w:b/>
                <w:sz w:val="18"/>
              </w:rPr>
              <w:t>Assessment</w:t>
            </w:r>
          </w:p>
        </w:tc>
      </w:tr>
      <w:tr>
        <w:tc>
          <w:tcPr>
            <w:tcW w:type="dxa" w:w="2592"/>
          </w:tcPr>
          <w:p>
            <w:r>
              <w:rPr>
                <w:sz w:val="18"/>
              </w:rPr>
              <w:t>Users and stakeholders</w:t>
            </w:r>
          </w:p>
        </w:tc>
        <w:tc>
          <w:tcPr>
            <w:tcW w:type="dxa" w:w="7632"/>
          </w:tcPr>
          <w:p>
            <w:r>
              <w:rPr>
                <w:sz w:val="18"/>
              </w:rPr>
              <w:t>Retail store owners, managers, inventory staff, and personnel responsible for pricing and managing perishable products.</w:t>
            </w:r>
          </w:p>
        </w:tc>
      </w:tr>
      <w:tr>
        <w:tc>
          <w:tcPr>
            <w:tcW w:type="dxa" w:w="2592"/>
          </w:tcPr>
          <w:p>
            <w:r>
              <w:rPr>
                <w:sz w:val="18"/>
              </w:rPr>
              <w:t>Environment and facilities</w:t>
            </w:r>
          </w:p>
        </w:tc>
        <w:tc>
          <w:tcPr>
            <w:tcW w:type="dxa" w:w="7632"/>
          </w:tcPr>
          <w:p>
            <w:r>
              <w:rPr>
                <w:sz w:val="18"/>
              </w:rPr>
              <w:t>A modern web browser, internet connection when deployed online, and a standard laptop or desktop computer. No specialized hardware is required.</w:t>
            </w:r>
          </w:p>
        </w:tc>
      </w:tr>
      <w:tr>
        <w:tc>
          <w:tcPr>
            <w:tcW w:type="dxa" w:w="2592"/>
          </w:tcPr>
          <w:p>
            <w:r>
              <w:rPr>
                <w:sz w:val="18"/>
              </w:rPr>
              <w:t>Benefits</w:t>
            </w:r>
          </w:p>
        </w:tc>
        <w:tc>
          <w:tcPr>
            <w:tcW w:type="dxa" w:w="7632"/>
          </w:tcPr>
          <w:p>
            <w:r>
              <w:rPr>
                <w:sz w:val="18"/>
              </w:rPr>
              <w:t>Provides demand forecasts and pricing analysis while considering inventory and remaining shelf life. It can support decisions involving pricing and perishable stock management.</w:t>
            </w:r>
          </w:p>
        </w:tc>
      </w:tr>
      <w:tr>
        <w:tc>
          <w:tcPr>
            <w:tcW w:type="dxa" w:w="2592"/>
          </w:tcPr>
          <w:p>
            <w:r>
              <w:rPr>
                <w:sz w:val="18"/>
              </w:rPr>
              <w:t>Usability</w:t>
            </w:r>
          </w:p>
        </w:tc>
        <w:tc>
          <w:tcPr>
            <w:tcW w:type="dxa" w:w="7632"/>
          </w:tcPr>
          <w:p>
            <w:r>
              <w:rPr>
                <w:sz w:val="18"/>
              </w:rPr>
              <w:t>Dashboard showing product demand, current inventory, remaining shelf life, historical sales, candidate prices, and pricing recommendations.</w:t>
            </w:r>
          </w:p>
        </w:tc>
      </w:tr>
      <w:tr>
        <w:tc>
          <w:tcPr>
            <w:tcW w:type="dxa" w:w="2592"/>
          </w:tcPr>
          <w:p>
            <w:r>
              <w:rPr>
                <w:sz w:val="18"/>
              </w:rPr>
              <w:t>Training and support</w:t>
            </w:r>
          </w:p>
        </w:tc>
        <w:tc>
          <w:tcPr>
            <w:tcW w:type="dxa" w:w="7632"/>
          </w:tcPr>
          <w:p>
            <w:r>
              <w:rPr>
                <w:sz w:val="18"/>
              </w:rPr>
              <w:t>User guide explaining forecasts, shelf-life information, pricing recommendations, and data updates.</w:t>
            </w:r>
          </w:p>
        </w:tc>
      </w:tr>
      <w:tr>
        <w:tc>
          <w:tcPr>
            <w:tcW w:type="dxa" w:w="2592"/>
          </w:tcPr>
          <w:p>
            <w:r>
              <w:rPr>
                <w:sz w:val="18"/>
              </w:rPr>
              <w:t>Maintenance</w:t>
            </w:r>
          </w:p>
        </w:tc>
        <w:tc>
          <w:tcPr>
            <w:tcW w:type="dxa" w:w="7632"/>
          </w:tcPr>
          <w:p>
            <w:r>
              <w:rPr>
                <w:sz w:val="18"/>
              </w:rPr>
              <w:t>New transactions, inventory records, and shelf-life data will be validated and added. Models may be retrained as additional historical data becomes available.</w:t>
            </w:r>
          </w:p>
        </w:tc>
      </w:tr>
      <w:tr>
        <w:tc>
          <w:tcPr>
            <w:tcW w:type="dxa" w:w="2592"/>
          </w:tcPr>
          <w:p>
            <w:r>
              <w:rPr>
                <w:sz w:val="18"/>
              </w:rPr>
              <w:t>Adoption challenges</w:t>
            </w:r>
          </w:p>
        </w:tc>
        <w:tc>
          <w:tcPr>
            <w:tcW w:type="dxa" w:w="7632"/>
          </w:tcPr>
          <w:p>
            <w:r>
              <w:rPr>
                <w:sz w:val="18"/>
              </w:rPr>
              <w:t>Missing expiration records, inconsistent inventory tracking, limited historical price variation, and retailer hesitation toward model-generated pricing recommendations.</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7. Economic Feasibility</w:t>
            </w:r>
          </w:p>
        </w:tc>
      </w:tr>
    </w:tbl>
    <w:p>
      <w:pPr>
        <w:spacing w:after="40"/>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val="clear" w:color="auto" w:fill="EDEDED"/>
          </w:tcPr>
          <w:p>
            <w:r>
              <w:rPr>
                <w:b/>
                <w:sz w:val="18"/>
              </w:rPr>
              <w:t>Expense</w:t>
            </w:r>
          </w:p>
        </w:tc>
        <w:tc>
          <w:tcPr>
            <w:tcW w:type="dxa" w:w="1728"/>
            <w:shd w:val="clear" w:color="auto" w:fill="EDEDED"/>
          </w:tcPr>
          <w:p>
            <w:r>
              <w:rPr>
                <w:b/>
                <w:sz w:val="18"/>
              </w:rPr>
              <w:t>Estimated cost</w:t>
            </w:r>
          </w:p>
        </w:tc>
        <w:tc>
          <w:tcPr>
            <w:tcW w:type="dxa" w:w="3312"/>
            <w:shd w:val="clear" w:color="auto" w:fill="EDEDED"/>
          </w:tcPr>
          <w:p>
            <w:r>
              <w:rPr>
                <w:b/>
                <w:sz w:val="18"/>
              </w:rPr>
              <w:t>Purpose</w:t>
            </w:r>
          </w:p>
        </w:tc>
        <w:tc>
          <w:tcPr>
            <w:tcW w:type="dxa" w:w="3024"/>
            <w:shd w:val="clear" w:color="auto" w:fill="EDEDED"/>
          </w:tcPr>
          <w:p>
            <w:r>
              <w:rPr>
                <w:b/>
                <w:sz w:val="18"/>
              </w:rPr>
              <w:t>Alternative</w:t>
            </w:r>
          </w:p>
        </w:tc>
      </w:tr>
      <w:tr>
        <w:tc>
          <w:tcPr>
            <w:tcW w:type="dxa" w:w="2160"/>
          </w:tcPr>
          <w:p>
            <w:r>
              <w:rPr>
                <w:sz w:val="18"/>
              </w:rPr>
              <w:t>Software licenses</w:t>
            </w:r>
          </w:p>
        </w:tc>
        <w:tc>
          <w:tcPr>
            <w:tcW w:type="dxa" w:w="1728"/>
          </w:tcPr>
          <w:p>
            <w:r>
              <w:rPr>
                <w:sz w:val="18"/>
              </w:rPr>
              <w:t>PHP 0</w:t>
            </w:r>
          </w:p>
        </w:tc>
        <w:tc>
          <w:tcPr>
            <w:tcW w:type="dxa" w:w="3312"/>
          </w:tcPr>
          <w:p>
            <w:r>
              <w:rPr>
                <w:sz w:val="18"/>
              </w:rPr>
              <w:t>Python, MySQL, and open-source machine learning libraries</w:t>
            </w:r>
          </w:p>
        </w:tc>
        <w:tc>
          <w:tcPr>
            <w:tcW w:type="dxa" w:w="3024"/>
          </w:tcPr>
          <w:p>
            <w:r>
              <w:rPr>
                <w:sz w:val="18"/>
              </w:rPr>
              <w:t>Free academic/open-source tools</w:t>
            </w:r>
          </w:p>
        </w:tc>
      </w:tr>
      <w:tr>
        <w:tc>
          <w:tcPr>
            <w:tcW w:type="dxa" w:w="2160"/>
          </w:tcPr>
          <w:p>
            <w:r>
              <w:rPr>
                <w:sz w:val="18"/>
              </w:rPr>
              <w:t>APIs/subscriptions</w:t>
            </w:r>
          </w:p>
        </w:tc>
        <w:tc>
          <w:tcPr>
            <w:tcW w:type="dxa" w:w="1728"/>
          </w:tcPr>
          <w:p>
            <w:r>
              <w:rPr>
                <w:sz w:val="18"/>
              </w:rPr>
              <w:t>PHP 0-500</w:t>
            </w:r>
          </w:p>
        </w:tc>
        <w:tc>
          <w:tcPr>
            <w:tcW w:type="dxa" w:w="3312"/>
          </w:tcPr>
          <w:p>
            <w:r>
              <w:rPr>
                <w:sz w:val="18"/>
              </w:rPr>
              <w:t>Optional external services or deployment tools</w:t>
            </w:r>
          </w:p>
        </w:tc>
        <w:tc>
          <w:tcPr>
            <w:tcW w:type="dxa" w:w="3024"/>
          </w:tcPr>
          <w:p>
            <w:r>
              <w:rPr>
                <w:sz w:val="18"/>
              </w:rPr>
              <w:t>Use free-tier services or locally stored retail data</w:t>
            </w:r>
          </w:p>
        </w:tc>
      </w:tr>
      <w:tr>
        <w:tc>
          <w:tcPr>
            <w:tcW w:type="dxa" w:w="2160"/>
          </w:tcPr>
          <w:p>
            <w:r>
              <w:rPr>
                <w:sz w:val="18"/>
              </w:rPr>
              <w:t>Hosting/storage</w:t>
            </w:r>
          </w:p>
        </w:tc>
        <w:tc>
          <w:tcPr>
            <w:tcW w:type="dxa" w:w="1728"/>
          </w:tcPr>
          <w:p>
            <w:r>
              <w:rPr>
                <w:sz w:val="18"/>
              </w:rPr>
              <w:t>PHP 0-1,000</w:t>
            </w:r>
          </w:p>
        </w:tc>
        <w:tc>
          <w:tcPr>
            <w:tcW w:type="dxa" w:w="3312"/>
          </w:tcPr>
          <w:p>
            <w:r>
              <w:rPr>
                <w:sz w:val="18"/>
              </w:rPr>
              <w:t>Hosting the web application, database, and model</w:t>
            </w:r>
          </w:p>
        </w:tc>
        <w:tc>
          <w:tcPr>
            <w:tcW w:type="dxa" w:w="3024"/>
          </w:tcPr>
          <w:p>
            <w:r>
              <w:rPr>
                <w:sz w:val="18"/>
              </w:rPr>
              <w:t>Free-tier hosting or local deployment</w:t>
            </w:r>
          </w:p>
        </w:tc>
      </w:tr>
      <w:tr>
        <w:tc>
          <w:tcPr>
            <w:tcW w:type="dxa" w:w="2160"/>
          </w:tcPr>
          <w:p>
            <w:r>
              <w:rPr>
                <w:sz w:val="18"/>
              </w:rPr>
              <w:t>Dataset/collection</w:t>
            </w:r>
          </w:p>
        </w:tc>
        <w:tc>
          <w:tcPr>
            <w:tcW w:type="dxa" w:w="1728"/>
          </w:tcPr>
          <w:p>
            <w:r>
              <w:rPr>
                <w:sz w:val="18"/>
              </w:rPr>
              <w:t>PHP 0-500</w:t>
            </w:r>
          </w:p>
        </w:tc>
        <w:tc>
          <w:tcPr>
            <w:tcW w:type="dxa" w:w="3312"/>
          </w:tcPr>
          <w:p>
            <w:r>
              <w:rPr>
                <w:sz w:val="18"/>
              </w:rPr>
              <w:t>Collection, preparation, and storage of historical sales, inventory, pricing, and shelf-life data.</w:t>
            </w:r>
          </w:p>
        </w:tc>
        <w:tc>
          <w:tcPr>
            <w:tcW w:type="dxa" w:w="3024"/>
          </w:tcPr>
          <w:p>
            <w:r>
              <w:rPr>
                <w:sz w:val="18"/>
              </w:rPr>
              <w:t>Partner-store records or suitable public datasets</w:t>
            </w:r>
          </w:p>
        </w:tc>
      </w:tr>
      <w:tr>
        <w:tc>
          <w:tcPr>
            <w:tcW w:type="dxa" w:w="2160"/>
          </w:tcPr>
          <w:p>
            <w:r>
              <w:rPr>
                <w:sz w:val="18"/>
              </w:rPr>
              <w:t>Hardware</w:t>
            </w:r>
          </w:p>
        </w:tc>
        <w:tc>
          <w:tcPr>
            <w:tcW w:type="dxa" w:w="1728"/>
          </w:tcPr>
          <w:p>
            <w:r>
              <w:rPr>
                <w:sz w:val="18"/>
              </w:rPr>
              <w:t>PHP 0</w:t>
            </w:r>
          </w:p>
        </w:tc>
        <w:tc>
          <w:tcPr>
            <w:tcW w:type="dxa" w:w="3312"/>
          </w:tcPr>
          <w:p>
            <w:r>
              <w:rPr>
                <w:sz w:val="18"/>
              </w:rPr>
              <w:t>Existing laptops or school computers for development and model training</w:t>
            </w:r>
          </w:p>
        </w:tc>
        <w:tc>
          <w:tcPr>
            <w:tcW w:type="dxa" w:w="3024"/>
          </w:tcPr>
          <w:p>
            <w:r>
              <w:rPr>
                <w:sz w:val="18"/>
              </w:rPr>
              <w:t>School laboratory computers or Google Colab</w:t>
            </w:r>
          </w:p>
        </w:tc>
      </w:tr>
      <w:tr>
        <w:tc>
          <w:tcPr>
            <w:tcW w:type="dxa" w:w="2160"/>
          </w:tcPr>
          <w:p>
            <w:r>
              <w:rPr>
                <w:sz w:val="18"/>
              </w:rPr>
              <w:t>Consultation/testing</w:t>
            </w:r>
          </w:p>
        </w:tc>
        <w:tc>
          <w:tcPr>
            <w:tcW w:type="dxa" w:w="1728"/>
          </w:tcPr>
          <w:p>
            <w:r>
              <w:rPr>
                <w:sz w:val="18"/>
              </w:rPr>
              <w:t>PHP 0-1,000</w:t>
            </w:r>
          </w:p>
        </w:tc>
        <w:tc>
          <w:tcPr>
            <w:tcW w:type="dxa" w:w="3312"/>
          </w:tcPr>
          <w:p>
            <w:r>
              <w:rPr>
                <w:sz w:val="18"/>
              </w:rPr>
              <w:t>Meetings with retail stakeholders, user testing, and system evaluation</w:t>
            </w:r>
          </w:p>
        </w:tc>
        <w:tc>
          <w:tcPr>
            <w:tcW w:type="dxa" w:w="3024"/>
          </w:tcPr>
          <w:p>
            <w:r>
              <w:rPr>
                <w:sz w:val="18"/>
              </w:rPr>
              <w:t>Online meetings and local system testing</w:t>
            </w:r>
          </w:p>
        </w:tc>
      </w:tr>
      <w:tr>
        <w:tc>
          <w:tcPr>
            <w:tcW w:type="dxa" w:w="2160"/>
          </w:tcPr>
          <w:p>
            <w:r>
              <w:rPr>
                <w:sz w:val="18"/>
              </w:rPr>
              <w:t>Contingency</w:t>
            </w:r>
          </w:p>
        </w:tc>
        <w:tc>
          <w:tcPr>
            <w:tcW w:type="dxa" w:w="1728"/>
          </w:tcPr>
          <w:p>
            <w:r>
              <w:rPr>
                <w:sz w:val="18"/>
              </w:rPr>
              <w:t>PHP 1,000</w:t>
            </w:r>
          </w:p>
        </w:tc>
        <w:tc>
          <w:tcPr>
            <w:tcW w:type="dxa" w:w="3312"/>
          </w:tcPr>
          <w:p>
            <w:r>
              <w:rPr>
                <w:sz w:val="18"/>
              </w:rPr>
              <w:t>Unexpected hosting, data collection, transportation, or service expenses</w:t>
            </w:r>
          </w:p>
        </w:tc>
        <w:tc>
          <w:tcPr>
            <w:tcW w:type="dxa" w:w="3024"/>
          </w:tcPr>
          <w:p>
            <w:r>
              <w:rPr>
                <w:sz w:val="18"/>
              </w:rPr>
              <w:t>Use free services and local deployment when possible</w:t>
            </w:r>
          </w:p>
        </w:tc>
      </w:tr>
      <w:tr>
        <w:tc>
          <w:tcPr>
            <w:tcW w:type="dxa" w:w="2160"/>
          </w:tcPr>
          <w:p>
            <w:r>
              <w:rPr>
                <w:sz w:val="18"/>
              </w:rPr>
              <w:t>Total</w:t>
            </w:r>
          </w:p>
        </w:tc>
        <w:tc>
          <w:tcPr>
            <w:tcW w:type="dxa" w:w="1728"/>
          </w:tcPr>
          <w:p>
            <w:r>
              <w:rPr>
                <w:sz w:val="18"/>
              </w:rPr>
              <w:t>PHP 1,000-4,000</w:t>
            </w:r>
          </w:p>
        </w:tc>
        <w:tc>
          <w:tcPr>
            <w:tcW w:type="dxa" w:w="3312"/>
          </w:tcPr>
          <w:p>
            <w:r>
              <w:rPr>
                <w:sz w:val="18"/>
              </w:rPr>
              <w:t>Estimated project development expenses</w:t>
            </w:r>
          </w:p>
        </w:tc>
        <w:tc>
          <w:tcPr>
            <w:tcW w:type="dxa" w:w="3024"/>
          </w:tcPr>
          <w:p>
            <w:r>
              <w:rPr>
                <w:sz w:val="18"/>
              </w:rPr>
              <w:t>A mostly free and open-source setup can reduce costs</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8. Schedule Feasibility</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1728"/>
            <w:shd w:val="clear" w:color="auto" w:fill="EDEDED"/>
          </w:tcPr>
          <w:p>
            <w:r>
              <w:rPr>
                <w:b/>
                <w:sz w:val="18"/>
              </w:rPr>
              <w:t>Period</w:t>
            </w:r>
          </w:p>
        </w:tc>
        <w:tc>
          <w:tcPr>
            <w:tcW w:type="dxa" w:w="8496"/>
            <w:shd w:val="clear" w:color="auto" w:fill="EDEDED"/>
          </w:tcPr>
          <w:p>
            <w:r>
              <w:rPr>
                <w:b/>
                <w:sz w:val="18"/>
              </w:rPr>
              <w:t>Activities</w:t>
            </w:r>
          </w:p>
        </w:tc>
      </w:tr>
    </w:tbl>
    <w:p>
      <w:pPr>
        <w:spacing w:after="40"/>
      </w:pPr>
    </w:p>
    <w:p>
      <w:pPr>
        <w:spacing w:after="120"/>
        <w:jc w:val="both"/>
      </w:pPr>
      <w:r>
        <w:t>Possible delays. Limited historical sales data, missing shelf-life or expiration records, inconsistent inventory information, and model tuning may affect the project timeline. These risks will be addressed through early dataset assessment, weekly milestones, regular backups, early baseline development, and limiting the study to products with sufficient records when necessary.</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9. Legal and Ethical Feasibility</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2592"/>
            <w:shd w:val="clear" w:color="auto" w:fill="EDEDED"/>
          </w:tcPr>
          <w:p>
            <w:r>
              <w:rPr>
                <w:b/>
                <w:sz w:val="18"/>
              </w:rPr>
              <w:t>Topic</w:t>
            </w:r>
          </w:p>
        </w:tc>
        <w:tc>
          <w:tcPr>
            <w:tcW w:type="dxa" w:w="7632"/>
            <w:shd w:val="clear" w:color="auto" w:fill="EDEDED"/>
          </w:tcPr>
          <w:p>
            <w:r>
              <w:rPr>
                <w:b/>
                <w:sz w:val="18"/>
              </w:rPr>
              <w:t>Assessment</w:t>
            </w:r>
          </w:p>
        </w:tc>
      </w:tr>
      <w:tr>
        <w:tc>
          <w:tcPr>
            <w:tcW w:type="dxa" w:w="2592"/>
          </w:tcPr>
          <w:p>
            <w:r>
              <w:rPr>
                <w:sz w:val="18"/>
              </w:rPr>
              <w:t>Privacy and consent</w:t>
            </w:r>
          </w:p>
        </w:tc>
        <w:tc>
          <w:tcPr>
            <w:tcW w:type="dxa" w:w="7632"/>
          </w:tcPr>
          <w:p>
            <w:r>
              <w:rPr>
                <w:sz w:val="18"/>
              </w:rPr>
              <w:t>The study will use historical retail sales and product data. Personal customer information will not be required. If private store data are used, permission will be obtained from the store, and sensitive business information will be anonymized when necessary.</w:t>
            </w:r>
          </w:p>
        </w:tc>
      </w:tr>
      <w:tr>
        <w:tc>
          <w:tcPr>
            <w:tcW w:type="dxa" w:w="2592"/>
          </w:tcPr>
          <w:p>
            <w:r>
              <w:rPr>
                <w:sz w:val="18"/>
              </w:rPr>
              <w:t>Ethics review</w:t>
            </w:r>
          </w:p>
        </w:tc>
        <w:tc>
          <w:tcPr>
            <w:tcW w:type="dxa" w:w="7632"/>
          </w:tcPr>
          <w:p>
            <w:r>
              <w:rPr>
                <w:sz w:val="18"/>
              </w:rPr>
              <w:t>The study is expected to involve minimal risk. Any surveys, interviews, or usability testing involving participants will follow the institution’s research ethics requirements and informed consent procedures.</w:t>
            </w:r>
          </w:p>
        </w:tc>
      </w:tr>
      <w:tr>
        <w:tc>
          <w:tcPr>
            <w:tcW w:type="dxa" w:w="2592"/>
          </w:tcPr>
          <w:p>
            <w:r>
              <w:rPr>
                <w:sz w:val="18"/>
              </w:rPr>
              <w:t>Ownership and licensing</w:t>
            </w:r>
          </w:p>
        </w:tc>
        <w:tc>
          <w:tcPr>
            <w:tcW w:type="dxa" w:w="7632"/>
          </w:tcPr>
          <w:p>
            <w:r>
              <w:rPr>
                <w:sz w:val="18"/>
              </w:rPr>
              <w:t>Store-provided data will be used only with permission. Public datasets, software libraries, and other resources will follow their respective licenses and terms of use. All external sources will be properly cited.</w:t>
            </w:r>
          </w:p>
        </w:tc>
      </w:tr>
      <w:tr>
        <w:tc>
          <w:tcPr>
            <w:tcW w:type="dxa" w:w="2592"/>
          </w:tcPr>
          <w:p>
            <w:r>
              <w:rPr>
                <w:sz w:val="18"/>
              </w:rPr>
              <w:t>Cybersecurity</w:t>
            </w:r>
          </w:p>
        </w:tc>
        <w:tc>
          <w:tcPr>
            <w:tcW w:type="dxa" w:w="7632"/>
          </w:tcPr>
          <w:p>
            <w:r>
              <w:rPr>
                <w:sz w:val="18"/>
              </w:rPr>
              <w:t>User authentication, password hashing, access controls, input validation, and regular backups will be implemented. Sensitive store data and account credentials will not be publicly exposed.</w:t>
            </w:r>
          </w:p>
        </w:tc>
      </w:tr>
      <w:tr>
        <w:tc>
          <w:tcPr>
            <w:tcW w:type="dxa" w:w="2592"/>
          </w:tcPr>
          <w:p>
            <w:r>
              <w:rPr>
                <w:sz w:val="18"/>
              </w:rPr>
              <w:t>Fairness and transparency</w:t>
            </w:r>
          </w:p>
        </w:tc>
        <w:tc>
          <w:tcPr>
            <w:tcW w:type="dxa" w:w="7632"/>
          </w:tcPr>
          <w:p>
            <w:r>
              <w:rPr>
                <w:sz w:val="18"/>
              </w:rPr>
              <w:t>The study will document the features, preprocessing methods, model evaluation metrics, and limitations. Demand forecasting results will be evaluated using MAE, RMSE, and MAPE. Factors such as limited data, seasonal patterns, and unusual sales events will also be considered when interpreting results.</w:t>
            </w:r>
          </w:p>
        </w:tc>
      </w:tr>
      <w:tr>
        <w:tc>
          <w:tcPr>
            <w:tcW w:type="dxa" w:w="2592"/>
          </w:tcPr>
          <w:p>
            <w:r>
              <w:rPr>
                <w:sz w:val="18"/>
              </w:rPr>
              <w:t>Misuse</w:t>
            </w:r>
          </w:p>
        </w:tc>
        <w:tc>
          <w:tcPr>
            <w:tcW w:type="dxa" w:w="7632"/>
          </w:tcPr>
          <w:p>
            <w:r>
              <w:rPr>
                <w:sz w:val="18"/>
              </w:rPr>
              <w:t>Dynamic pricing recommendations will serve only as decision-support information and will not automatically change product prices. The system will not recommend selling products beyond their valid shelf life or expiration date. Users will be informed that demand forecasts and recommended prices are estimates based on historical data and defined optimization criteria.</w:t>
            </w:r>
          </w:p>
        </w:tc>
      </w:tr>
      <w:tr>
        <w:tc>
          <w:tcPr>
            <w:tcW w:type="dxa" w:w="2592"/>
          </w:tcPr>
          <w:p>
            <w:r>
              <w:rPr>
                <w:sz w:val="18"/>
              </w:rPr>
              <w:t>Fairness and transparency</w:t>
            </w:r>
          </w:p>
        </w:tc>
        <w:tc>
          <w:tcPr>
            <w:tcW w:type="dxa" w:w="7632"/>
          </w:tcPr>
          <w:p>
            <w:r>
              <w:rPr>
                <w:sz w:val="18"/>
              </w:rPr>
              <w:t>The study will document the features, preprocessing methods, model evaluation metrics, optimization criteria, and limitations. Pricing recommendations will clearly show that they are model-based estimates influenced by historical demand, inventory, price, and remaining shelf life.</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10. Risk Assessment and Feasibility Conclusion</w:t>
            </w:r>
          </w:p>
        </w:tc>
      </w:tr>
    </w:tbl>
    <w:p>
      <w:pPr>
        <w:spacing w:after="40"/>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168"/>
            <w:shd w:val="clear" w:color="auto" w:fill="EDEDED"/>
          </w:tcPr>
          <w:p>
            <w:r>
              <w:rPr>
                <w:b/>
                <w:sz w:val="18"/>
              </w:rPr>
              <w:t>Risk</w:t>
            </w:r>
          </w:p>
        </w:tc>
        <w:tc>
          <w:tcPr>
            <w:tcW w:type="dxa" w:w="1296"/>
            <w:shd w:val="clear" w:color="auto" w:fill="EDEDED"/>
          </w:tcPr>
          <w:p>
            <w:r>
              <w:rPr>
                <w:b/>
                <w:sz w:val="18"/>
              </w:rPr>
              <w:t>Likelihood</w:t>
            </w:r>
          </w:p>
        </w:tc>
        <w:tc>
          <w:tcPr>
            <w:tcW w:type="dxa" w:w="1152"/>
            <w:shd w:val="clear" w:color="auto" w:fill="EDEDED"/>
          </w:tcPr>
          <w:p>
            <w:r>
              <w:rPr>
                <w:b/>
                <w:sz w:val="18"/>
              </w:rPr>
              <w:t>Impact</w:t>
            </w:r>
          </w:p>
        </w:tc>
        <w:tc>
          <w:tcPr>
            <w:tcW w:type="dxa" w:w="4608"/>
            <w:shd w:val="clear" w:color="auto" w:fill="EDEDED"/>
          </w:tcPr>
          <w:p>
            <w:r>
              <w:rPr>
                <w:b/>
                <w:sz w:val="18"/>
              </w:rPr>
              <w:t>Mitigation</w:t>
            </w:r>
          </w:p>
        </w:tc>
      </w:tr>
      <w:tr>
        <w:tc>
          <w:tcPr>
            <w:tcW w:type="dxa" w:w="3168"/>
          </w:tcPr>
          <w:p>
            <w:r>
              <w:rPr>
                <w:sz w:val="18"/>
              </w:rPr>
              <w:t>Insufficient sales, inventory, or shelf-life data</w:t>
            </w:r>
          </w:p>
        </w:tc>
        <w:tc>
          <w:tcPr>
            <w:tcW w:type="dxa" w:w="1296"/>
          </w:tcPr>
          <w:p>
            <w:r>
              <w:rPr>
                <w:sz w:val="18"/>
              </w:rPr>
              <w:t>Medium</w:t>
            </w:r>
          </w:p>
        </w:tc>
        <w:tc>
          <w:tcPr>
            <w:tcW w:type="dxa" w:w="1152"/>
          </w:tcPr>
          <w:p>
            <w:r>
              <w:rPr>
                <w:sz w:val="18"/>
              </w:rPr>
              <w:t>High</w:t>
            </w:r>
          </w:p>
        </w:tc>
        <w:tc>
          <w:tcPr>
            <w:tcW w:type="dxa" w:w="4608"/>
          </w:tcPr>
          <w:p>
            <w:r>
              <w:rPr>
                <w:sz w:val="18"/>
              </w:rPr>
              <w:t>Assess data availability before model development. Prioritize products with sufficient sales, price, inventory, and shelf-life records. Reduce the product scope or use an appropriate public dataset for model development if necessary.</w:t>
            </w:r>
          </w:p>
        </w:tc>
      </w:tr>
      <w:tr>
        <w:tc>
          <w:tcPr>
            <w:tcW w:type="dxa" w:w="3168"/>
          </w:tcPr>
          <w:p>
            <w:r>
              <w:rPr>
                <w:sz w:val="18"/>
              </w:rPr>
              <w:t>Technology difficult to implement</w:t>
            </w:r>
          </w:p>
        </w:tc>
        <w:tc>
          <w:tcPr>
            <w:tcW w:type="dxa" w:w="1296"/>
          </w:tcPr>
          <w:p>
            <w:r>
              <w:rPr>
                <w:sz w:val="18"/>
              </w:rPr>
              <w:t>Low</w:t>
            </w:r>
          </w:p>
        </w:tc>
        <w:tc>
          <w:tcPr>
            <w:tcW w:type="dxa" w:w="1152"/>
          </w:tcPr>
          <w:p>
            <w:r>
              <w:rPr>
                <w:sz w:val="18"/>
              </w:rPr>
              <w:t>Medium</w:t>
            </w:r>
          </w:p>
        </w:tc>
        <w:tc>
          <w:tcPr>
            <w:tcW w:type="dxa" w:w="4608"/>
          </w:tcPr>
          <w:p>
            <w:r>
              <w:rPr>
                <w:sz w:val="18"/>
              </w:rPr>
              <w:t>Use familiar technologies such as Python, MySQL, Scikit-learn, XGBoost, and a simple web framework. Develop each component separately before system integration.</w:t>
            </w:r>
          </w:p>
        </w:tc>
      </w:tr>
      <w:tr>
        <w:tc>
          <w:tcPr>
            <w:tcW w:type="dxa" w:w="3168"/>
          </w:tcPr>
          <w:p>
            <w:r>
              <w:rPr>
                <w:sz w:val="18"/>
              </w:rPr>
              <w:t>Algorithms produce poor results</w:t>
            </w:r>
          </w:p>
        </w:tc>
        <w:tc>
          <w:tcPr>
            <w:tcW w:type="dxa" w:w="1296"/>
          </w:tcPr>
          <w:p>
            <w:r>
              <w:rPr>
                <w:sz w:val="18"/>
              </w:rPr>
              <w:t>Medium</w:t>
            </w:r>
          </w:p>
        </w:tc>
        <w:tc>
          <w:tcPr>
            <w:tcW w:type="dxa" w:w="1152"/>
          </w:tcPr>
          <w:p>
            <w:r>
              <w:rPr>
                <w:sz w:val="18"/>
              </w:rPr>
              <w:t>High</w:t>
            </w:r>
          </w:p>
        </w:tc>
        <w:tc>
          <w:tcPr>
            <w:tcW w:type="dxa" w:w="4608"/>
          </w:tcPr>
          <w:p>
            <w:r>
              <w:rPr>
                <w:sz w:val="18"/>
              </w:rPr>
              <w:t>Compare Linear Regression, Random Forest, and XGBoost. Perform feature engineering and hyperparameter tuning, and evaluate models using MAE, RMSE, and MAPE.</w:t>
            </w:r>
          </w:p>
        </w:tc>
      </w:tr>
      <w:tr>
        <w:tc>
          <w:tcPr>
            <w:tcW w:type="dxa" w:w="3168"/>
          </w:tcPr>
          <w:p>
            <w:r>
              <w:rPr>
                <w:sz w:val="18"/>
              </w:rPr>
              <w:t>Respondents unavailable</w:t>
            </w:r>
          </w:p>
        </w:tc>
        <w:tc>
          <w:tcPr>
            <w:tcW w:type="dxa" w:w="1296"/>
          </w:tcPr>
          <w:p>
            <w:r>
              <w:rPr>
                <w:sz w:val="18"/>
              </w:rPr>
              <w:t>Low</w:t>
            </w:r>
          </w:p>
        </w:tc>
        <w:tc>
          <w:tcPr>
            <w:tcW w:type="dxa" w:w="1152"/>
          </w:tcPr>
          <w:p>
            <w:r>
              <w:rPr>
                <w:sz w:val="18"/>
              </w:rPr>
              <w:t>Low</w:t>
            </w:r>
          </w:p>
        </w:tc>
        <w:tc>
          <w:tcPr>
            <w:tcW w:type="dxa" w:w="4608"/>
          </w:tcPr>
          <w:p>
            <w:r>
              <w:rPr>
                <w:sz w:val="18"/>
              </w:rPr>
              <w:t>Schedule usability testing early. If retail staff are unavailable, qualified evaluators may be considered according to the study's approved evaluation plan.</w:t>
            </w:r>
          </w:p>
        </w:tc>
      </w:tr>
      <w:tr>
        <w:tc>
          <w:tcPr>
            <w:tcW w:type="dxa" w:w="3168"/>
          </w:tcPr>
          <w:p>
            <w:r>
              <w:rPr>
                <w:sz w:val="18"/>
              </w:rPr>
              <w:t>Insufficient price variation</w:t>
            </w:r>
          </w:p>
        </w:tc>
        <w:tc>
          <w:tcPr>
            <w:tcW w:type="dxa" w:w="1296"/>
          </w:tcPr>
          <w:p>
            <w:r>
              <w:rPr>
                <w:sz w:val="18"/>
              </w:rPr>
              <w:t>Medium</w:t>
            </w:r>
          </w:p>
        </w:tc>
        <w:tc>
          <w:tcPr>
            <w:tcW w:type="dxa" w:w="1152"/>
          </w:tcPr>
          <w:p>
            <w:r>
              <w:rPr>
                <w:sz w:val="18"/>
              </w:rPr>
              <w:t>High</w:t>
            </w:r>
          </w:p>
        </w:tc>
        <w:tc>
          <w:tcPr>
            <w:tcW w:type="dxa" w:w="4608"/>
          </w:tcPr>
          <w:p>
            <w:r>
              <w:rPr>
                <w:sz w:val="18"/>
              </w:rPr>
              <w:t>Evaluate historical price variation during dataset assessment. Limit optimization experiments to products with enough observed price</w:t>
            </w:r>
          </w:p>
        </w:tc>
      </w:tr>
    </w:tbl>
    <w:p>
      <w:pPr>
        <w:spacing w:after="40"/>
      </w:pPr>
    </w:p>
    <w:p>
      <w:pPr>
        <w:spacing w:after="120"/>
        <w:jc w:val="both"/>
      </w:pPr>
      <w:r>
        <w:t>Conclusion for this title: FEASIBLE WITH MODIFICATIONS.</w:t>
      </w:r>
    </w:p>
    <w:p>
      <w:pPr>
        <w:spacing w:after="120"/>
        <w:jc w:val="both"/>
      </w:pPr>
      <w:r>
        <w:t>Supporting findings. The proposed Machine Learning-Based Demand Forecasting and Dynamic Price Optimization for Perishable Retail Products project is technically, operationally, economically, and academically feasible using available data science tools and standard computing resources. The main feasibility concern is obtaining sufficient historical retail data containing sales, prices, inventory levels, and shelf-life or expiration information. Product costs, promotions, and historical price variation can further strengthen the demand forecasting and optimization components. The team should assess data availability early and limit the study to perishable products with sufficient records when necessary. With proper data preparation, model evaluation, optimization, system development, and project scheduling, the study can be completed within the proposed timeframe.</w:t>
      </w:r>
    </w:p>
    <w:p>
      <w:pPr>
        <w:keepNext/>
        <w:spacing w:before="160" w:after="80"/>
      </w:pPr>
      <w:r>
        <w:rPr>
          <w:b/>
          <w:sz w:val="22"/>
        </w:rPr>
        <w:t>Provisional Feasibility Score for This Title</w:t>
      </w:r>
    </w:p>
    <w:p>
      <w:pPr>
        <w:spacing w:after="120"/>
        <w:jc w:val="both"/>
      </w:pPr>
      <w:r>
        <w:t xml:space="preserve">Scores use the activity's 1 to 5 scale, where 5 is highly feasible. The group's ranking across all six titles is carried in the final comparison table. </w:t>
      </w:r>
      <w:r>
        <w:rPr>
          <w:highlight w:val="yellow"/>
        </w:rPr>
        <w:t>[Scores carried over from TA1 for this title; Ralph should confirm.]</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val="clear" w:color="auto" w:fill="EDEDED"/>
          </w:tcPr>
          <w:p>
            <w:r>
              <w:rPr>
                <w:b/>
                <w:sz w:val="18"/>
              </w:rPr>
              <w:t>Criterion</w:t>
            </w:r>
          </w:p>
        </w:tc>
        <w:tc>
          <w:tcPr>
            <w:tcW w:type="dxa" w:w="864"/>
            <w:shd w:val="clear" w:color="auto" w:fill="EDEDED"/>
          </w:tcPr>
          <w:p>
            <w:r>
              <w:rPr>
                <w:b/>
                <w:sz w:val="18"/>
              </w:rPr>
              <w:t>Score</w:t>
            </w:r>
          </w:p>
        </w:tc>
        <w:tc>
          <w:tcPr>
            <w:tcW w:type="dxa" w:w="6192"/>
            <w:shd w:val="clear" w:color="auto" w:fill="EDEDED"/>
          </w:tcPr>
          <w:p>
            <w:r>
              <w:rPr>
                <w:b/>
                <w:sz w:val="18"/>
              </w:rPr>
              <w:t>Basis</w:t>
            </w:r>
          </w:p>
        </w:tc>
      </w:tr>
      <w:tr>
        <w:tc>
          <w:tcPr>
            <w:tcW w:type="dxa" w:w="3168"/>
          </w:tcPr>
          <w:p>
            <w:r>
              <w:rPr>
                <w:sz w:val="18"/>
              </w:rPr>
              <w:t>Technical and technology feasibility</w:t>
            </w:r>
          </w:p>
        </w:tc>
        <w:tc>
          <w:tcPr>
            <w:tcW w:type="dxa" w:w="864"/>
          </w:tcPr>
          <w:p>
            <w:r>
              <w:rPr>
                <w:sz w:val="18"/>
              </w:rPr>
              <w:t>5</w:t>
            </w:r>
          </w:p>
        </w:tc>
        <w:tc>
          <w:tcPr>
            <w:tcW w:type="dxa" w:w="6192"/>
          </w:tcPr>
          <w:p>
            <w:r>
              <w:rPr>
                <w:sz w:val="18"/>
              </w:rPr>
              <w:t>Ordinary open-source web and analytics stack</w:t>
            </w:r>
          </w:p>
        </w:tc>
      </w:tr>
      <w:tr>
        <w:tc>
          <w:tcPr>
            <w:tcW w:type="dxa" w:w="3168"/>
          </w:tcPr>
          <w:p>
            <w:r>
              <w:rPr>
                <w:sz w:val="18"/>
              </w:rPr>
              <w:t>Dataset and data feasibility</w:t>
            </w:r>
          </w:p>
        </w:tc>
        <w:tc>
          <w:tcPr>
            <w:tcW w:type="dxa" w:w="864"/>
          </w:tcPr>
          <w:p>
            <w:r>
              <w:rPr>
                <w:sz w:val="18"/>
              </w:rPr>
              <w:t>3</w:t>
            </w:r>
          </w:p>
        </w:tc>
        <w:tc>
          <w:tcPr>
            <w:tcW w:type="dxa" w:w="6192"/>
          </w:tcPr>
          <w:p>
            <w:r>
              <w:rPr>
                <w:sz w:val="18"/>
              </w:rPr>
              <w:t>No partner store confirmed; public retail datasets are a fallback</w:t>
            </w:r>
          </w:p>
        </w:tc>
      </w:tr>
      <w:tr>
        <w:tc>
          <w:tcPr>
            <w:tcW w:type="dxa" w:w="3168"/>
          </w:tcPr>
          <w:p>
            <w:r>
              <w:rPr>
                <w:sz w:val="18"/>
              </w:rPr>
              <w:t>Algorithm or model feasibility</w:t>
            </w:r>
          </w:p>
        </w:tc>
        <w:tc>
          <w:tcPr>
            <w:tcW w:type="dxa" w:w="864"/>
          </w:tcPr>
          <w:p>
            <w:r>
              <w:rPr>
                <w:sz w:val="18"/>
              </w:rPr>
              <w:t>4</w:t>
            </w:r>
          </w:p>
        </w:tc>
        <w:tc>
          <w:tcPr>
            <w:tcW w:type="dxa" w:w="6192"/>
          </w:tcPr>
          <w:p>
            <w:r>
              <w:rPr>
                <w:sz w:val="18"/>
              </w:rPr>
              <w:t>Three established approaches compared on the same metrics</w:t>
            </w:r>
          </w:p>
        </w:tc>
      </w:tr>
      <w:tr>
        <w:tc>
          <w:tcPr>
            <w:tcW w:type="dxa" w:w="3168"/>
          </w:tcPr>
          <w:p>
            <w:r>
              <w:rPr>
                <w:sz w:val="18"/>
              </w:rPr>
              <w:t>Operational feasibility</w:t>
            </w:r>
          </w:p>
        </w:tc>
        <w:tc>
          <w:tcPr>
            <w:tcW w:type="dxa" w:w="864"/>
          </w:tcPr>
          <w:p>
            <w:r>
              <w:rPr>
                <w:sz w:val="18"/>
              </w:rPr>
              <w:t>3</w:t>
            </w:r>
          </w:p>
        </w:tc>
        <w:tc>
          <w:tcPr>
            <w:tcW w:type="dxa" w:w="6192"/>
          </w:tcPr>
          <w:p>
            <w:r>
              <w:rPr>
                <w:sz w:val="18"/>
              </w:rPr>
              <w:t>Usable deliverable, but no participating store or named evaluator yet</w:t>
            </w:r>
          </w:p>
        </w:tc>
      </w:tr>
      <w:tr>
        <w:tc>
          <w:tcPr>
            <w:tcW w:type="dxa" w:w="3168"/>
          </w:tcPr>
          <w:p>
            <w:r>
              <w:rPr>
                <w:sz w:val="18"/>
              </w:rPr>
              <w:t>Economic feasibility</w:t>
            </w:r>
          </w:p>
        </w:tc>
        <w:tc>
          <w:tcPr>
            <w:tcW w:type="dxa" w:w="864"/>
          </w:tcPr>
          <w:p>
            <w:r>
              <w:rPr>
                <w:sz w:val="18"/>
              </w:rPr>
              <w:t>5</w:t>
            </w:r>
          </w:p>
        </w:tc>
        <w:tc>
          <w:tcPr>
            <w:tcW w:type="dxa" w:w="6192"/>
          </w:tcPr>
          <w:p>
            <w:r>
              <w:rPr>
                <w:sz w:val="18"/>
              </w:rPr>
              <w:t>PHP 1,000 to 4,000, the lowest of the six titles</w:t>
            </w:r>
          </w:p>
        </w:tc>
      </w:tr>
      <w:tr>
        <w:tc>
          <w:tcPr>
            <w:tcW w:type="dxa" w:w="3168"/>
          </w:tcPr>
          <w:p>
            <w:r>
              <w:rPr>
                <w:sz w:val="18"/>
              </w:rPr>
              <w:t>Schedule feasibility</w:t>
            </w:r>
          </w:p>
        </w:tc>
        <w:tc>
          <w:tcPr>
            <w:tcW w:type="dxa" w:w="864"/>
          </w:tcPr>
          <w:p>
            <w:r>
              <w:rPr>
                <w:sz w:val="18"/>
              </w:rPr>
              <w:t>4</w:t>
            </w:r>
          </w:p>
        </w:tc>
        <w:tc>
          <w:tcPr>
            <w:tcW w:type="dxa" w:w="6192"/>
          </w:tcPr>
          <w:p>
            <w:r>
              <w:rPr>
                <w:sz w:val="18"/>
              </w:rPr>
              <w:t>16-week plan with no external authorisation on the critical path</w:t>
            </w:r>
          </w:p>
        </w:tc>
      </w:tr>
      <w:tr>
        <w:tc>
          <w:tcPr>
            <w:tcW w:type="dxa" w:w="3168"/>
          </w:tcPr>
          <w:p>
            <w:r>
              <w:rPr>
                <w:sz w:val="18"/>
              </w:rPr>
              <w:t>Legal and ethical feasibility</w:t>
            </w:r>
          </w:p>
        </w:tc>
        <w:tc>
          <w:tcPr>
            <w:tcW w:type="dxa" w:w="864"/>
          </w:tcPr>
          <w:p>
            <w:r>
              <w:rPr>
                <w:sz w:val="18"/>
              </w:rPr>
              <w:t>4</w:t>
            </w:r>
          </w:p>
        </w:tc>
        <w:tc>
          <w:tcPr>
            <w:tcW w:type="dxa" w:w="6192"/>
          </w:tcPr>
          <w:p>
            <w:r>
              <w:rPr>
                <w:sz w:val="18"/>
              </w:rPr>
              <w:t>No personal customer data; store permission still needed</w:t>
            </w:r>
          </w:p>
        </w:tc>
      </w:tr>
      <w:tr>
        <w:tc>
          <w:tcPr>
            <w:tcW w:type="dxa" w:w="3168"/>
          </w:tcPr>
          <w:p>
            <w:r>
              <w:rPr>
                <w:sz w:val="18"/>
              </w:rPr>
              <w:t>Risk manageability</w:t>
            </w:r>
          </w:p>
        </w:tc>
        <w:tc>
          <w:tcPr>
            <w:tcW w:type="dxa" w:w="864"/>
          </w:tcPr>
          <w:p>
            <w:r>
              <w:rPr>
                <w:sz w:val="18"/>
              </w:rPr>
              <w:t>3</w:t>
            </w:r>
          </w:p>
        </w:tc>
        <w:tc>
          <w:tcPr>
            <w:tcW w:type="dxa" w:w="6192"/>
          </w:tcPr>
          <w:p>
            <w:r>
              <w:rPr>
                <w:sz w:val="18"/>
              </w:rPr>
              <w:t>Data and price-variation risks are real but have stated fallbacks</w:t>
            </w:r>
          </w:p>
        </w:tc>
      </w:tr>
      <w:tr>
        <w:tc>
          <w:tcPr>
            <w:tcW w:type="dxa" w:w="3168"/>
          </w:tcPr>
          <w:p>
            <w:r>
              <w:rPr>
                <w:b/>
                <w:sz w:val="18"/>
              </w:rPr>
              <w:t>Total score</w:t>
            </w:r>
          </w:p>
        </w:tc>
        <w:tc>
          <w:tcPr>
            <w:tcW w:type="dxa" w:w="864"/>
          </w:tcPr>
          <w:p>
            <w:r>
              <w:rPr>
                <w:b/>
                <w:sz w:val="18"/>
              </w:rPr>
              <w:t>31/40</w:t>
            </w:r>
          </w:p>
        </w:tc>
        <w:tc>
          <w:tcPr>
            <w:tcW w:type="dxa" w:w="6192"/>
          </w:tcPr>
          <w:p/>
        </w:tc>
      </w:tr>
      <w:tr>
        <w:tc>
          <w:tcPr>
            <w:tcW w:type="dxa" w:w="3168"/>
          </w:tcPr>
          <w:p>
            <w:r>
              <w:rPr>
                <w:b/>
                <w:sz w:val="18"/>
              </w:rPr>
              <w:t>Group's ranking</w:t>
            </w:r>
          </w:p>
        </w:tc>
        <w:tc>
          <w:tcPr>
            <w:tcW w:type="dxa" w:w="864"/>
          </w:tcPr>
          <w:p>
            <w:r>
              <w:rPr>
                <w:sz w:val="18"/>
              </w:rPr>
              <w:t>3</w:t>
            </w:r>
          </w:p>
        </w:tc>
        <w:tc>
          <w:tcPr>
            <w:tcW w:type="dxa" w:w="6192"/>
          </w:tcPr>
          <w:p>
            <w:r>
              <w:rPr>
                <w:sz w:val="18"/>
              </w:rPr>
              <w:t>See the final comparison table</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Supporting Review of Related Literature and Studies</w:t>
            </w:r>
          </w:p>
        </w:tc>
      </w:tr>
    </w:tbl>
    <w:p>
      <w:pPr>
        <w:spacing w:after="40"/>
      </w:pPr>
    </w:p>
    <w:p>
      <w:pPr>
        <w:keepNext/>
        <w:spacing w:before="40" w:after="80"/>
      </w:pPr>
      <w:r>
        <w:rPr>
          <w:b/>
          <w:sz w:val="22"/>
        </w:rPr>
        <w:t>Proposal Thesis Title</w:t>
      </w:r>
    </w:p>
    <w:p>
      <w:pPr>
        <w:spacing w:after="120"/>
        <w:jc w:val="both"/>
      </w:pPr>
      <w:r>
        <w:rPr>
          <w:b/>
        </w:rPr>
        <w:t>Demand Forecasting and Dynamic Price Optimization for Milk Retail Products Considering Remaining Shelf Life Using XGBoost</w:t>
      </w:r>
    </w:p>
    <w:p>
      <w:pPr>
        <w:keepNext/>
        <w:spacing w:before="160" w:after="80"/>
      </w:pPr>
      <w:r>
        <w:rPr>
          <w:b/>
          <w:sz w:val="22"/>
        </w:rPr>
        <w:t>Review of Related Literature (RRL/s)</w:t>
      </w:r>
    </w:p>
    <w:p>
      <w:pPr>
        <w:spacing w:after="120"/>
        <w:jc w:val="both"/>
      </w:pPr>
      <w:r>
        <w:rPr>
          <w:sz w:val="18"/>
        </w:rPr>
        <w:t>The RRL helps the group understand the chosen area, the problem being addressed, and the concepts or approaches relevant to the proposed solution.</w:t>
      </w:r>
    </w:p>
    <w:p>
      <w:pPr>
        <w:keepNext/>
        <w:spacing w:before="80" w:after="80"/>
      </w:pPr>
      <w:r>
        <w:rPr>
          <w:b/>
          <w:sz w:val="20"/>
        </w:rPr>
        <w:t>Local Literatures:</w:t>
      </w:r>
    </w:p>
    <w:p>
      <w:pPr>
        <w:spacing w:before="120" w:after="40"/>
        <w:ind w:left="432" w:hanging="432"/>
      </w:pPr>
      <w:r>
        <w:t>1.</w:t>
        <w:tab/>
      </w:r>
      <w:r>
        <w:rPr>
          <w:highlight w:val="yellow"/>
        </w:rPr>
        <w:t>[Open slot: add one local literature here.]</w:t>
      </w:r>
    </w:p>
    <w:p>
      <w:pPr>
        <w:spacing w:before="120" w:after="40"/>
        <w:ind w:left="432" w:hanging="432"/>
      </w:pPr>
      <w:r>
        <w:t>2.</w:t>
        <w:tab/>
      </w:r>
      <w:r>
        <w:rPr>
          <w:highlight w:val="yellow"/>
        </w:rPr>
        <w:t>[Open slot: add one local literature here.]</w:t>
      </w:r>
    </w:p>
    <w:p>
      <w:pPr>
        <w:spacing w:before="120" w:after="40"/>
        <w:ind w:left="432" w:hanging="432"/>
      </w:pPr>
      <w:r>
        <w:t>3.</w:t>
        <w:tab/>
      </w:r>
      <w:r>
        <w:rPr>
          <w:highlight w:val="yellow"/>
        </w:rPr>
        <w:t>[Open slot: add one local literature here.]</w:t>
      </w:r>
    </w:p>
    <w:p>
      <w:pPr>
        <w:spacing w:before="120" w:after="40"/>
        <w:ind w:left="432" w:hanging="432"/>
      </w:pPr>
      <w:r>
        <w:t>4.</w:t>
        <w:tab/>
      </w:r>
      <w:r>
        <w:rPr>
          <w:highlight w:val="yellow"/>
        </w:rPr>
        <w:t>[Open slot: add one local literature here.]</w:t>
      </w:r>
    </w:p>
    <w:p>
      <w:pPr>
        <w:spacing w:before="120" w:after="40"/>
        <w:ind w:left="432" w:hanging="432"/>
      </w:pPr>
      <w:r>
        <w:t>5.</w:t>
        <w:tab/>
      </w:r>
      <w:r>
        <w:rPr>
          <w:highlight w:val="yellow"/>
        </w:rPr>
        <w:t>[Open slot: add one local literature here.]</w:t>
      </w:r>
    </w:p>
    <w:p>
      <w:pPr>
        <w:keepNext/>
        <w:spacing w:before="80" w:after="80"/>
      </w:pPr>
      <w:r>
        <w:rPr>
          <w:b/>
          <w:sz w:val="20"/>
        </w:rPr>
        <w:t>Foreign Literatures:</w:t>
      </w:r>
    </w:p>
    <w:p>
      <w:pPr>
        <w:keepNext/>
        <w:spacing w:before="120" w:after="40"/>
        <w:ind w:left="432" w:hanging="432"/>
      </w:pPr>
      <w:r>
        <w:t>6.</w:t>
        <w:tab/>
      </w:r>
      <w:r>
        <w:rPr>
          <w:b/>
        </w:rPr>
        <w:t>Data-Driven Dynamic Pricing and Ordering with Perishable Inventory in a Changing Environment</w:t>
      </w:r>
    </w:p>
    <w:p>
      <w:pPr>
        <w:spacing w:after="40"/>
        <w:ind w:left="432"/>
        <w:jc w:val="both"/>
      </w:pPr>
      <w:r>
        <w:rPr>
          <w:b/>
        </w:rPr>
        <w:t>Description / Summary (Foreign Literature).</w:t>
      </w:r>
      <w:r>
        <w:t xml:space="preserve"> Keskin, Li, and Song examined pricing and inventory decisions for perishable products when retailers do not have complete knowledge of demand, price relationships, and perishability. Their work also considers how the relationship between demand and price may change over time. This supports the proposed study's use of historical sales, pricing, inventory, and perishability information when evaluating pricing decisions.</w:t>
      </w:r>
    </w:p>
    <w:p>
      <w:pPr>
        <w:spacing w:after="40"/>
        <w:ind w:left="432"/>
        <w:jc w:val="left"/>
      </w:pPr>
      <w:r>
        <w:t>Source: https://doi.org/10.1287/mnsc.2021.4011</w:t>
      </w:r>
    </w:p>
    <w:p>
      <w:pPr>
        <w:keepNext/>
        <w:spacing w:before="120" w:after="40"/>
        <w:ind w:left="432" w:hanging="432"/>
      </w:pPr>
      <w:r>
        <w:t>7.</w:t>
        <w:tab/>
      </w:r>
      <w:r>
        <w:rPr>
          <w:b/>
        </w:rPr>
        <w:t>Dynamic Pricing for Perishable Goods: A Data-Driven Digital Transformation Approach</w:t>
      </w:r>
    </w:p>
    <w:p>
      <w:pPr>
        <w:spacing w:after="40"/>
        <w:ind w:left="432"/>
        <w:jc w:val="both"/>
      </w:pPr>
      <w:r>
        <w:rPr>
          <w:b/>
        </w:rPr>
        <w:t>Description / Summary (Foreign Literature).</w:t>
      </w:r>
      <w:r>
        <w:t xml:space="preserve"> Syed et al. examined how supermarkets can implement data-driven dynamic pricing for products with short shelf lives. The study highlights the importance of reliable data collection, analytics, algorithms, and continuous adjustment of pricing strategies. It supports the proposed system's use of retail data and analytical models to provide pricing recommendations for perishable products.</w:t>
      </w:r>
    </w:p>
    <w:p>
      <w:pPr>
        <w:spacing w:after="40"/>
        <w:ind w:left="432"/>
        <w:jc w:val="left"/>
      </w:pPr>
      <w:r>
        <w:t>Source: https://doi.org/10.1016/j.ijpe.2024.109405</w:t>
      </w:r>
    </w:p>
    <w:p>
      <w:pPr>
        <w:keepNext/>
        <w:spacing w:before="120" w:after="40"/>
        <w:ind w:left="432" w:hanging="432"/>
      </w:pPr>
      <w:r>
        <w:t>8.</w:t>
        <w:tab/>
      </w:r>
      <w:r>
        <w:rPr>
          <w:b/>
        </w:rPr>
        <w:t>Deep Reinforcement Learning Algorithms for Dynamic Pricing and Inventory Management of Perishable Products</w:t>
      </w:r>
    </w:p>
    <w:p>
      <w:pPr>
        <w:spacing w:after="40"/>
        <w:ind w:left="432"/>
        <w:jc w:val="both"/>
      </w:pPr>
      <w:r>
        <w:rPr>
          <w:b/>
        </w:rPr>
        <w:t>Description / Summary (Foreign Literature).</w:t>
      </w:r>
      <w:r>
        <w:t xml:space="preserve"> This study explains that perishable products create additional pricing and inventory challenges because they have limited shelf lives. It also shows that product shelf life increases the complexity of optimization because inventory conditions change as products age. This supports including remaining shelf life and inventory as important variables in the proposed pricing framework.</w:t>
      </w:r>
    </w:p>
    <w:p>
      <w:pPr>
        <w:spacing w:after="40"/>
        <w:ind w:left="432"/>
        <w:jc w:val="left"/>
      </w:pPr>
      <w:r>
        <w:t>Source: https://doi.org/10.1016/j.asoc.2024.111864</w:t>
      </w:r>
    </w:p>
    <w:p>
      <w:pPr>
        <w:spacing w:after="40"/>
        <w:ind w:left="432"/>
        <w:jc w:val="both"/>
      </w:pPr>
      <w:r>
        <w:rPr>
          <w:highlight w:val="yellow"/>
        </w:rPr>
        <w:t>[Name the authors: Yavuz and Kaya (2024), Applied Soft Computing, 163, 111864.]</w:t>
      </w:r>
    </w:p>
    <w:p>
      <w:pPr>
        <w:keepNext/>
        <w:spacing w:before="120" w:after="40"/>
        <w:ind w:left="432" w:hanging="432"/>
      </w:pPr>
      <w:r>
        <w:t>9.</w:t>
        <w:tab/>
      </w:r>
      <w:r>
        <w:rPr>
          <w:b/>
        </w:rPr>
        <w:t>Perishable Inventory and Remaining Shelf Life</w:t>
      </w:r>
    </w:p>
    <w:p>
      <w:pPr>
        <w:spacing w:after="40"/>
        <w:ind w:left="432"/>
        <w:jc w:val="both"/>
      </w:pPr>
      <w:r>
        <w:rPr>
          <w:b/>
        </w:rPr>
        <w:t>Description / Summary (Foreign Literature).</w:t>
      </w:r>
      <w:r>
        <w:t xml:space="preserve"> Recent research on perishable inventory emphasizes that these products cannot be managed in the same way as non-perishable goods. Their limited selling periods create a relationship among inventory age, demand, pricing, and potential waste. This supports the proposed study's decision to include remaining shelf life as part of the information used for demand forecasting and price optimization.</w:t>
      </w:r>
    </w:p>
    <w:p>
      <w:pPr>
        <w:spacing w:after="40"/>
        <w:ind w:left="432"/>
        <w:jc w:val="left"/>
      </w:pPr>
      <w:r>
        <w:t>Source: https://doi.org/10.1287/mnsc.2021.4011 , https://doi.org/10.1016/j.asoc.2024.111864</w:t>
      </w:r>
    </w:p>
    <w:p>
      <w:pPr>
        <w:spacing w:after="40"/>
        <w:ind w:left="432"/>
        <w:jc w:val="both"/>
      </w:pPr>
      <w:r>
        <w:rPr>
          <w:highlight w:val="yellow"/>
        </w:rPr>
        <w:t>[This entry reuses the two DOIs above rather than citing a new source. Replace it with a distinct source.]</w:t>
      </w:r>
    </w:p>
    <w:p>
      <w:pPr>
        <w:spacing w:before="120" w:after="40"/>
        <w:ind w:left="432" w:hanging="432"/>
      </w:pPr>
      <w:r>
        <w:t>10.</w:t>
        <w:tab/>
      </w:r>
      <w:r>
        <w:rPr>
          <w:highlight w:val="yellow"/>
        </w:rPr>
        <w:t>[Open slot: add one foreign literature here.]</w:t>
      </w:r>
    </w:p>
    <w:p>
      <w:pPr>
        <w:keepNext/>
        <w:spacing w:before="160" w:after="80"/>
      </w:pPr>
      <w:r>
        <w:rPr>
          <w:b/>
          <w:sz w:val="22"/>
        </w:rPr>
        <w:t>Review of Related Studies (RRS/s)</w:t>
      </w:r>
    </w:p>
    <w:p>
      <w:pPr>
        <w:spacing w:after="120"/>
        <w:jc w:val="both"/>
      </w:pPr>
      <w:r>
        <w:rPr>
          <w:sz w:val="18"/>
        </w:rPr>
        <w:t>The RRS focuses on existing research, systems, applications, or projects that address a problem similar to the one the group wants to solve.</w:t>
      </w:r>
    </w:p>
    <w:p>
      <w:pPr>
        <w:keepNext/>
        <w:spacing w:before="80" w:after="80"/>
      </w:pPr>
      <w:r>
        <w:rPr>
          <w:b/>
          <w:sz w:val="20"/>
        </w:rPr>
        <w:t>Local Studies:</w:t>
      </w:r>
    </w:p>
    <w:p>
      <w:pPr>
        <w:spacing w:before="120" w:after="40"/>
        <w:ind w:left="432" w:hanging="432"/>
      </w:pPr>
      <w:r>
        <w:t>1.</w:t>
        <w:tab/>
      </w:r>
      <w:r>
        <w:rPr>
          <w:highlight w:val="yellow"/>
        </w:rPr>
        <w:t>[Open slot: add one local study here.]</w:t>
      </w:r>
    </w:p>
    <w:p>
      <w:pPr>
        <w:spacing w:before="120" w:after="40"/>
        <w:ind w:left="432" w:hanging="432"/>
      </w:pPr>
      <w:r>
        <w:t>2.</w:t>
        <w:tab/>
      </w:r>
      <w:r>
        <w:rPr>
          <w:highlight w:val="yellow"/>
        </w:rPr>
        <w:t>[Open slot: add one local study here.]</w:t>
      </w:r>
    </w:p>
    <w:p>
      <w:pPr>
        <w:spacing w:before="120" w:after="40"/>
        <w:ind w:left="432" w:hanging="432"/>
      </w:pPr>
      <w:r>
        <w:t>3.</w:t>
        <w:tab/>
      </w:r>
      <w:r>
        <w:rPr>
          <w:highlight w:val="yellow"/>
        </w:rPr>
        <w:t>[Open slot: add one local study here.]</w:t>
      </w:r>
    </w:p>
    <w:p>
      <w:pPr>
        <w:spacing w:before="120" w:after="40"/>
        <w:ind w:left="432" w:hanging="432"/>
      </w:pPr>
      <w:r>
        <w:t>4.</w:t>
        <w:tab/>
      </w:r>
      <w:r>
        <w:rPr>
          <w:highlight w:val="yellow"/>
        </w:rPr>
        <w:t>[Open slot: add one local study here.]</w:t>
      </w:r>
    </w:p>
    <w:p>
      <w:pPr>
        <w:spacing w:before="120" w:after="40"/>
        <w:ind w:left="432" w:hanging="432"/>
      </w:pPr>
      <w:r>
        <w:t>5.</w:t>
        <w:tab/>
      </w:r>
      <w:r>
        <w:rPr>
          <w:highlight w:val="yellow"/>
        </w:rPr>
        <w:t>[Open slot: add one local study here.]</w:t>
      </w:r>
    </w:p>
    <w:p>
      <w:pPr>
        <w:keepNext/>
        <w:spacing w:before="80" w:after="80"/>
      </w:pPr>
      <w:r>
        <w:rPr>
          <w:b/>
          <w:sz w:val="20"/>
        </w:rPr>
        <w:t>Foreign Studies:</w:t>
      </w:r>
    </w:p>
    <w:p>
      <w:pPr>
        <w:keepNext/>
        <w:spacing w:before="120" w:after="40"/>
        <w:ind w:left="432" w:hanging="432"/>
      </w:pPr>
      <w:r>
        <w:t>6.</w:t>
        <w:tab/>
      </w:r>
      <w:r>
        <w:rPr>
          <w:b/>
        </w:rPr>
        <w:t>Dynamic Pricing for Perishable Goods: A Data-Driven Digital Transformation Approach</w:t>
      </w:r>
    </w:p>
    <w:p>
      <w:pPr>
        <w:spacing w:after="40"/>
        <w:ind w:left="432"/>
        <w:jc w:val="both"/>
      </w:pPr>
      <w:r>
        <w:rPr>
          <w:b/>
        </w:rPr>
        <w:t>Description / Summary (Foreign Study).</w:t>
      </w:r>
      <w:r>
        <w:t xml:space="preserve"> Syed et al. conducted a multi-case study on dynamic pricing in supermarkets. The researchers developed a three-phase framework covering data preparation, analytical implementation, and continued pricing adaptation. The study shows that dynamic pricing for perishable goods requires more than an algorithm because data quality, implementation, and changing customer behavior also affect the pricing process.</w:t>
      </w:r>
    </w:p>
    <w:p>
      <w:pPr>
        <w:spacing w:after="40"/>
        <w:ind w:left="432"/>
        <w:jc w:val="both"/>
      </w:pPr>
      <w:r>
        <w:rPr>
          <w:b/>
        </w:rPr>
        <w:t>Relevance to the proposed study.</w:t>
      </w:r>
      <w:r>
        <w:t xml:space="preserve"> It supports developing a data-driven pricing tool designed specifically for perishable retail products rather than a general retail forecasting system.</w:t>
      </w:r>
    </w:p>
    <w:p>
      <w:pPr>
        <w:spacing w:after="40"/>
        <w:ind w:left="432"/>
        <w:jc w:val="left"/>
      </w:pPr>
      <w:r>
        <w:t>Source: https://doi.org/10.1016/j.ijpe.2024.109405</w:t>
      </w:r>
    </w:p>
    <w:p>
      <w:pPr>
        <w:keepNext/>
        <w:spacing w:before="120" w:after="40"/>
        <w:ind w:left="432" w:hanging="432"/>
      </w:pPr>
      <w:r>
        <w:t>7.</w:t>
        <w:tab/>
      </w:r>
      <w:r>
        <w:rPr>
          <w:b/>
        </w:rPr>
        <w:t>Data-Driven Dynamic Pricing and Ordering with Perishable Inventory in a Changing Environment</w:t>
      </w:r>
    </w:p>
    <w:p>
      <w:pPr>
        <w:spacing w:after="40"/>
        <w:ind w:left="432"/>
        <w:jc w:val="both"/>
      </w:pPr>
      <w:r>
        <w:rPr>
          <w:b/>
        </w:rPr>
        <w:t>Description / Summary (Foreign Study).</w:t>
      </w:r>
      <w:r>
        <w:t xml:space="preserve"> Keskin, Li, and Song used real-world data from a major supermarket chain to investigate joint pricing and inventory decisions. Their study considered uncertainty in the demand-price relationship, demand variation, inventory perishability, and changes in customer response to price over time. They also extended their approach to account for age-dependent perishability.</w:t>
      </w:r>
    </w:p>
    <w:p>
      <w:pPr>
        <w:spacing w:after="40"/>
        <w:ind w:left="432"/>
        <w:jc w:val="both"/>
      </w:pPr>
      <w:r>
        <w:rPr>
          <w:b/>
        </w:rPr>
        <w:t>Relevance to the proposed study.</w:t>
      </w:r>
      <w:r>
        <w:t xml:space="preserve"> It provides support for considering price, demand, inventory, and product age together instead of optimizing prices using sales history alone.</w:t>
      </w:r>
    </w:p>
    <w:p>
      <w:pPr>
        <w:spacing w:after="40"/>
        <w:ind w:left="432"/>
        <w:jc w:val="left"/>
      </w:pPr>
      <w:r>
        <w:t>Source: https://doi.org/10.1287/mnsc.2021.4011</w:t>
      </w:r>
    </w:p>
    <w:p>
      <w:pPr>
        <w:keepNext/>
        <w:spacing w:before="120" w:after="40"/>
        <w:ind w:left="432" w:hanging="432"/>
      </w:pPr>
      <w:r>
        <w:t>8.</w:t>
        <w:tab/>
      </w:r>
      <w:r>
        <w:rPr>
          <w:b/>
        </w:rPr>
        <w:t>Deep Reinforcement Learning Algorithms for Dynamic Pricing and Inventory Management of Perishable Products</w:t>
      </w:r>
    </w:p>
    <w:p>
      <w:pPr>
        <w:spacing w:after="40"/>
        <w:ind w:left="432"/>
        <w:jc w:val="both"/>
      </w:pPr>
      <w:r>
        <w:rPr>
          <w:b/>
        </w:rPr>
        <w:t>Description / Summary (Foreign Study).</w:t>
      </w:r>
      <w:r>
        <w:t xml:space="preserve"> The researchers studied dynamic pricing and inventory management as a combined problem for products with limited shelf lives. They used deep reinforcement learning because conventional optimization becomes increasingly difficult as the number of product ages, inventory conditions, and pricing decisions increases.</w:t>
      </w:r>
    </w:p>
    <w:p>
      <w:pPr>
        <w:spacing w:after="40"/>
        <w:ind w:left="432"/>
        <w:jc w:val="both"/>
      </w:pPr>
      <w:r>
        <w:rPr>
          <w:b/>
        </w:rPr>
        <w:t>Relevance to the proposed study.</w:t>
      </w:r>
      <w:r>
        <w:t xml:space="preserve"> The research demonstrates that artificial intelligence can support pricing decisions for perishable inventory. However, the proposed study will examine more accessible supervised machine learning models such as Linear Regression, Random Forest, and XGBoost for demand forecasting before performing price optimization.</w:t>
      </w:r>
    </w:p>
    <w:p>
      <w:pPr>
        <w:spacing w:after="40"/>
        <w:ind w:left="432"/>
        <w:jc w:val="left"/>
      </w:pPr>
      <w:r>
        <w:t>Source: https://doi.org/10.1016/j.asoc.2024.111864</w:t>
      </w:r>
    </w:p>
    <w:p>
      <w:pPr>
        <w:spacing w:before="120" w:after="40"/>
        <w:ind w:left="432" w:hanging="432"/>
      </w:pPr>
      <w:r>
        <w:t>9.</w:t>
        <w:tab/>
      </w:r>
      <w:r>
        <w:rPr>
          <w:highlight w:val="yellow"/>
        </w:rPr>
        <w:t>[Open slot: add one foreign study here.]</w:t>
      </w:r>
    </w:p>
    <w:p>
      <w:pPr>
        <w:spacing w:before="120" w:after="40"/>
        <w:ind w:left="432" w:hanging="432"/>
      </w:pPr>
      <w:r>
        <w:t>10.</w:t>
        <w:tab/>
      </w:r>
      <w:r>
        <w:rPr>
          <w:highlight w:val="yellow"/>
        </w:rPr>
        <w:t>[Open slot: add one foreign study here.]</w:t>
      </w:r>
    </w:p>
    <w:p>
      <w:pPr>
        <w:keepNext/>
        <w:spacing w:before="160" w:after="80"/>
      </w:pPr>
      <w:r>
        <w:rPr>
          <w:b/>
          <w:sz w:val="22"/>
        </w:rPr>
        <w:t>Research and System Gap</w:t>
      </w:r>
    </w:p>
    <w:p>
      <w:pPr>
        <w:spacing w:after="120"/>
        <w:jc w:val="both"/>
      </w:pPr>
      <w:r>
        <w:t>The reviewed sources show that pricing perishable products is harder than general retail pricing, because inventory ages, the relationship between price and demand shifts over time, and unsold stock becomes waste. Existing approaches range from data-driven pricing frameworks to deep reinforcement learning.</w:t>
      </w:r>
    </w:p>
    <w:p>
      <w:pPr>
        <w:spacing w:after="120"/>
        <w:jc w:val="both"/>
      </w:pPr>
      <w:r>
        <w:rPr>
          <w:b/>
        </w:rPr>
        <w:t>The gap.</w:t>
      </w:r>
      <w:r>
        <w:t xml:space="preserve"> The reviewed work comes from large foreign retailers and uses methods that are complex to deploy. It does not offer Philippine small and medium retailers an accessible tool that forecasts milk demand with supervised models and turns remaining shelf life into a pricing recommendation. </w:t>
      </w:r>
      <w:r>
        <w:rPr>
          <w:highlight w:val="yellow"/>
        </w:rPr>
        <w:t>[Title 5 still has no Philippine source; local literature and local studies are needed to support this gap.]</w:t>
      </w:r>
    </w:p>
    <w:p>
      <w:pPr>
        <w:keepNext/>
        <w:spacing w:before="160" w:after="80"/>
      </w:pPr>
      <w:r>
        <w:rPr>
          <w:b/>
          <w:sz w:val="22"/>
        </w:rPr>
        <w:t>Refined Proposed Title and Solution</w:t>
      </w:r>
    </w:p>
    <w:p>
      <w:pPr>
        <w:spacing w:after="120"/>
        <w:jc w:val="both"/>
      </w:pPr>
      <w:r>
        <w:rPr>
          <w:b/>
        </w:rPr>
        <w:t>Demand Forecasting and Dynamic Price Optimization for Milk Retail Products Considering Remaining Shelf Life Using XGBoost</w:t>
      </w:r>
      <w:r>
        <w:t xml:space="preserve"> (16 words). The title now names XGBoost, the primary model among the three compared, because it handles the nonlinear effects of price, inventory, and remaining shelf life and reports feature importance. "Machine Learning-Based" was removed, since naming the algorithm already says it, which keeps the title within 16 words. Linear Regression and Random Forest remain as the comparison models.</w:t>
      </w:r>
    </w:p>
    <w:p>
      <w:pPr>
        <w:keepNext/>
        <w:spacing w:before="160" w:after="80"/>
      </w:pPr>
      <w:r>
        <w:rPr>
          <w:b/>
          <w:sz w:val="22"/>
        </w:rPr>
        <w:t>References for the RRL and RRS</w:t>
      </w:r>
    </w:p>
    <w:p>
      <w:pPr>
        <w:spacing w:after="60"/>
        <w:ind w:left="576" w:hanging="576"/>
        <w:jc w:val="left"/>
      </w:pPr>
      <w:r>
        <w:t>Ferreira, K. J., Lee, B. H. A., &amp; Simchi-Levi, D. (2016). Analytics for an online retailer: Demand forecasting and price optimization. Manufacturing &amp; Service Operations Management, 18(1), 69-88. https://doi.org/10.1287/msom.2015.0561</w:t>
      </w:r>
    </w:p>
    <w:p>
      <w:pPr>
        <w:spacing w:after="60"/>
        <w:ind w:left="576" w:hanging="576"/>
        <w:jc w:val="left"/>
      </w:pPr>
      <w:r>
        <w:t>Inokuma, M., Ikeda, S., &amp; Takano, Y. (2026). Estimating profitable price bounds for prescriptive price optimization. Discover Analytics, 4, Article 21. https://doi.org/10.1007/s44257-026-00072-7</w:t>
      </w:r>
    </w:p>
    <w:p>
      <w:pPr>
        <w:spacing w:after="60"/>
        <w:ind w:left="576" w:hanging="576"/>
        <w:jc w:val="left"/>
      </w:pPr>
      <w:r>
        <w:t>Keskin, N. B., Li, Y., &amp; Song, J.-S. (2022). Data-driven dynamic pricing and ordering with perishable inventory in a changing environment. Management Science. https://doi.org/10.1287/mnsc.2021.4011</w:t>
      </w:r>
    </w:p>
    <w:p>
      <w:pPr>
        <w:spacing w:after="60"/>
        <w:ind w:left="576" w:hanging="576"/>
        <w:jc w:val="left"/>
      </w:pPr>
      <w:r>
        <w:t>Liu, C., &amp; Sustik, M. A. (2021). Elasticity based demand forecasting and price optimization for online retail. arXiv. https://arxiv.org/abs/2106.08274</w:t>
      </w:r>
    </w:p>
    <w:p>
      <w:pPr>
        <w:spacing w:after="60"/>
        <w:ind w:left="576" w:hanging="576"/>
        <w:jc w:val="left"/>
      </w:pPr>
      <w:r>
        <w:t>Massaro, A., Panarese, A., Giannone, D., &amp; Galiano, A. (2021). Augmented data and XGBoost improvement for sales forecasting in the large-scale retail sector. Applied Sciences, 11(17), 7793. https://doi.org/10.3390/app11177793</w:t>
      </w:r>
    </w:p>
    <w:p>
      <w:pPr>
        <w:spacing w:after="60"/>
        <w:ind w:left="576" w:hanging="576"/>
        <w:jc w:val="left"/>
      </w:pPr>
      <w:r>
        <w:t xml:space="preserve">Syed, </w:t>
      </w:r>
      <w:r>
        <w:rPr>
          <w:highlight w:val="yellow"/>
        </w:rPr>
        <w:t>[initials]</w:t>
      </w:r>
      <w:r>
        <w:t>, et al. (2024). Dynamic pricing for perishable goods: A data-driven digital transformation approach. International Journal of Production Economics, 109405. https://doi.org/10.1016/j.ijpe.2024.109405</w:t>
      </w:r>
    </w:p>
    <w:p>
      <w:pPr>
        <w:spacing w:after="60"/>
        <w:ind w:left="576" w:hanging="576"/>
        <w:jc w:val="left"/>
      </w:pPr>
      <w:r>
        <w:t>XGBoost Developers. (n.d.). XGBoost parameters. XGBoost Documentation. https://xgboost.readthedocs.io/en/latest/parameter.html</w:t>
      </w:r>
    </w:p>
    <w:p>
      <w:pPr>
        <w:spacing w:after="60"/>
        <w:ind w:left="576" w:hanging="576"/>
        <w:jc w:val="left"/>
      </w:pPr>
      <w:r>
        <w:t xml:space="preserve">Yavuz, </w:t>
      </w:r>
      <w:r>
        <w:rPr>
          <w:highlight w:val="yellow"/>
        </w:rPr>
        <w:t>[initials]</w:t>
      </w:r>
      <w:r>
        <w:t xml:space="preserve">, &amp; Kaya, </w:t>
      </w:r>
      <w:r>
        <w:rPr>
          <w:highlight w:val="yellow"/>
        </w:rPr>
        <w:t>[initials]</w:t>
      </w:r>
      <w:r>
        <w:t>. (2024). Deep reinforcement learning algorithms for dynamic pricing and inventory management of perishable products. Applied Soft Computing, 163, 111864. https://doi.org/10.1016/j.asoc.2024.111864</w:t>
      </w:r>
    </w:p>
    <w:p>
      <w:r>
        <w:br w:type="page"/>
      </w:r>
    </w:p>
    <w:tbl>
      <w:tblPr>
        <w:tblStyle w:val="TableGrid"/>
        <w:tblW w:type="auto" w:w="0"/>
        <w:tblLook w:firstColumn="1" w:firstRow="1" w:lastColumn="0" w:lastRow="0" w:noHBand="0" w:noVBand="1" w:val="04A0"/>
      </w:tblPr>
      <w:tblGrid>
        <w:gridCol w:w="10224"/>
      </w:tblGrid>
      <w:tr>
        <w:tc>
          <w:tcPr>
            <w:tcW w:type="dxa" w:w="10224"/>
            <w:shd w:val="clear" w:color="auto" w:fill="404040"/>
          </w:tcPr>
          <w:p>
            <w:pPr>
              <w:spacing w:before="60" w:after="60"/>
            </w:pPr>
            <w:r>
              <w:rPr>
                <w:b/>
                <w:color w:val="FFFFFF"/>
                <w:sz w:val="26"/>
              </w:rPr>
              <w:t>TARGET TITLE 6 OF 6</w:t>
            </w:r>
          </w:p>
          <w:p>
            <w:pPr>
              <w:spacing w:after="60"/>
            </w:pPr>
            <w:r>
              <w:rPr>
                <w:color w:val="E0E0E0"/>
                <w:sz w:val="18"/>
              </w:rPr>
              <w:t>Personal Data Detection and Redaction for National Transmission Corporation Records Using Conditional Random Fields</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1. Target Thesis Title</w:t>
            </w:r>
          </w:p>
        </w:tc>
      </w:tr>
    </w:tbl>
    <w:p>
      <w:pPr>
        <w:spacing w:after="40"/>
      </w:pPr>
    </w:p>
    <w:p>
      <w:pPr>
        <w:spacing w:after="120"/>
        <w:jc w:val="both"/>
      </w:pPr>
      <w:r>
        <w:rPr>
          <w:b/>
        </w:rPr>
        <w:t>Personal Data Detection and Redaction for National Transmission Corporation Records Using Conditional Random Fields</w:t>
      </w:r>
    </w:p>
    <w:p>
      <w:pPr>
        <w:spacing w:after="120"/>
        <w:jc w:val="both"/>
      </w:pPr>
      <w:r>
        <w:t>Thesis specialization: Data Science</w:t>
      </w:r>
    </w:p>
    <w:p>
      <w:pPr>
        <w:spacing w:after="120"/>
        <w:jc w:val="both"/>
      </w:pPr>
      <w:r>
        <w:t>Primary technique: Data Governance and Ethics, from the approved Data Science technique list, supported by Data Mining and Data Visualization</w:t>
      </w:r>
    </w:p>
    <w:p>
      <w:pPr>
        <w:spacing w:after="120"/>
        <w:jc w:val="both"/>
      </w:pPr>
      <w:r>
        <w:t>Research domain: Personal data protection and records release in a government-owned corporation</w:t>
      </w:r>
    </w:p>
    <w:p>
      <w:pPr>
        <w:spacing w:after="120"/>
        <w:jc w:val="both"/>
      </w:pPr>
      <w:r>
        <w:t>Partner: National Transmission Corporation (TransCo), reached through a member of its staff</w:t>
      </w:r>
    </w:p>
    <w:p>
      <w:pPr>
        <w:spacing w:after="120"/>
        <w:jc w:val="both"/>
      </w:pPr>
      <w:r>
        <w:t>Proponents: Dawn Andrei Pamesa (Leader), Rogelio Porras, John Ashley Alba, Ralph Blanco</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2. Project Overview</w:t>
            </w:r>
          </w:p>
        </w:tc>
      </w:tr>
    </w:tbl>
    <w:p>
      <w:pPr>
        <w:spacing w:after="40"/>
      </w:pPr>
    </w:p>
    <w:p>
      <w:pPr>
        <w:spacing w:after="120"/>
        <w:jc w:val="both"/>
      </w:pPr>
      <w:r>
        <w:t>Background of the problem. TransCo is a government-owned and controlled corporation that owns the national transmission assets, monitors the grid concessionaire, and handles right-of-way claims and Freedom of Information requests. Its FOI responses, right-of-way case documents, and related correspondence often contain names, home addresses, contact numbers, tax identification numbers, and land title details. Before any such document is released to a requesting party, that personal information has to be found and redacted, and the work is usually done by hand, page by page.</w:t>
      </w:r>
    </w:p>
    <w:p>
      <w:pPr>
        <w:spacing w:after="120"/>
        <w:jc w:val="both"/>
      </w:pPr>
      <w:r>
        <w:t>Specific problem. Manual redaction is slow and easy to get wrong, and under the Data Privacy Act a single missed identifier is still a disclosure. There is no tool that marks where personal information appears in these documents and keeps a reviewable record of what was found and redacted.</w:t>
      </w:r>
    </w:p>
    <w:p>
      <w:pPr>
        <w:spacing w:after="120"/>
        <w:jc w:val="both"/>
      </w:pPr>
      <w:r>
        <w:t>Target users and beneficiaries. The primary users are TransCo's FOI officer, Data Protection Officer, and records staff. Landowners, claimants, and requesting parties benefit from documents that are released faster and with their personal information protected.</w:t>
      </w:r>
    </w:p>
    <w:p>
      <w:pPr>
        <w:spacing w:after="120"/>
        <w:jc w:val="both"/>
      </w:pPr>
      <w:r>
        <w:t>Proposed solution. A detection and redaction tool that reads a document, marks personal information using Conditional Random Fields with a rule layer for patterned identifiers, proposes redactions for staff to accept or correct, and keeps an audit trail. The final decision on every release stays with TransCo staff.</w:t>
      </w:r>
    </w:p>
    <w:p>
      <w:pPr>
        <w:spacing w:after="120"/>
        <w:jc w:val="both"/>
      </w:pPr>
      <w:r>
        <w:t>Main objectives.</w:t>
      </w:r>
    </w:p>
    <w:p>
      <w:pPr>
        <w:spacing w:after="60"/>
        <w:ind w:left="432"/>
        <w:jc w:val="both"/>
      </w:pPr>
      <w:r>
        <w:t>•  Define a personal data schema for Philippine government records, covering names, barangay-level addresses, mobile numbers, TIN, and land title and tax declaration numbers.</w:t>
      </w:r>
    </w:p>
    <w:p>
      <w:pPr>
        <w:spacing w:after="60"/>
        <w:ind w:left="432"/>
        <w:jc w:val="both"/>
      </w:pPr>
      <w:r>
        <w:t>•  Build an annotated corpus from public de-identification corpora and synthetic documents written from format rules, in English and Filipino.</w:t>
      </w:r>
    </w:p>
    <w:p>
      <w:pPr>
        <w:spacing w:after="60"/>
        <w:ind w:left="432"/>
        <w:jc w:val="both"/>
      </w:pPr>
      <w:r>
        <w:t>•  Train token-level and character-level Conditional Random Fields, combined with a rule layer for strongly patterned identifiers.</w:t>
      </w:r>
    </w:p>
    <w:p>
      <w:pPr>
        <w:spacing w:after="60"/>
        <w:ind w:left="432"/>
        <w:jc w:val="both"/>
      </w:pPr>
      <w:r>
        <w:t>•  Evaluate precision, recall, and F1 per entity type under strict and relaxed matching, and measure how well a model trained this way transfers to real-format documents.</w:t>
      </w:r>
    </w:p>
    <w:p>
      <w:pPr>
        <w:spacing w:after="60"/>
        <w:ind w:left="432"/>
        <w:jc w:val="both"/>
      </w:pPr>
      <w:r>
        <w:t>•  Deliver a redaction tool with a review queue and an audit trail.</w:t>
      </w:r>
    </w:p>
    <w:p>
      <w:pPr>
        <w:spacing w:after="120"/>
        <w:jc w:val="both"/>
      </w:pPr>
      <w:r>
        <w:t>Expected output. An annotated synthetic corpus and its annotation guide, a trained detector, a redaction tool with a review queue and audit trail, and an evaluation report by entity type.</w:t>
      </w:r>
    </w:p>
    <w:p>
      <w:pPr>
        <w:spacing w:after="120"/>
        <w:jc w:val="both"/>
      </w:pPr>
      <w:r>
        <w:t>Intended contribution. The first evaluation of automatic personal data detection on Philippine government document formats and identifiers, which published de-identification work, built on clinical English text, does not cover.</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3. Technical and Technology Feasibility</w:t>
            </w:r>
          </w:p>
        </w:tc>
      </w:tr>
    </w:tbl>
    <w:p>
      <w:pPr>
        <w:spacing w:after="40"/>
      </w:pPr>
    </w:p>
    <w:tbl>
      <w:tblPr>
        <w:tblStyle w:val="TableGrid"/>
        <w:tblW w:type="auto" w:w="0"/>
        <w:jc w:val="center"/>
        <w:tblLook w:firstColumn="1" w:firstRow="1" w:lastColumn="0" w:lastRow="0" w:noHBand="0" w:noVBand="1" w:val="04A0"/>
      </w:tblPr>
      <w:tblGrid>
        <w:gridCol w:w="3408"/>
        <w:gridCol w:w="3408"/>
        <w:gridCol w:w="3408"/>
      </w:tblGrid>
      <w:tr>
        <w:tc>
          <w:tcPr>
            <w:tcW w:type="dxa" w:w="2160"/>
            <w:shd w:val="clear" w:color="auto" w:fill="EDEDED"/>
          </w:tcPr>
          <w:p>
            <w:r>
              <w:rPr>
                <w:b/>
                <w:sz w:val="18"/>
              </w:rPr>
              <w:t>Area</w:t>
            </w:r>
          </w:p>
        </w:tc>
        <w:tc>
          <w:tcPr>
            <w:tcW w:type="dxa" w:w="3744"/>
            <w:shd w:val="clear" w:color="auto" w:fill="EDEDED"/>
          </w:tcPr>
          <w:p>
            <w:r>
              <w:rPr>
                <w:b/>
                <w:sz w:val="18"/>
              </w:rPr>
              <w:t>Proposed Choice</w:t>
            </w:r>
          </w:p>
        </w:tc>
        <w:tc>
          <w:tcPr>
            <w:tcW w:type="dxa" w:w="4320"/>
            <w:shd w:val="clear" w:color="auto" w:fill="EDEDED"/>
          </w:tcPr>
          <w:p>
            <w:r>
              <w:rPr>
                <w:b/>
                <w:sz w:val="18"/>
              </w:rPr>
              <w:t>Feasibility and Alternative</w:t>
            </w:r>
          </w:p>
        </w:tc>
      </w:tr>
      <w:tr>
        <w:tc>
          <w:tcPr>
            <w:tcW w:type="dxa" w:w="2160"/>
          </w:tcPr>
          <w:p>
            <w:r>
              <w:rPr>
                <w:sz w:val="18"/>
              </w:rPr>
              <w:t>Programming languages</w:t>
            </w:r>
          </w:p>
        </w:tc>
        <w:tc>
          <w:tcPr>
            <w:tcW w:type="dxa" w:w="3744"/>
          </w:tcPr>
          <w:p>
            <w:r>
              <w:rPr>
                <w:sz w:val="18"/>
              </w:rPr>
              <w:t>Python</w:t>
            </w:r>
          </w:p>
        </w:tc>
        <w:tc>
          <w:tcPr>
            <w:tcW w:type="dxa" w:w="4320"/>
          </w:tcPr>
          <w:p>
            <w:r>
              <w:rPr>
                <w:sz w:val="18"/>
              </w:rPr>
              <w:t>Covers annotation tooling, training, evaluation, and the review interface.</w:t>
            </w:r>
          </w:p>
        </w:tc>
      </w:tr>
      <w:tr>
        <w:tc>
          <w:tcPr>
            <w:tcW w:type="dxa" w:w="2160"/>
          </w:tcPr>
          <w:p>
            <w:r>
              <w:rPr>
                <w:sz w:val="18"/>
              </w:rPr>
              <w:t>Frameworks and libraries</w:t>
            </w:r>
          </w:p>
        </w:tc>
        <w:tc>
          <w:tcPr>
            <w:tcW w:type="dxa" w:w="3744"/>
          </w:tcPr>
          <w:p>
            <w:r>
              <w:rPr>
                <w:sz w:val="18"/>
              </w:rPr>
              <w:t>sklearn-crfsuite, spaCy with calamanCy for Tagalog, pdfplumber or Tesseract for document text</w:t>
            </w:r>
          </w:p>
        </w:tc>
        <w:tc>
          <w:tcPr>
            <w:tcW w:type="dxa" w:w="4320"/>
          </w:tcPr>
          <w:p>
            <w:r>
              <w:rPr>
                <w:sz w:val="18"/>
              </w:rPr>
              <w:t>All open source; calamanCy adds Filipino-aware tokenisation.</w:t>
            </w:r>
          </w:p>
        </w:tc>
      </w:tr>
      <w:tr>
        <w:tc>
          <w:tcPr>
            <w:tcW w:type="dxa" w:w="2160"/>
          </w:tcPr>
          <w:p>
            <w:r>
              <w:rPr>
                <w:sz w:val="18"/>
              </w:rPr>
              <w:t>Database and storage</w:t>
            </w:r>
          </w:p>
        </w:tc>
        <w:tc>
          <w:tcPr>
            <w:tcW w:type="dxa" w:w="3744"/>
          </w:tcPr>
          <w:p>
            <w:r>
              <w:rPr>
                <w:sz w:val="18"/>
              </w:rPr>
              <w:t>SQLite for the audit log</w:t>
            </w:r>
          </w:p>
        </w:tc>
        <w:tc>
          <w:tcPr>
            <w:tcW w:type="dxa" w:w="4320"/>
          </w:tcPr>
          <w:p>
            <w:r>
              <w:rPr>
                <w:sz w:val="18"/>
              </w:rPr>
              <w:t>No server needed.</w:t>
            </w:r>
          </w:p>
        </w:tc>
      </w:tr>
      <w:tr>
        <w:tc>
          <w:tcPr>
            <w:tcW w:type="dxa" w:w="2160"/>
          </w:tcPr>
          <w:p>
            <w:r>
              <w:rPr>
                <w:sz w:val="18"/>
              </w:rPr>
              <w:t>APIs and third-party services</w:t>
            </w:r>
          </w:p>
        </w:tc>
        <w:tc>
          <w:tcPr>
            <w:tcW w:type="dxa" w:w="3744"/>
          </w:tcPr>
          <w:p>
            <w:r>
              <w:rPr>
                <w:sz w:val="18"/>
              </w:rPr>
              <w:t>None</w:t>
            </w:r>
          </w:p>
        </w:tc>
        <w:tc>
          <w:tcPr>
            <w:tcW w:type="dxa" w:w="4320"/>
          </w:tcPr>
          <w:p>
            <w:r>
              <w:rPr>
                <w:sz w:val="18"/>
              </w:rPr>
              <w:t>Text never leaves the machine, which matters because the text is the sensitive thing.</w:t>
            </w:r>
          </w:p>
        </w:tc>
      </w:tr>
      <w:tr>
        <w:tc>
          <w:tcPr>
            <w:tcW w:type="dxa" w:w="2160"/>
          </w:tcPr>
          <w:p>
            <w:r>
              <w:rPr>
                <w:sz w:val="18"/>
              </w:rPr>
              <w:t>Platform</w:t>
            </w:r>
          </w:p>
        </w:tc>
        <w:tc>
          <w:tcPr>
            <w:tcW w:type="dxa" w:w="3744"/>
          </w:tcPr>
          <w:p>
            <w:r>
              <w:rPr>
                <w:sz w:val="18"/>
              </w:rPr>
              <w:t>Streamlit review interface</w:t>
            </w:r>
          </w:p>
        </w:tc>
        <w:tc>
          <w:tcPr>
            <w:tcW w:type="dxa" w:w="4320"/>
          </w:tcPr>
          <w:p>
            <w:r>
              <w:rPr>
                <w:sz w:val="18"/>
              </w:rPr>
              <w:t>Runs locally, including on TransCo computers for the optional evaluation.</w:t>
            </w:r>
          </w:p>
        </w:tc>
      </w:tr>
      <w:tr>
        <w:tc>
          <w:tcPr>
            <w:tcW w:type="dxa" w:w="2160"/>
          </w:tcPr>
          <w:p>
            <w:r>
              <w:rPr>
                <w:sz w:val="18"/>
              </w:rPr>
              <w:t>Hardware and equipment</w:t>
            </w:r>
          </w:p>
        </w:tc>
        <w:tc>
          <w:tcPr>
            <w:tcW w:type="dxa" w:w="3744"/>
          </w:tcPr>
          <w:p>
            <w:r>
              <w:rPr>
                <w:sz w:val="18"/>
              </w:rPr>
              <w:t>Development laptops</w:t>
            </w:r>
          </w:p>
        </w:tc>
        <w:tc>
          <w:tcPr>
            <w:tcW w:type="dxa" w:w="4320"/>
          </w:tcPr>
          <w:p>
            <w:r>
              <w:rPr>
                <w:sz w:val="18"/>
              </w:rPr>
              <w:t>CRFs train without a GPU.</w:t>
            </w:r>
          </w:p>
        </w:tc>
      </w:tr>
      <w:tr>
        <w:tc>
          <w:tcPr>
            <w:tcW w:type="dxa" w:w="2160"/>
          </w:tcPr>
          <w:p>
            <w:r>
              <w:rPr>
                <w:sz w:val="18"/>
              </w:rPr>
              <w:t>Architecture and integration</w:t>
            </w:r>
          </w:p>
        </w:tc>
        <w:tc>
          <w:tcPr>
            <w:tcW w:type="dxa" w:w="3744"/>
          </w:tcPr>
          <w:p>
            <w:r>
              <w:rPr>
                <w:sz w:val="18"/>
              </w:rPr>
              <w:t>Document import and text extraction, then tokenisation, feature extraction, CRF and rule detectors, merging, redaction with typed placeholders, review queue, and audit trail</w:t>
            </w:r>
          </w:p>
        </w:tc>
        <w:tc>
          <w:tcPr>
            <w:tcW w:type="dxa" w:w="4320"/>
          </w:tcPr>
          <w:p>
            <w:r>
              <w:rPr>
                <w:sz w:val="18"/>
              </w:rPr>
              <w:t>Read-only against source documents; redacted copies are new files.</w:t>
            </w:r>
          </w:p>
        </w:tc>
      </w:tr>
      <w:tr>
        <w:tc>
          <w:tcPr>
            <w:tcW w:type="dxa" w:w="2160"/>
          </w:tcPr>
          <w:p>
            <w:r>
              <w:rPr>
                <w:sz w:val="18"/>
              </w:rPr>
              <w:t>Security and maintenance</w:t>
            </w:r>
          </w:p>
        </w:tc>
        <w:tc>
          <w:tcPr>
            <w:tcW w:type="dxa" w:w="3744"/>
          </w:tcPr>
          <w:p>
            <w:r>
              <w:rPr>
                <w:sz w:val="18"/>
              </w:rPr>
              <w:t>Local processing only; audit log of every detection and decision</w:t>
            </w:r>
          </w:p>
        </w:tc>
        <w:tc>
          <w:tcPr>
            <w:tcW w:type="dxa" w:w="4320"/>
          </w:tcPr>
          <w:p>
            <w:r>
              <w:rPr>
                <w:sz w:val="18"/>
              </w:rPr>
              <w:t>No live TransCo document is held by the group.</w:t>
            </w:r>
          </w:p>
        </w:tc>
      </w:tr>
      <w:tr>
        <w:tc>
          <w:tcPr>
            <w:tcW w:type="dxa" w:w="2160"/>
          </w:tcPr>
          <w:p>
            <w:r>
              <w:rPr>
                <w:sz w:val="18"/>
              </w:rPr>
              <w:t>Technical expertise</w:t>
            </w:r>
          </w:p>
        </w:tc>
        <w:tc>
          <w:tcPr>
            <w:tcW w:type="dxa" w:w="3744"/>
          </w:tcPr>
          <w:p>
            <w:r>
              <w:rPr>
                <w:sz w:val="18"/>
              </w:rPr>
              <w:t>Python is in hand; sequence labelling is the least familiar area.</w:t>
            </w:r>
          </w:p>
        </w:tc>
        <w:tc>
          <w:tcPr>
            <w:tcW w:type="dxa" w:w="4320"/>
          </w:tcPr>
          <w:p>
            <w:r>
              <w:rPr>
                <w:sz w:val="18"/>
              </w:rPr>
              <w:t>Published CRF designs from the 2014 i2b2 shared task serve as templates.</w:t>
            </w:r>
          </w:p>
        </w:tc>
      </w:tr>
      <w:tr>
        <w:tc>
          <w:tcPr>
            <w:tcW w:type="dxa" w:w="2160"/>
          </w:tcPr>
          <w:p>
            <w:r>
              <w:rPr>
                <w:sz w:val="18"/>
              </w:rPr>
              <w:t>Limitations and alternatives</w:t>
            </w:r>
          </w:p>
        </w:tc>
        <w:tc>
          <w:tcPr>
            <w:tcW w:type="dxa" w:w="3744"/>
          </w:tcPr>
          <w:p>
            <w:r>
              <w:rPr>
                <w:sz w:val="18"/>
              </w:rPr>
              <w:t>Scanned documents need OCR, which adds errors.</w:t>
            </w:r>
          </w:p>
        </w:tc>
        <w:tc>
          <w:tcPr>
            <w:tcW w:type="dxa" w:w="4320"/>
          </w:tcPr>
          <w:p>
            <w:r>
              <w:rPr>
                <w:sz w:val="18"/>
              </w:rPr>
              <w:t>The study scopes to text-based documents first and treats OCR as an extension.</w:t>
            </w:r>
          </w:p>
        </w:tc>
      </w:tr>
    </w:tbl>
    <w:p>
      <w:pPr>
        <w:spacing w:after="40"/>
      </w:pPr>
    </w:p>
    <w:p>
      <w:pPr>
        <w:spacing w:after="120"/>
        <w:jc w:val="both"/>
      </w:pPr>
      <w:r>
        <w:t>Technical finding. Feasible with open-source tools on ordinary laptops. The design choice to avoid large language models is deliberate: CRFs are auditable, run locally, and have a published benchmark to compare against.</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4. Dataset and Data Feasibility</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2592"/>
            <w:shd w:val="clear" w:color="auto" w:fill="EDEDED"/>
          </w:tcPr>
          <w:p>
            <w:r>
              <w:rPr>
                <w:b/>
                <w:sz w:val="18"/>
              </w:rPr>
              <w:t>Requirement</w:t>
            </w:r>
          </w:p>
        </w:tc>
        <w:tc>
          <w:tcPr>
            <w:tcW w:type="dxa" w:w="7632"/>
            <w:shd w:val="clear" w:color="auto" w:fill="EDEDED"/>
          </w:tcPr>
          <w:p>
            <w:r>
              <w:rPr>
                <w:b/>
                <w:sz w:val="18"/>
              </w:rPr>
              <w:t>Current Assessment</w:t>
            </w:r>
          </w:p>
        </w:tc>
      </w:tr>
      <w:tr>
        <w:tc>
          <w:tcPr>
            <w:tcW w:type="dxa" w:w="2592"/>
          </w:tcPr>
          <w:p>
            <w:r>
              <w:rPr>
                <w:sz w:val="18"/>
              </w:rPr>
              <w:t>Dataset name and description</w:t>
            </w:r>
          </w:p>
        </w:tc>
        <w:tc>
          <w:tcPr>
            <w:tcW w:type="dxa" w:w="7632"/>
          </w:tcPr>
          <w:p>
            <w:r>
              <w:rPr>
                <w:sz w:val="18"/>
              </w:rPr>
              <w:t>An annotated corpus of personal data spans drawn from public de-identification corpora and synthetic Philippine-format documents written by the group.</w:t>
            </w:r>
          </w:p>
        </w:tc>
      </w:tr>
      <w:tr>
        <w:tc>
          <w:tcPr>
            <w:tcW w:type="dxa" w:w="2592"/>
          </w:tcPr>
          <w:p>
            <w:r>
              <w:rPr>
                <w:sz w:val="18"/>
              </w:rPr>
              <w:t>Source, owner, and provider</w:t>
            </w:r>
          </w:p>
        </w:tc>
        <w:tc>
          <w:tcPr>
            <w:tcW w:type="dxa" w:w="7632"/>
          </w:tcPr>
          <w:p>
            <w:r>
              <w:rPr>
                <w:sz w:val="18"/>
              </w:rPr>
              <w:t>The group builds the synthetic corpus itself. The 2014 i2b2/UTHealth corpus is available under its data use agreement. TransCo is asked only for document-type descriptions, its redaction categories, and optionally a few already-released redacted documents for realism of format.</w:t>
            </w:r>
          </w:p>
        </w:tc>
      </w:tr>
      <w:tr>
        <w:tc>
          <w:tcPr>
            <w:tcW w:type="dxa" w:w="2592"/>
          </w:tcPr>
          <w:p>
            <w:r>
              <w:rPr>
                <w:sz w:val="18"/>
              </w:rPr>
              <w:t>Public link</w:t>
            </w:r>
          </w:p>
        </w:tc>
        <w:tc>
          <w:tcPr>
            <w:tcW w:type="dxa" w:w="7632"/>
          </w:tcPr>
          <w:p>
            <w:r>
              <w:rPr>
                <w:sz w:val="18"/>
              </w:rPr>
              <w:t>Public corpora are available under their own terms; no TransCo data is public or requested.</w:t>
            </w:r>
          </w:p>
        </w:tc>
      </w:tr>
      <w:tr>
        <w:tc>
          <w:tcPr>
            <w:tcW w:type="dxa" w:w="2592"/>
          </w:tcPr>
          <w:p>
            <w:r>
              <w:rPr>
                <w:sz w:val="18"/>
              </w:rPr>
              <w:t>Data type and file format</w:t>
            </w:r>
          </w:p>
        </w:tc>
        <w:tc>
          <w:tcPr>
            <w:tcW w:type="dxa" w:w="7632"/>
          </w:tcPr>
          <w:p>
            <w:r>
              <w:rPr>
                <w:sz w:val="18"/>
              </w:rPr>
              <w:t>Text and PDF documents with span annotations.</w:t>
            </w:r>
          </w:p>
        </w:tc>
      </w:tr>
      <w:tr>
        <w:tc>
          <w:tcPr>
            <w:tcW w:type="dxa" w:w="2592"/>
          </w:tcPr>
          <w:p>
            <w:r>
              <w:rPr>
                <w:sz w:val="18"/>
              </w:rPr>
              <w:t>Estimated size</w:t>
            </w:r>
          </w:p>
        </w:tc>
        <w:tc>
          <w:tcPr>
            <w:tcW w:type="dxa" w:w="7632"/>
          </w:tcPr>
          <w:p>
            <w:r>
              <w:rPr>
                <w:sz w:val="18"/>
              </w:rPr>
              <w:t>At least 20,000 annotated spans.</w:t>
            </w:r>
          </w:p>
        </w:tc>
      </w:tr>
      <w:tr>
        <w:tc>
          <w:tcPr>
            <w:tcW w:type="dxa" w:w="2592"/>
          </w:tcPr>
          <w:p>
            <w:r>
              <w:rPr>
                <w:sz w:val="18"/>
              </w:rPr>
              <w:t>Features and attributes</w:t>
            </w:r>
          </w:p>
        </w:tc>
        <w:tc>
          <w:tcPr>
            <w:tcW w:type="dxa" w:w="7632"/>
          </w:tcPr>
          <w:p>
            <w:r>
              <w:rPr>
                <w:sz w:val="18"/>
              </w:rPr>
              <w:t>Word shape, prefixes and suffixes, dictionaries of Philippine places, Tagalog-aware tokens, and identifier patterns.</w:t>
            </w:r>
          </w:p>
        </w:tc>
      </w:tr>
      <w:tr>
        <w:tc>
          <w:tcPr>
            <w:tcW w:type="dxa" w:w="2592"/>
          </w:tcPr>
          <w:p>
            <w:r>
              <w:rPr>
                <w:sz w:val="18"/>
              </w:rPr>
              <w:t>Labels and target variables</w:t>
            </w:r>
          </w:p>
        </w:tc>
        <w:tc>
          <w:tcPr>
            <w:tcW w:type="dxa" w:w="7632"/>
          </w:tcPr>
          <w:p>
            <w:r>
              <w:rPr>
                <w:sz w:val="18"/>
              </w:rPr>
              <w:t>Entity labels: name, address, contact number, TIN, land title or tax declaration number, and other identifiers.</w:t>
            </w:r>
          </w:p>
        </w:tc>
      </w:tr>
      <w:tr>
        <w:tc>
          <w:tcPr>
            <w:tcW w:type="dxa" w:w="2592"/>
          </w:tcPr>
          <w:p>
            <w:r>
              <w:rPr>
                <w:sz w:val="18"/>
              </w:rPr>
              <w:t>Accessibility and collection</w:t>
            </w:r>
          </w:p>
        </w:tc>
        <w:tc>
          <w:tcPr>
            <w:tcW w:type="dxa" w:w="7632"/>
          </w:tcPr>
          <w:p>
            <w:r>
              <w:rPr>
                <w:sz w:val="18"/>
              </w:rPr>
              <w:t>Entirely in the group's control. The letter to TransCo asks for agreement in principle first; the recipient is being confirmed by the group's contact on September 24, 2026.</w:t>
            </w:r>
          </w:p>
        </w:tc>
      </w:tr>
      <w:tr>
        <w:tc>
          <w:tcPr>
            <w:tcW w:type="dxa" w:w="2592"/>
          </w:tcPr>
          <w:p>
            <w:r>
              <w:rPr>
                <w:sz w:val="18"/>
              </w:rPr>
              <w:t>Permission and licensing</w:t>
            </w:r>
          </w:p>
        </w:tc>
        <w:tc>
          <w:tcPr>
            <w:tcW w:type="dxa" w:w="7632"/>
          </w:tcPr>
          <w:p>
            <w:r>
              <w:rPr>
                <w:sz w:val="18"/>
              </w:rPr>
              <w:t>Written terms for any optional evaluation on TransCo's computers, with only aggregate scores returned.</w:t>
            </w:r>
          </w:p>
        </w:tc>
      </w:tr>
      <w:tr>
        <w:tc>
          <w:tcPr>
            <w:tcW w:type="dxa" w:w="2592"/>
          </w:tcPr>
          <w:p>
            <w:r>
              <w:rPr>
                <w:sz w:val="18"/>
              </w:rPr>
              <w:t>Quality, completeness, and bias</w:t>
            </w:r>
          </w:p>
        </w:tc>
        <w:tc>
          <w:tcPr>
            <w:tcW w:type="dxa" w:w="7632"/>
          </w:tcPr>
          <w:p>
            <w:r>
              <w:rPr>
                <w:sz w:val="18"/>
              </w:rPr>
              <w:t>Synthetic text can be cleaner than real documents; the transfer test measures exactly that gap.</w:t>
            </w:r>
          </w:p>
        </w:tc>
      </w:tr>
      <w:tr>
        <w:tc>
          <w:tcPr>
            <w:tcW w:type="dxa" w:w="2592"/>
          </w:tcPr>
          <w:p>
            <w:r>
              <w:rPr>
                <w:sz w:val="18"/>
              </w:rPr>
              <w:t>Preprocessing and storage</w:t>
            </w:r>
          </w:p>
        </w:tc>
        <w:tc>
          <w:tcPr>
            <w:tcW w:type="dxa" w:w="7632"/>
          </w:tcPr>
          <w:p>
            <w:r>
              <w:rPr>
                <w:sz w:val="18"/>
              </w:rPr>
              <w:t>Annotation guide, double annotation of a sample, Cohen's kappa for agreement.</w:t>
            </w:r>
          </w:p>
        </w:tc>
      </w:tr>
      <w:tr>
        <w:tc>
          <w:tcPr>
            <w:tcW w:type="dxa" w:w="2592"/>
          </w:tcPr>
          <w:p>
            <w:r>
              <w:rPr>
                <w:sz w:val="18"/>
              </w:rPr>
              <w:t>Training, validation, testing</w:t>
            </w:r>
          </w:p>
        </w:tc>
        <w:tc>
          <w:tcPr>
            <w:tcW w:type="dxa" w:w="7632"/>
          </w:tcPr>
          <w:p>
            <w:r>
              <w:rPr>
                <w:sz w:val="18"/>
              </w:rPr>
              <w:t>Separate train, validation, and test sets; a held-out set in real TransCo formats if the optional evaluation goes ahead.</w:t>
            </w:r>
          </w:p>
        </w:tc>
      </w:tr>
      <w:tr>
        <w:tc>
          <w:tcPr>
            <w:tcW w:type="dxa" w:w="2592"/>
          </w:tcPr>
          <w:p>
            <w:r>
              <w:rPr>
                <w:sz w:val="18"/>
              </w:rPr>
              <w:t>Alternative data plan</w:t>
            </w:r>
          </w:p>
        </w:tc>
        <w:tc>
          <w:tcPr>
            <w:tcW w:type="dxa" w:w="7632"/>
          </w:tcPr>
          <w:p>
            <w:r>
              <w:rPr>
                <w:sz w:val="18"/>
              </w:rPr>
              <w:t>If synthetic records do not count toward the 10,000-record floor, the public corpora carry the volume and the synthetic set becomes the Philippine test set.</w:t>
            </w:r>
          </w:p>
        </w:tc>
      </w:tr>
    </w:tbl>
    <w:p>
      <w:pPr>
        <w:spacing w:after="40"/>
      </w:pPr>
    </w:p>
    <w:p>
      <w:pPr>
        <w:spacing w:after="120"/>
        <w:jc w:val="both"/>
      </w:pPr>
      <w:r>
        <w:t xml:space="preserve">Dataset finding. The data is in the group's control, which makes this the least partner-dependent title. </w:t>
      </w:r>
      <w:r>
        <w:rPr>
          <w:highlight w:val="yellow"/>
        </w:rPr>
        <w:t>[The open question is whether Ma'am accepts synthetic records toward the 10,000-record floor.]</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5. Algorithm or Model Feasibility</w:t>
            </w:r>
          </w:p>
        </w:tc>
      </w:tr>
    </w:tbl>
    <w:p>
      <w:pPr>
        <w:spacing w:after="40"/>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shd w:val="clear" w:color="auto" w:fill="EDEDED"/>
          </w:tcPr>
          <w:p>
            <w:r>
              <w:rPr>
                <w:b/>
                <w:sz w:val="18"/>
              </w:rPr>
              <w:t>Evaluation Area</w:t>
            </w:r>
          </w:p>
        </w:tc>
        <w:tc>
          <w:tcPr>
            <w:tcW w:type="dxa" w:w="2448"/>
            <w:shd w:val="clear" w:color="auto" w:fill="EDEDED"/>
          </w:tcPr>
          <w:p>
            <w:r>
              <w:rPr>
                <w:b/>
                <w:sz w:val="18"/>
              </w:rPr>
              <w:t>Approach 1</w:t>
            </w:r>
          </w:p>
        </w:tc>
        <w:tc>
          <w:tcPr>
            <w:tcW w:type="dxa" w:w="2736"/>
            <w:shd w:val="clear" w:color="auto" w:fill="EDEDED"/>
          </w:tcPr>
          <w:p>
            <w:r>
              <w:rPr>
                <w:b/>
                <w:sz w:val="18"/>
              </w:rPr>
              <w:t>Approach 2</w:t>
            </w:r>
          </w:p>
        </w:tc>
        <w:tc>
          <w:tcPr>
            <w:tcW w:type="dxa" w:w="2736"/>
            <w:shd w:val="clear" w:color="auto" w:fill="EDEDED"/>
          </w:tcPr>
          <w:p>
            <w:r>
              <w:rPr>
                <w:b/>
                <w:sz w:val="18"/>
              </w:rPr>
              <w:t>Approach 3</w:t>
            </w:r>
          </w:p>
        </w:tc>
      </w:tr>
      <w:tr>
        <w:tc>
          <w:tcPr>
            <w:tcW w:type="dxa" w:w="2304"/>
          </w:tcPr>
          <w:p>
            <w:r>
              <w:rPr>
                <w:sz w:val="18"/>
              </w:rPr>
              <w:t>Name of algorithm or approach</w:t>
            </w:r>
          </w:p>
        </w:tc>
        <w:tc>
          <w:tcPr>
            <w:tcW w:type="dxa" w:w="2448"/>
          </w:tcPr>
          <w:p>
            <w:r>
              <w:rPr>
                <w:sz w:val="18"/>
              </w:rPr>
              <w:t>Rules and regular expressions</w:t>
            </w:r>
          </w:p>
        </w:tc>
        <w:tc>
          <w:tcPr>
            <w:tcW w:type="dxa" w:w="2736"/>
          </w:tcPr>
          <w:p>
            <w:r>
              <w:rPr>
                <w:sz w:val="18"/>
              </w:rPr>
              <w:t>Conditional Random Fields with a rule layer</w:t>
            </w:r>
          </w:p>
        </w:tc>
        <w:tc>
          <w:tcPr>
            <w:tcW w:type="dxa" w:w="2736"/>
          </w:tcPr>
          <w:p>
            <w:r>
              <w:rPr>
                <w:sz w:val="18"/>
              </w:rPr>
              <w:t>Neural baseline (BiLSTM-CRF)</w:t>
            </w:r>
          </w:p>
        </w:tc>
      </w:tr>
      <w:tr>
        <w:tc>
          <w:tcPr>
            <w:tcW w:type="dxa" w:w="2304"/>
          </w:tcPr>
          <w:p>
            <w:r>
              <w:rPr>
                <w:sz w:val="18"/>
              </w:rPr>
              <w:t>Purpose in the proposed project</w:t>
            </w:r>
          </w:p>
        </w:tc>
        <w:tc>
          <w:tcPr>
            <w:tcW w:type="dxa" w:w="2448"/>
          </w:tcPr>
          <w:p>
            <w:r>
              <w:rPr>
                <w:sz w:val="18"/>
              </w:rPr>
              <w:t>Baseline for patterned identifiers</w:t>
            </w:r>
          </w:p>
        </w:tc>
        <w:tc>
          <w:tcPr>
            <w:tcW w:type="dxa" w:w="2736"/>
          </w:tcPr>
          <w:p>
            <w:r>
              <w:rPr>
                <w:sz w:val="18"/>
              </w:rPr>
              <w:t>Primary detector</w:t>
            </w:r>
          </w:p>
        </w:tc>
        <w:tc>
          <w:tcPr>
            <w:tcW w:type="dxa" w:w="2736"/>
          </w:tcPr>
          <w:p>
            <w:r>
              <w:rPr>
                <w:sz w:val="18"/>
              </w:rPr>
              <w:t>Comparison only</w:t>
            </w:r>
          </w:p>
        </w:tc>
      </w:tr>
      <w:tr>
        <w:tc>
          <w:tcPr>
            <w:tcW w:type="dxa" w:w="2304"/>
          </w:tcPr>
          <w:p>
            <w:r>
              <w:rPr>
                <w:sz w:val="18"/>
              </w:rPr>
              <w:t>Dataset requirements</w:t>
            </w:r>
          </w:p>
        </w:tc>
        <w:tc>
          <w:tcPr>
            <w:tcW w:type="dxa" w:w="2448"/>
          </w:tcPr>
          <w:p>
            <w:r>
              <w:rPr>
                <w:sz w:val="18"/>
              </w:rPr>
              <w:t>Pattern definitions only</w:t>
            </w:r>
          </w:p>
        </w:tc>
        <w:tc>
          <w:tcPr>
            <w:tcW w:type="dxa" w:w="2736"/>
          </w:tcPr>
          <w:p>
            <w:r>
              <w:rPr>
                <w:sz w:val="18"/>
              </w:rPr>
              <w:t>Annotated corpus</w:t>
            </w:r>
          </w:p>
        </w:tc>
        <w:tc>
          <w:tcPr>
            <w:tcW w:type="dxa" w:w="2736"/>
          </w:tcPr>
          <w:p>
            <w:r>
              <w:rPr>
                <w:sz w:val="18"/>
              </w:rPr>
              <w:t>Larger annotated corpus</w:t>
            </w:r>
          </w:p>
        </w:tc>
      </w:tr>
      <w:tr>
        <w:tc>
          <w:tcPr>
            <w:tcW w:type="dxa" w:w="2304"/>
          </w:tcPr>
          <w:p>
            <w:r>
              <w:rPr>
                <w:sz w:val="18"/>
              </w:rPr>
              <w:t>Expected performance</w:t>
            </w:r>
          </w:p>
        </w:tc>
        <w:tc>
          <w:tcPr>
            <w:tcW w:type="dxa" w:w="2448"/>
          </w:tcPr>
          <w:p>
            <w:r>
              <w:rPr>
                <w:sz w:val="18"/>
              </w:rPr>
              <w:t>High precision on patterned IDs, misses names and addresses</w:t>
            </w:r>
          </w:p>
        </w:tc>
        <w:tc>
          <w:tcPr>
            <w:tcW w:type="dxa" w:w="2736"/>
          </w:tcPr>
          <w:p>
            <w:r>
              <w:rPr>
                <w:sz w:val="18"/>
              </w:rPr>
              <w:t>Near the published 0.91 strict F1 on clinical text</w:t>
            </w:r>
          </w:p>
        </w:tc>
        <w:tc>
          <w:tcPr>
            <w:tcW w:type="dxa" w:w="2736"/>
          </w:tcPr>
          <w:p>
            <w:r>
              <w:rPr>
                <w:sz w:val="18"/>
              </w:rPr>
              <w:t>Somewhat higher, at greater computing cost</w:t>
            </w:r>
          </w:p>
        </w:tc>
      </w:tr>
      <w:tr>
        <w:tc>
          <w:tcPr>
            <w:tcW w:type="dxa" w:w="2304"/>
          </w:tcPr>
          <w:p>
            <w:r>
              <w:rPr>
                <w:sz w:val="18"/>
              </w:rPr>
              <w:t>Computational requirements</w:t>
            </w:r>
          </w:p>
        </w:tc>
        <w:tc>
          <w:tcPr>
            <w:tcW w:type="dxa" w:w="2448"/>
          </w:tcPr>
          <w:p>
            <w:r>
              <w:rPr>
                <w:sz w:val="18"/>
              </w:rPr>
              <w:t>Low</w:t>
            </w:r>
          </w:p>
        </w:tc>
        <w:tc>
          <w:tcPr>
            <w:tcW w:type="dxa" w:w="2736"/>
          </w:tcPr>
          <w:p>
            <w:r>
              <w:rPr>
                <w:sz w:val="18"/>
              </w:rPr>
              <w:t>Low; CPU only</w:t>
            </w:r>
          </w:p>
        </w:tc>
        <w:tc>
          <w:tcPr>
            <w:tcW w:type="dxa" w:w="2736"/>
          </w:tcPr>
          <w:p>
            <w:r>
              <w:rPr>
                <w:sz w:val="18"/>
              </w:rPr>
              <w:t>Moderate to high</w:t>
            </w:r>
          </w:p>
        </w:tc>
      </w:tr>
      <w:tr>
        <w:tc>
          <w:tcPr>
            <w:tcW w:type="dxa" w:w="2304"/>
          </w:tcPr>
          <w:p>
            <w:r>
              <w:rPr>
                <w:sz w:val="18"/>
              </w:rPr>
              <w:t>Advantages</w:t>
            </w:r>
          </w:p>
        </w:tc>
        <w:tc>
          <w:tcPr>
            <w:tcW w:type="dxa" w:w="2448"/>
          </w:tcPr>
          <w:p>
            <w:r>
              <w:rPr>
                <w:sz w:val="18"/>
              </w:rPr>
              <w:t>Transparent</w:t>
            </w:r>
          </w:p>
        </w:tc>
        <w:tc>
          <w:tcPr>
            <w:tcW w:type="dxa" w:w="2736"/>
          </w:tcPr>
          <w:p>
            <w:r>
              <w:rPr>
                <w:sz w:val="18"/>
              </w:rPr>
              <w:t>Auditable, local, published benchmark</w:t>
            </w:r>
          </w:p>
        </w:tc>
        <w:tc>
          <w:tcPr>
            <w:tcW w:type="dxa" w:w="2736"/>
          </w:tcPr>
          <w:p>
            <w:r>
              <w:rPr>
                <w:sz w:val="18"/>
              </w:rPr>
              <w:t>Strongest published accuracy</w:t>
            </w:r>
          </w:p>
        </w:tc>
      </w:tr>
      <w:tr>
        <w:tc>
          <w:tcPr>
            <w:tcW w:type="dxa" w:w="2304"/>
          </w:tcPr>
          <w:p>
            <w:r>
              <w:rPr>
                <w:sz w:val="18"/>
              </w:rPr>
              <w:t>Limitations</w:t>
            </w:r>
          </w:p>
        </w:tc>
        <w:tc>
          <w:tcPr>
            <w:tcW w:type="dxa" w:w="2448"/>
          </w:tcPr>
          <w:p>
            <w:r>
              <w:rPr>
                <w:sz w:val="18"/>
              </w:rPr>
              <w:t>Cannot find unpatterned entities</w:t>
            </w:r>
          </w:p>
        </w:tc>
        <w:tc>
          <w:tcPr>
            <w:tcW w:type="dxa" w:w="2736"/>
          </w:tcPr>
          <w:p>
            <w:r>
              <w:rPr>
                <w:sz w:val="18"/>
              </w:rPr>
              <w:t>Feature engineering effort</w:t>
            </w:r>
          </w:p>
        </w:tc>
        <w:tc>
          <w:tcPr>
            <w:tcW w:type="dxa" w:w="2736"/>
          </w:tcPr>
          <w:p>
            <w:r>
              <w:rPr>
                <w:sz w:val="18"/>
              </w:rPr>
              <w:t>Harder to audit; needs more data</w:t>
            </w:r>
          </w:p>
        </w:tc>
      </w:tr>
      <w:tr>
        <w:tc>
          <w:tcPr>
            <w:tcW w:type="dxa" w:w="2304"/>
          </w:tcPr>
          <w:p>
            <w:r>
              <w:rPr>
                <w:sz w:val="18"/>
              </w:rPr>
              <w:t>Evaluation metrics</w:t>
            </w:r>
          </w:p>
        </w:tc>
        <w:tc>
          <w:tcPr>
            <w:tcW w:type="dxa" w:w="2448"/>
          </w:tcPr>
          <w:p>
            <w:r>
              <w:rPr>
                <w:sz w:val="18"/>
              </w:rPr>
              <w:t>Precision, recall, F1</w:t>
            </w:r>
          </w:p>
        </w:tc>
        <w:tc>
          <w:tcPr>
            <w:tcW w:type="dxa" w:w="2736"/>
          </w:tcPr>
          <w:p>
            <w:r>
              <w:rPr>
                <w:sz w:val="18"/>
              </w:rPr>
              <w:t>Precision, recall, F1 at token, strict, and relaxed levels</w:t>
            </w:r>
          </w:p>
        </w:tc>
        <w:tc>
          <w:tcPr>
            <w:tcW w:type="dxa" w:w="2736"/>
          </w:tcPr>
          <w:p>
            <w:r>
              <w:rPr>
                <w:sz w:val="18"/>
              </w:rPr>
              <w:t>Same as Approach 2</w:t>
            </w:r>
          </w:p>
        </w:tc>
      </w:tr>
      <w:tr>
        <w:tc>
          <w:tcPr>
            <w:tcW w:type="dxa" w:w="2304"/>
          </w:tcPr>
          <w:p>
            <w:r>
              <w:rPr>
                <w:sz w:val="18"/>
              </w:rPr>
              <w:t>Implementation complexity</w:t>
            </w:r>
          </w:p>
        </w:tc>
        <w:tc>
          <w:tcPr>
            <w:tcW w:type="dxa" w:w="2448"/>
          </w:tcPr>
          <w:p>
            <w:r>
              <w:rPr>
                <w:sz w:val="18"/>
              </w:rPr>
              <w:t>Low</w:t>
            </w:r>
          </w:p>
        </w:tc>
        <w:tc>
          <w:tcPr>
            <w:tcW w:type="dxa" w:w="2736"/>
          </w:tcPr>
          <w:p>
            <w:r>
              <w:rPr>
                <w:sz w:val="18"/>
              </w:rPr>
              <w:t>Moderate</w:t>
            </w:r>
          </w:p>
        </w:tc>
        <w:tc>
          <w:tcPr>
            <w:tcW w:type="dxa" w:w="2736"/>
          </w:tcPr>
          <w:p>
            <w:r>
              <w:rPr>
                <w:sz w:val="18"/>
              </w:rPr>
              <w:t>Moderate to high</w:t>
            </w:r>
          </w:p>
        </w:tc>
      </w:tr>
    </w:tbl>
    <w:p>
      <w:pPr>
        <w:spacing w:after="40"/>
      </w:pPr>
    </w:p>
    <w:p>
      <w:pPr>
        <w:spacing w:after="120"/>
        <w:jc w:val="both"/>
      </w:pPr>
      <w:r>
        <w:t>Recommended approach. Token-level and character-level CRFs with a rule layer, following Liu et al. (2015), as the primary detector; rules alone as the baseline; a neural model for comparison. Recall is weighted most heavily, because a missed identifier is a disclosure.</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6. Operational Feasibility</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2592"/>
            <w:shd w:val="clear" w:color="auto" w:fill="EDEDED"/>
          </w:tcPr>
          <w:p>
            <w:r>
              <w:rPr>
                <w:b/>
                <w:sz w:val="18"/>
              </w:rPr>
              <w:t>Area</w:t>
            </w:r>
          </w:p>
        </w:tc>
        <w:tc>
          <w:tcPr>
            <w:tcW w:type="dxa" w:w="7632"/>
            <w:shd w:val="clear" w:color="auto" w:fill="EDEDED"/>
          </w:tcPr>
          <w:p>
            <w:r>
              <w:rPr>
                <w:b/>
                <w:sz w:val="18"/>
              </w:rPr>
              <w:t>Assessment</w:t>
            </w:r>
          </w:p>
        </w:tc>
      </w:tr>
      <w:tr>
        <w:tc>
          <w:tcPr>
            <w:tcW w:type="dxa" w:w="2592"/>
          </w:tcPr>
          <w:p>
            <w:r>
              <w:rPr>
                <w:sz w:val="18"/>
              </w:rPr>
              <w:t>Target users and stakeholders</w:t>
            </w:r>
          </w:p>
        </w:tc>
        <w:tc>
          <w:tcPr>
            <w:tcW w:type="dxa" w:w="7632"/>
          </w:tcPr>
          <w:p>
            <w:r>
              <w:rPr>
                <w:sz w:val="18"/>
              </w:rPr>
              <w:t>TransCo FOI officer, Data Protection Officer, and records staff.</w:t>
            </w:r>
          </w:p>
        </w:tc>
      </w:tr>
      <w:tr>
        <w:tc>
          <w:tcPr>
            <w:tcW w:type="dxa" w:w="2592"/>
          </w:tcPr>
          <w:p>
            <w:r>
              <w:rPr>
                <w:sz w:val="18"/>
              </w:rPr>
              <w:t>Intended operating environment</w:t>
            </w:r>
          </w:p>
        </w:tc>
        <w:tc>
          <w:tcPr>
            <w:tcW w:type="dxa" w:w="7632"/>
          </w:tcPr>
          <w:p>
            <w:r>
              <w:rPr>
                <w:sz w:val="18"/>
              </w:rPr>
              <w:t>Office computers; the tool runs locally with no internet needed.</w:t>
            </w:r>
          </w:p>
        </w:tc>
      </w:tr>
      <w:tr>
        <w:tc>
          <w:tcPr>
            <w:tcW w:type="dxa" w:w="2592"/>
          </w:tcPr>
          <w:p>
            <w:r>
              <w:rPr>
                <w:sz w:val="18"/>
              </w:rPr>
              <w:t>Availability of participants</w:t>
            </w:r>
          </w:p>
        </w:tc>
        <w:tc>
          <w:tcPr>
            <w:tcW w:type="dxa" w:w="7632"/>
          </w:tcPr>
          <w:p>
            <w:r>
              <w:rPr>
                <w:sz w:val="18"/>
              </w:rPr>
              <w:t>Optional. The study can be completed without TransCo staff; their involvement adds a real-format evaluation.</w:t>
            </w:r>
          </w:p>
        </w:tc>
      </w:tr>
      <w:tr>
        <w:tc>
          <w:tcPr>
            <w:tcW w:type="dxa" w:w="2592"/>
          </w:tcPr>
          <w:p>
            <w:r>
              <w:rPr>
                <w:sz w:val="18"/>
              </w:rPr>
              <w:t>User needs and benefits</w:t>
            </w:r>
          </w:p>
        </w:tc>
        <w:tc>
          <w:tcPr>
            <w:tcW w:type="dxa" w:w="7632"/>
          </w:tcPr>
          <w:p>
            <w:r>
              <w:rPr>
                <w:sz w:val="18"/>
              </w:rPr>
              <w:t>Faster, more consistent redaction with a record of every decision.</w:t>
            </w:r>
          </w:p>
        </w:tc>
      </w:tr>
      <w:tr>
        <w:tc>
          <w:tcPr>
            <w:tcW w:type="dxa" w:w="2592"/>
          </w:tcPr>
          <w:p>
            <w:r>
              <w:rPr>
                <w:sz w:val="18"/>
              </w:rPr>
              <w:t>Devices and facilities</w:t>
            </w:r>
          </w:p>
        </w:tc>
        <w:tc>
          <w:tcPr>
            <w:tcW w:type="dxa" w:w="7632"/>
          </w:tcPr>
          <w:p>
            <w:r>
              <w:rPr>
                <w:sz w:val="18"/>
              </w:rPr>
              <w:t>Standard office computers.</w:t>
            </w:r>
          </w:p>
        </w:tc>
      </w:tr>
      <w:tr>
        <w:tc>
          <w:tcPr>
            <w:tcW w:type="dxa" w:w="2592"/>
          </w:tcPr>
          <w:p>
            <w:r>
              <w:rPr>
                <w:sz w:val="18"/>
              </w:rPr>
              <w:t>Usability and accessibility</w:t>
            </w:r>
          </w:p>
        </w:tc>
        <w:tc>
          <w:tcPr>
            <w:tcW w:type="dxa" w:w="7632"/>
          </w:tcPr>
          <w:p>
            <w:r>
              <w:rPr>
                <w:sz w:val="18"/>
              </w:rPr>
              <w:t>Review interface showing each proposed redaction with its reason.</w:t>
            </w:r>
          </w:p>
        </w:tc>
      </w:tr>
      <w:tr>
        <w:tc>
          <w:tcPr>
            <w:tcW w:type="dxa" w:w="2592"/>
          </w:tcPr>
          <w:p>
            <w:r>
              <w:rPr>
                <w:sz w:val="18"/>
              </w:rPr>
              <w:t>Training and support</w:t>
            </w:r>
          </w:p>
        </w:tc>
        <w:tc>
          <w:tcPr>
            <w:tcW w:type="dxa" w:w="7632"/>
          </w:tcPr>
          <w:p>
            <w:r>
              <w:rPr>
                <w:sz w:val="18"/>
              </w:rPr>
              <w:t>A short guide to reviewing and correcting proposed redactions.</w:t>
            </w:r>
          </w:p>
        </w:tc>
      </w:tr>
      <w:tr>
        <w:tc>
          <w:tcPr>
            <w:tcW w:type="dxa" w:w="2592"/>
          </w:tcPr>
          <w:p>
            <w:r>
              <w:rPr>
                <w:sz w:val="18"/>
              </w:rPr>
              <w:t>Maintenance</w:t>
            </w:r>
          </w:p>
        </w:tc>
        <w:tc>
          <w:tcPr>
            <w:tcW w:type="dxa" w:w="7632"/>
          </w:tcPr>
          <w:p>
            <w:r>
              <w:rPr>
                <w:sz w:val="18"/>
              </w:rPr>
              <w:t>New identifier patterns are added to the rule layer; the CRF is retrained on corrected output.</w:t>
            </w:r>
          </w:p>
        </w:tc>
      </w:tr>
      <w:tr>
        <w:tc>
          <w:tcPr>
            <w:tcW w:type="dxa" w:w="2592"/>
          </w:tcPr>
          <w:p>
            <w:r>
              <w:rPr>
                <w:sz w:val="18"/>
              </w:rPr>
              <w:t>Adoption challenges</w:t>
            </w:r>
          </w:p>
        </w:tc>
        <w:tc>
          <w:tcPr>
            <w:tcW w:type="dxa" w:w="7632"/>
          </w:tcPr>
          <w:p>
            <w:r>
              <w:rPr>
                <w:sz w:val="18"/>
              </w:rPr>
              <w:t>Staff must trust the tool without over-trusting it; every redaction stays a staff decision.</w:t>
            </w:r>
          </w:p>
        </w:tc>
      </w:tr>
    </w:tbl>
    <w:p>
      <w:pPr>
        <w:spacing w:after="40"/>
      </w:pPr>
    </w:p>
    <w:p>
      <w:pPr>
        <w:spacing w:after="120"/>
        <w:jc w:val="both"/>
      </w:pPr>
      <w:r>
        <w:t>Operational finding. Practical, and the least dependent on partner time of the six titles.</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7. Economic Feasibility</w:t>
            </w:r>
          </w:p>
        </w:tc>
      </w:tr>
    </w:tbl>
    <w:p>
      <w:pPr>
        <w:spacing w:after="40"/>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shd w:val="clear" w:color="auto" w:fill="EDEDED"/>
          </w:tcPr>
          <w:p>
            <w:r>
              <w:rPr>
                <w:b/>
                <w:sz w:val="18"/>
              </w:rPr>
              <w:t>Expense</w:t>
            </w:r>
          </w:p>
        </w:tc>
        <w:tc>
          <w:tcPr>
            <w:tcW w:type="dxa" w:w="1872"/>
            <w:shd w:val="clear" w:color="auto" w:fill="EDEDED"/>
          </w:tcPr>
          <w:p>
            <w:r>
              <w:rPr>
                <w:b/>
                <w:sz w:val="18"/>
              </w:rPr>
              <w:t>Estimated Cost</w:t>
            </w:r>
          </w:p>
        </w:tc>
        <w:tc>
          <w:tcPr>
            <w:tcW w:type="dxa" w:w="3024"/>
            <w:shd w:val="clear" w:color="auto" w:fill="EDEDED"/>
          </w:tcPr>
          <w:p>
            <w:r>
              <w:rPr>
                <w:b/>
                <w:sz w:val="18"/>
              </w:rPr>
              <w:t>Purpose</w:t>
            </w:r>
          </w:p>
        </w:tc>
        <w:tc>
          <w:tcPr>
            <w:tcW w:type="dxa" w:w="2736"/>
            <w:shd w:val="clear" w:color="auto" w:fill="EDEDED"/>
          </w:tcPr>
          <w:p>
            <w:r>
              <w:rPr>
                <w:b/>
                <w:sz w:val="18"/>
              </w:rPr>
              <w:t>Possible Alternative</w:t>
            </w:r>
          </w:p>
        </w:tc>
      </w:tr>
      <w:tr>
        <w:tc>
          <w:tcPr>
            <w:tcW w:type="dxa" w:w="2592"/>
          </w:tcPr>
          <w:p>
            <w:r>
              <w:rPr>
                <w:sz w:val="18"/>
              </w:rPr>
              <w:t>Software licences</w:t>
            </w:r>
          </w:p>
        </w:tc>
        <w:tc>
          <w:tcPr>
            <w:tcW w:type="dxa" w:w="1872"/>
          </w:tcPr>
          <w:p>
            <w:r>
              <w:rPr>
                <w:sz w:val="18"/>
              </w:rPr>
              <w:t>PHP 0</w:t>
            </w:r>
          </w:p>
        </w:tc>
        <w:tc>
          <w:tcPr>
            <w:tcW w:type="dxa" w:w="3024"/>
          </w:tcPr>
          <w:p>
            <w:r>
              <w:rPr>
                <w:sz w:val="18"/>
              </w:rPr>
              <w:t>Open-source NLP libraries</w:t>
            </w:r>
          </w:p>
        </w:tc>
        <w:tc>
          <w:tcPr>
            <w:tcW w:type="dxa" w:w="2736"/>
          </w:tcPr>
          <w:p>
            <w:r>
              <w:rPr>
                <w:sz w:val="18"/>
              </w:rPr>
              <w:t>None needed</w:t>
            </w:r>
          </w:p>
        </w:tc>
      </w:tr>
      <w:tr>
        <w:tc>
          <w:tcPr>
            <w:tcW w:type="dxa" w:w="2592"/>
          </w:tcPr>
          <w:p>
            <w:r>
              <w:rPr>
                <w:sz w:val="18"/>
              </w:rPr>
              <w:t>APIs and subscriptions</w:t>
            </w:r>
          </w:p>
        </w:tc>
        <w:tc>
          <w:tcPr>
            <w:tcW w:type="dxa" w:w="1872"/>
          </w:tcPr>
          <w:p>
            <w:r>
              <w:rPr>
                <w:sz w:val="18"/>
              </w:rPr>
              <w:t>PHP 0</w:t>
            </w:r>
          </w:p>
        </w:tc>
        <w:tc>
          <w:tcPr>
            <w:tcW w:type="dxa" w:w="3024"/>
          </w:tcPr>
          <w:p>
            <w:r>
              <w:rPr>
                <w:sz w:val="18"/>
              </w:rPr>
              <w:t>None</w:t>
            </w:r>
          </w:p>
        </w:tc>
        <w:tc>
          <w:tcPr>
            <w:tcW w:type="dxa" w:w="2736"/>
          </w:tcPr>
          <w:p>
            <w:r>
              <w:rPr>
                <w:sz w:val="18"/>
              </w:rPr>
              <w:t>None</w:t>
            </w:r>
          </w:p>
        </w:tc>
      </w:tr>
      <w:tr>
        <w:tc>
          <w:tcPr>
            <w:tcW w:type="dxa" w:w="2592"/>
          </w:tcPr>
          <w:p>
            <w:r>
              <w:rPr>
                <w:sz w:val="18"/>
              </w:rPr>
              <w:t>Cloud hosting and storage</w:t>
            </w:r>
          </w:p>
        </w:tc>
        <w:tc>
          <w:tcPr>
            <w:tcW w:type="dxa" w:w="1872"/>
          </w:tcPr>
          <w:p>
            <w:r>
              <w:rPr>
                <w:sz w:val="18"/>
              </w:rPr>
              <w:t>PHP 0</w:t>
            </w:r>
          </w:p>
        </w:tc>
        <w:tc>
          <w:tcPr>
            <w:tcW w:type="dxa" w:w="3024"/>
          </w:tcPr>
          <w:p>
            <w:r>
              <w:rPr>
                <w:sz w:val="18"/>
              </w:rPr>
              <w:t>Local processing</w:t>
            </w:r>
          </w:p>
        </w:tc>
        <w:tc>
          <w:tcPr>
            <w:tcW w:type="dxa" w:w="2736"/>
          </w:tcPr>
          <w:p>
            <w:r>
              <w:rPr>
                <w:sz w:val="18"/>
              </w:rPr>
              <w:t>None</w:t>
            </w:r>
          </w:p>
        </w:tc>
      </w:tr>
      <w:tr>
        <w:tc>
          <w:tcPr>
            <w:tcW w:type="dxa" w:w="2592"/>
          </w:tcPr>
          <w:p>
            <w:r>
              <w:rPr>
                <w:sz w:val="18"/>
              </w:rPr>
              <w:t>Dataset acquisition or annotation</w:t>
            </w:r>
          </w:p>
        </w:tc>
        <w:tc>
          <w:tcPr>
            <w:tcW w:type="dxa" w:w="1872"/>
          </w:tcPr>
          <w:p>
            <w:r>
              <w:rPr>
                <w:sz w:val="18"/>
              </w:rPr>
              <w:t>PHP 0</w:t>
            </w:r>
          </w:p>
        </w:tc>
        <w:tc>
          <w:tcPr>
            <w:tcW w:type="dxa" w:w="3024"/>
          </w:tcPr>
          <w:p>
            <w:r>
              <w:rPr>
                <w:sz w:val="18"/>
              </w:rPr>
              <w:t>Annotation by the group</w:t>
            </w:r>
          </w:p>
        </w:tc>
        <w:tc>
          <w:tcPr>
            <w:tcW w:type="dxa" w:w="2736"/>
          </w:tcPr>
          <w:p>
            <w:r>
              <w:rPr>
                <w:sz w:val="18"/>
              </w:rPr>
              <w:t>None</w:t>
            </w:r>
          </w:p>
        </w:tc>
      </w:tr>
      <w:tr>
        <w:tc>
          <w:tcPr>
            <w:tcW w:type="dxa" w:w="2592"/>
          </w:tcPr>
          <w:p>
            <w:r>
              <w:rPr>
                <w:sz w:val="18"/>
              </w:rPr>
              <w:t>Hardware or equipment</w:t>
            </w:r>
          </w:p>
        </w:tc>
        <w:tc>
          <w:tcPr>
            <w:tcW w:type="dxa" w:w="1872"/>
          </w:tcPr>
          <w:p>
            <w:r>
              <w:rPr>
                <w:sz w:val="18"/>
              </w:rPr>
              <w:t>PHP 0</w:t>
            </w:r>
          </w:p>
        </w:tc>
        <w:tc>
          <w:tcPr>
            <w:tcW w:type="dxa" w:w="3024"/>
          </w:tcPr>
          <w:p>
            <w:r>
              <w:rPr>
                <w:sz w:val="18"/>
              </w:rPr>
              <w:t>Existing laptops</w:t>
            </w:r>
          </w:p>
        </w:tc>
        <w:tc>
          <w:tcPr>
            <w:tcW w:type="dxa" w:w="2736"/>
          </w:tcPr>
          <w:p>
            <w:r>
              <w:rPr>
                <w:sz w:val="18"/>
              </w:rPr>
              <w:t>None</w:t>
            </w:r>
          </w:p>
        </w:tc>
      </w:tr>
      <w:tr>
        <w:tc>
          <w:tcPr>
            <w:tcW w:type="dxa" w:w="2592"/>
          </w:tcPr>
          <w:p>
            <w:r>
              <w:rPr>
                <w:sz w:val="18"/>
              </w:rPr>
              <w:t>Transportation and data collection</w:t>
            </w:r>
          </w:p>
        </w:tc>
        <w:tc>
          <w:tcPr>
            <w:tcW w:type="dxa" w:w="1872"/>
          </w:tcPr>
          <w:p>
            <w:r>
              <w:rPr>
                <w:sz w:val="18"/>
              </w:rPr>
              <w:t>PHP 500 to 1,500</w:t>
            </w:r>
          </w:p>
        </w:tc>
        <w:tc>
          <w:tcPr>
            <w:tcW w:type="dxa" w:w="3024"/>
          </w:tcPr>
          <w:p>
            <w:r>
              <w:rPr>
                <w:sz w:val="18"/>
              </w:rPr>
              <w:t>Meetings at TransCo in Quezon City</w:t>
            </w:r>
          </w:p>
        </w:tc>
        <w:tc>
          <w:tcPr>
            <w:tcW w:type="dxa" w:w="2736"/>
          </w:tcPr>
          <w:p>
            <w:r>
              <w:rPr>
                <w:sz w:val="18"/>
              </w:rPr>
              <w:t>Online meetings</w:t>
            </w:r>
          </w:p>
        </w:tc>
      </w:tr>
      <w:tr>
        <w:tc>
          <w:tcPr>
            <w:tcW w:type="dxa" w:w="2592"/>
          </w:tcPr>
          <w:p>
            <w:r>
              <w:rPr>
                <w:sz w:val="18"/>
              </w:rPr>
              <w:t>Testing and deployment</w:t>
            </w:r>
          </w:p>
        </w:tc>
        <w:tc>
          <w:tcPr>
            <w:tcW w:type="dxa" w:w="1872"/>
          </w:tcPr>
          <w:p>
            <w:r>
              <w:rPr>
                <w:sz w:val="18"/>
              </w:rPr>
              <w:t>PHP 500</w:t>
            </w:r>
          </w:p>
        </w:tc>
        <w:tc>
          <w:tcPr>
            <w:tcW w:type="dxa" w:w="3024"/>
          </w:tcPr>
          <w:p>
            <w:r>
              <w:rPr>
                <w:sz w:val="18"/>
              </w:rPr>
              <w:t>Optional evaluation session</w:t>
            </w:r>
          </w:p>
        </w:tc>
        <w:tc>
          <w:tcPr>
            <w:tcW w:type="dxa" w:w="2736"/>
          </w:tcPr>
          <w:p>
            <w:r>
              <w:rPr>
                <w:sz w:val="18"/>
              </w:rPr>
              <w:t>Remote session</w:t>
            </w:r>
          </w:p>
        </w:tc>
      </w:tr>
      <w:tr>
        <w:tc>
          <w:tcPr>
            <w:tcW w:type="dxa" w:w="2592"/>
          </w:tcPr>
          <w:p>
            <w:r>
              <w:rPr>
                <w:sz w:val="18"/>
              </w:rPr>
              <w:t>Contingency expenses</w:t>
            </w:r>
          </w:p>
        </w:tc>
        <w:tc>
          <w:tcPr>
            <w:tcW w:type="dxa" w:w="1872"/>
          </w:tcPr>
          <w:p>
            <w:r>
              <w:rPr>
                <w:sz w:val="18"/>
              </w:rPr>
              <w:t>PHP 1,000</w:t>
            </w:r>
          </w:p>
        </w:tc>
        <w:tc>
          <w:tcPr>
            <w:tcW w:type="dxa" w:w="3024"/>
          </w:tcPr>
          <w:p>
            <w:r>
              <w:rPr>
                <w:sz w:val="18"/>
              </w:rPr>
              <w:t>Unexpected costs</w:t>
            </w:r>
          </w:p>
        </w:tc>
        <w:tc>
          <w:tcPr>
            <w:tcW w:type="dxa" w:w="2736"/>
          </w:tcPr>
          <w:p>
            <w:r>
              <w:rPr>
                <w:sz w:val="18"/>
              </w:rPr>
              <w:t>Reduce travel</w:t>
            </w:r>
          </w:p>
        </w:tc>
      </w:tr>
      <w:tr>
        <w:tc>
          <w:tcPr>
            <w:tcW w:type="dxa" w:w="2592"/>
          </w:tcPr>
          <w:p>
            <w:r>
              <w:rPr>
                <w:sz w:val="18"/>
              </w:rPr>
              <w:t>Total estimated cost</w:t>
            </w:r>
          </w:p>
        </w:tc>
        <w:tc>
          <w:tcPr>
            <w:tcW w:type="dxa" w:w="1872"/>
          </w:tcPr>
          <w:p>
            <w:r>
              <w:rPr>
                <w:sz w:val="18"/>
              </w:rPr>
              <w:t>PHP 2,000 to 3,000</w:t>
            </w:r>
          </w:p>
        </w:tc>
        <w:tc>
          <w:tcPr>
            <w:tcW w:type="dxa" w:w="3024"/>
          </w:tcPr>
          <w:p>
            <w:r>
              <w:rPr>
                <w:sz w:val="18"/>
              </w:rPr>
              <w:t>Working budget range</w:t>
            </w:r>
          </w:p>
        </w:tc>
        <w:tc>
          <w:tcPr>
            <w:tcW w:type="dxa" w:w="2736"/>
          </w:tcPr>
          <w:p>
            <w:r>
              <w:rPr>
                <w:sz w:val="18"/>
              </w:rPr>
              <w:t>Lower bound with online meetings</w:t>
            </w:r>
          </w:p>
        </w:tc>
      </w:tr>
    </w:tbl>
    <w:p>
      <w:pPr>
        <w:spacing w:after="40"/>
      </w:pPr>
    </w:p>
    <w:p>
      <w:pPr>
        <w:spacing w:after="120"/>
        <w:jc w:val="both"/>
      </w:pPr>
      <w:r>
        <w:t>Economic finding. Very low cost; nothing is purchased.</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8. Schedule Feasibility</w:t>
            </w:r>
          </w:p>
        </w:tc>
      </w:tr>
    </w:tbl>
    <w:p>
      <w:pPr>
        <w:spacing w:after="40"/>
      </w:pPr>
    </w:p>
    <w:tbl>
      <w:tblPr>
        <w:tblStyle w:val="TableGrid"/>
        <w:tblW w:type="auto" w:w="0"/>
        <w:jc w:val="center"/>
        <w:tblLook w:firstColumn="1" w:firstRow="1" w:lastColumn="0" w:lastRow="0" w:noHBand="0" w:noVBand="1" w:val="04A0"/>
      </w:tblPr>
      <w:tblGrid>
        <w:gridCol w:w="3408"/>
        <w:gridCol w:w="3408"/>
        <w:gridCol w:w="3408"/>
      </w:tblGrid>
      <w:tr>
        <w:tc>
          <w:tcPr>
            <w:tcW w:type="dxa" w:w="3312"/>
            <w:shd w:val="clear" w:color="auto" w:fill="EDEDED"/>
          </w:tcPr>
          <w:p>
            <w:r>
              <w:rPr>
                <w:b/>
                <w:sz w:val="18"/>
              </w:rPr>
              <w:t>Activity</w:t>
            </w:r>
          </w:p>
        </w:tc>
        <w:tc>
          <w:tcPr>
            <w:tcW w:type="dxa" w:w="2160"/>
            <w:shd w:val="clear" w:color="auto" w:fill="EDEDED"/>
          </w:tcPr>
          <w:p>
            <w:r>
              <w:rPr>
                <w:b/>
                <w:sz w:val="18"/>
              </w:rPr>
              <w:t>Estimated Duration</w:t>
            </w:r>
          </w:p>
        </w:tc>
        <w:tc>
          <w:tcPr>
            <w:tcW w:type="dxa" w:w="4752"/>
            <w:shd w:val="clear" w:color="auto" w:fill="EDEDED"/>
          </w:tcPr>
          <w:p>
            <w:r>
              <w:rPr>
                <w:b/>
                <w:sz w:val="18"/>
              </w:rPr>
              <w:t>Dependency or Control</w:t>
            </w:r>
          </w:p>
        </w:tc>
      </w:tr>
      <w:tr>
        <w:tc>
          <w:tcPr>
            <w:tcW w:type="dxa" w:w="3312"/>
          </w:tcPr>
          <w:p>
            <w:r>
              <w:rPr>
                <w:sz w:val="18"/>
              </w:rPr>
              <w:t>Requirements gathering</w:t>
            </w:r>
          </w:p>
        </w:tc>
        <w:tc>
          <w:tcPr>
            <w:tcW w:type="dxa" w:w="2160"/>
          </w:tcPr>
          <w:p>
            <w:r>
              <w:rPr>
                <w:sz w:val="18"/>
              </w:rPr>
              <w:t>Weeks 1 to 2</w:t>
            </w:r>
          </w:p>
        </w:tc>
        <w:tc>
          <w:tcPr>
            <w:tcW w:type="dxa" w:w="4752"/>
          </w:tcPr>
          <w:p>
            <w:r>
              <w:rPr>
                <w:sz w:val="18"/>
              </w:rPr>
              <w:t>Entity schema; TransCo's redaction categories if shared</w:t>
            </w:r>
          </w:p>
        </w:tc>
      </w:tr>
      <w:tr>
        <w:tc>
          <w:tcPr>
            <w:tcW w:type="dxa" w:w="3312"/>
          </w:tcPr>
          <w:p>
            <w:r>
              <w:rPr>
                <w:sz w:val="18"/>
              </w:rPr>
              <w:t>Literature and related-study review</w:t>
            </w:r>
          </w:p>
        </w:tc>
        <w:tc>
          <w:tcPr>
            <w:tcW w:type="dxa" w:w="2160"/>
          </w:tcPr>
          <w:p>
            <w:r>
              <w:rPr>
                <w:sz w:val="18"/>
              </w:rPr>
              <w:t>Weeks 1 to 4</w:t>
            </w:r>
          </w:p>
        </w:tc>
        <w:tc>
          <w:tcPr>
            <w:tcW w:type="dxa" w:w="4752"/>
          </w:tcPr>
          <w:p>
            <w:r>
              <w:rPr>
                <w:sz w:val="18"/>
              </w:rPr>
              <w:t>Continues through design</w:t>
            </w:r>
          </w:p>
        </w:tc>
      </w:tr>
      <w:tr>
        <w:tc>
          <w:tcPr>
            <w:tcW w:type="dxa" w:w="3312"/>
          </w:tcPr>
          <w:p>
            <w:r>
              <w:rPr>
                <w:sz w:val="18"/>
              </w:rPr>
              <w:t>Corpus construction and annotation</w:t>
            </w:r>
          </w:p>
        </w:tc>
        <w:tc>
          <w:tcPr>
            <w:tcW w:type="dxa" w:w="2160"/>
          </w:tcPr>
          <w:p>
            <w:r>
              <w:rPr>
                <w:sz w:val="18"/>
              </w:rPr>
              <w:t>Weeks 2 to 6</w:t>
            </w:r>
          </w:p>
        </w:tc>
        <w:tc>
          <w:tcPr>
            <w:tcW w:type="dxa" w:w="4752"/>
          </w:tcPr>
          <w:p>
            <w:r>
              <w:rPr>
                <w:sz w:val="18"/>
              </w:rPr>
              <w:t>In the group's control</w:t>
            </w:r>
          </w:p>
        </w:tc>
      </w:tr>
      <w:tr>
        <w:tc>
          <w:tcPr>
            <w:tcW w:type="dxa" w:w="3312"/>
          </w:tcPr>
          <w:p>
            <w:r>
              <w:rPr>
                <w:sz w:val="18"/>
              </w:rPr>
              <w:t>System design</w:t>
            </w:r>
          </w:p>
        </w:tc>
        <w:tc>
          <w:tcPr>
            <w:tcW w:type="dxa" w:w="2160"/>
          </w:tcPr>
          <w:p>
            <w:r>
              <w:rPr>
                <w:sz w:val="18"/>
              </w:rPr>
              <w:t>Weeks 3 to 5</w:t>
            </w:r>
          </w:p>
        </w:tc>
        <w:tc>
          <w:tcPr>
            <w:tcW w:type="dxa" w:w="4752"/>
          </w:tcPr>
          <w:p>
            <w:r>
              <w:rPr>
                <w:sz w:val="18"/>
              </w:rPr>
              <w:t>Pipeline and review interface</w:t>
            </w:r>
          </w:p>
        </w:tc>
      </w:tr>
      <w:tr>
        <w:tc>
          <w:tcPr>
            <w:tcW w:type="dxa" w:w="3312"/>
          </w:tcPr>
          <w:p>
            <w:r>
              <w:rPr>
                <w:sz w:val="18"/>
              </w:rPr>
              <w:t>Model development</w:t>
            </w:r>
          </w:p>
        </w:tc>
        <w:tc>
          <w:tcPr>
            <w:tcW w:type="dxa" w:w="2160"/>
          </w:tcPr>
          <w:p>
            <w:r>
              <w:rPr>
                <w:sz w:val="18"/>
              </w:rPr>
              <w:t>Weeks 5 to 10</w:t>
            </w:r>
          </w:p>
        </w:tc>
        <w:tc>
          <w:tcPr>
            <w:tcW w:type="dxa" w:w="4752"/>
          </w:tcPr>
          <w:p>
            <w:r>
              <w:rPr>
                <w:sz w:val="18"/>
              </w:rPr>
              <w:t>Rules, CRFs, neural baseline</w:t>
            </w:r>
          </w:p>
        </w:tc>
      </w:tr>
      <w:tr>
        <w:tc>
          <w:tcPr>
            <w:tcW w:type="dxa" w:w="3312"/>
          </w:tcPr>
          <w:p>
            <w:r>
              <w:rPr>
                <w:sz w:val="18"/>
              </w:rPr>
              <w:t>System implementation</w:t>
            </w:r>
          </w:p>
        </w:tc>
        <w:tc>
          <w:tcPr>
            <w:tcW w:type="dxa" w:w="2160"/>
          </w:tcPr>
          <w:p>
            <w:r>
              <w:rPr>
                <w:sz w:val="18"/>
              </w:rPr>
              <w:t>Weeks 7 to 12</w:t>
            </w:r>
          </w:p>
        </w:tc>
        <w:tc>
          <w:tcPr>
            <w:tcW w:type="dxa" w:w="4752"/>
          </w:tcPr>
          <w:p>
            <w:r>
              <w:rPr>
                <w:sz w:val="18"/>
              </w:rPr>
              <w:t>Redaction and audit trail</w:t>
            </w:r>
          </w:p>
        </w:tc>
      </w:tr>
      <w:tr>
        <w:tc>
          <w:tcPr>
            <w:tcW w:type="dxa" w:w="3312"/>
          </w:tcPr>
          <w:p>
            <w:r>
              <w:rPr>
                <w:sz w:val="18"/>
              </w:rPr>
              <w:t>Evaluation</w:t>
            </w:r>
          </w:p>
        </w:tc>
        <w:tc>
          <w:tcPr>
            <w:tcW w:type="dxa" w:w="2160"/>
          </w:tcPr>
          <w:p>
            <w:r>
              <w:rPr>
                <w:sz w:val="18"/>
              </w:rPr>
              <w:t>Weeks 10 to 13</w:t>
            </w:r>
          </w:p>
        </w:tc>
        <w:tc>
          <w:tcPr>
            <w:tcW w:type="dxa" w:w="4752"/>
          </w:tcPr>
          <w:p>
            <w:r>
              <w:rPr>
                <w:sz w:val="18"/>
              </w:rPr>
              <w:t>Strict and relaxed F1; transfer test</w:t>
            </w:r>
          </w:p>
        </w:tc>
      </w:tr>
      <w:tr>
        <w:tc>
          <w:tcPr>
            <w:tcW w:type="dxa" w:w="3312"/>
          </w:tcPr>
          <w:p>
            <w:r>
              <w:rPr>
                <w:sz w:val="18"/>
              </w:rPr>
              <w:t>Optional TransCo evaluation</w:t>
            </w:r>
          </w:p>
        </w:tc>
        <w:tc>
          <w:tcPr>
            <w:tcW w:type="dxa" w:w="2160"/>
          </w:tcPr>
          <w:p>
            <w:r>
              <w:rPr>
                <w:sz w:val="18"/>
              </w:rPr>
              <w:t>Weeks 12 to 14</w:t>
            </w:r>
          </w:p>
        </w:tc>
        <w:tc>
          <w:tcPr>
            <w:tcW w:type="dxa" w:w="4752"/>
          </w:tcPr>
          <w:p>
            <w:r>
              <w:rPr>
                <w:sz w:val="18"/>
              </w:rPr>
              <w:t>Only if agreed; runs on TransCo computers</w:t>
            </w:r>
          </w:p>
        </w:tc>
      </w:tr>
      <w:tr>
        <w:tc>
          <w:tcPr>
            <w:tcW w:type="dxa" w:w="3312"/>
          </w:tcPr>
          <w:p>
            <w:r>
              <w:rPr>
                <w:sz w:val="18"/>
              </w:rPr>
              <w:t>Revision and improvement</w:t>
            </w:r>
          </w:p>
        </w:tc>
        <w:tc>
          <w:tcPr>
            <w:tcW w:type="dxa" w:w="2160"/>
          </w:tcPr>
          <w:p>
            <w:r>
              <w:rPr>
                <w:sz w:val="18"/>
              </w:rPr>
              <w:t>Weeks 14 to 16</w:t>
            </w:r>
          </w:p>
        </w:tc>
        <w:tc>
          <w:tcPr>
            <w:tcW w:type="dxa" w:w="4752"/>
          </w:tcPr>
          <w:p>
            <w:r>
              <w:rPr>
                <w:sz w:val="18"/>
              </w:rPr>
              <w:t>Error analysis by entity type</w:t>
            </w:r>
          </w:p>
        </w:tc>
      </w:tr>
      <w:tr>
        <w:tc>
          <w:tcPr>
            <w:tcW w:type="dxa" w:w="3312"/>
          </w:tcPr>
          <w:p>
            <w:r>
              <w:rPr>
                <w:sz w:val="18"/>
              </w:rPr>
              <w:t>Documentation</w:t>
            </w:r>
          </w:p>
        </w:tc>
        <w:tc>
          <w:tcPr>
            <w:tcW w:type="dxa" w:w="2160"/>
          </w:tcPr>
          <w:p>
            <w:r>
              <w:rPr>
                <w:sz w:val="18"/>
              </w:rPr>
              <w:t>Weeks 4 to 17</w:t>
            </w:r>
          </w:p>
        </w:tc>
        <w:tc>
          <w:tcPr>
            <w:tcW w:type="dxa" w:w="4752"/>
          </w:tcPr>
          <w:p>
            <w:r>
              <w:rPr>
                <w:sz w:val="18"/>
              </w:rPr>
              <w:t>Maintained throughout</w:t>
            </w:r>
          </w:p>
        </w:tc>
      </w:tr>
      <w:tr>
        <w:tc>
          <w:tcPr>
            <w:tcW w:type="dxa" w:w="3312"/>
          </w:tcPr>
          <w:p>
            <w:r>
              <w:rPr>
                <w:sz w:val="18"/>
              </w:rPr>
              <w:t>Deployment and final presentation</w:t>
            </w:r>
          </w:p>
        </w:tc>
        <w:tc>
          <w:tcPr>
            <w:tcW w:type="dxa" w:w="2160"/>
          </w:tcPr>
          <w:p>
            <w:r>
              <w:rPr>
                <w:sz w:val="18"/>
              </w:rPr>
              <w:t>Weeks 17 to 18</w:t>
            </w:r>
          </w:p>
        </w:tc>
        <w:tc>
          <w:tcPr>
            <w:tcW w:type="dxa" w:w="4752"/>
          </w:tcPr>
          <w:p>
            <w:r>
              <w:rPr>
                <w:sz w:val="18"/>
              </w:rPr>
              <w:t>Handover of the tool</w:t>
            </w:r>
          </w:p>
        </w:tc>
      </w:tr>
    </w:tbl>
    <w:p>
      <w:pPr>
        <w:spacing w:after="40"/>
      </w:pPr>
    </w:p>
    <w:p>
      <w:pPr>
        <w:spacing w:after="120"/>
        <w:jc w:val="both"/>
      </w:pPr>
      <w:r>
        <w:t>Activities that may cause delays. Annotation effort and the synthetic-record ruling. Managed by asking Ma'am early and by starting annotation in Week 2.</w:t>
      </w:r>
    </w:p>
    <w:p>
      <w:pPr>
        <w:spacing w:after="120"/>
        <w:jc w:val="both"/>
      </w:pPr>
      <w:r>
        <w:t>Schedule finding. The most comfortable schedule of the six, because nothing on the critical path waits on an outside party.</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9. Legal and Ethical Feasibility</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2880"/>
            <w:shd w:val="clear" w:color="auto" w:fill="EDEDED"/>
          </w:tcPr>
          <w:p>
            <w:r>
              <w:rPr>
                <w:b/>
                <w:sz w:val="18"/>
              </w:rPr>
              <w:t>Requirement</w:t>
            </w:r>
          </w:p>
        </w:tc>
        <w:tc>
          <w:tcPr>
            <w:tcW w:type="dxa" w:w="7344"/>
            <w:shd w:val="clear" w:color="auto" w:fill="EDEDED"/>
          </w:tcPr>
          <w:p>
            <w:r>
              <w:rPr>
                <w:b/>
                <w:sz w:val="18"/>
              </w:rPr>
              <w:t>Planned Control</w:t>
            </w:r>
          </w:p>
        </w:tc>
      </w:tr>
      <w:tr>
        <w:tc>
          <w:tcPr>
            <w:tcW w:type="dxa" w:w="2880"/>
          </w:tcPr>
          <w:p>
            <w:r>
              <w:rPr>
                <w:sz w:val="18"/>
              </w:rPr>
              <w:t>Data Privacy Act compliance</w:t>
            </w:r>
          </w:p>
        </w:tc>
        <w:tc>
          <w:tcPr>
            <w:tcW w:type="dxa" w:w="7344"/>
          </w:tcPr>
          <w:p>
            <w:r>
              <w:rPr>
                <w:sz w:val="18"/>
              </w:rPr>
              <w:t>The group never receives unredacted documents, landowner or claimant records, employee information, or case files.</w:t>
            </w:r>
          </w:p>
        </w:tc>
      </w:tr>
      <w:tr>
        <w:tc>
          <w:tcPr>
            <w:tcW w:type="dxa" w:w="2880"/>
          </w:tcPr>
          <w:p>
            <w:r>
              <w:rPr>
                <w:sz w:val="18"/>
              </w:rPr>
              <w:t>Informed consent</w:t>
            </w:r>
          </w:p>
        </w:tc>
        <w:tc>
          <w:tcPr>
            <w:tcW w:type="dxa" w:w="7344"/>
          </w:tcPr>
          <w:p>
            <w:r>
              <w:rPr>
                <w:sz w:val="18"/>
              </w:rPr>
              <w:t>Not needed for synthetic data; obtained for any staff session.</w:t>
            </w:r>
          </w:p>
        </w:tc>
      </w:tr>
      <w:tr>
        <w:tc>
          <w:tcPr>
            <w:tcW w:type="dxa" w:w="2880"/>
          </w:tcPr>
          <w:p>
            <w:r>
              <w:rPr>
                <w:sz w:val="18"/>
              </w:rPr>
              <w:t>Research ethics approval</w:t>
            </w:r>
          </w:p>
        </w:tc>
        <w:tc>
          <w:tcPr>
            <w:tcW w:type="dxa" w:w="7344"/>
          </w:tcPr>
          <w:p>
            <w:r>
              <w:rPr>
                <w:sz w:val="18"/>
              </w:rPr>
              <w:t>Exempt classification targeted, because no live personal data is received.</w:t>
            </w:r>
          </w:p>
        </w:tc>
      </w:tr>
      <w:tr>
        <w:tc>
          <w:tcPr>
            <w:tcW w:type="dxa" w:w="2880"/>
          </w:tcPr>
          <w:p>
            <w:r>
              <w:rPr>
                <w:sz w:val="18"/>
              </w:rPr>
              <w:t>Confidentiality and anonymisation</w:t>
            </w:r>
          </w:p>
        </w:tc>
        <w:tc>
          <w:tcPr>
            <w:tcW w:type="dxa" w:w="7344"/>
          </w:tcPr>
          <w:p>
            <w:r>
              <w:rPr>
                <w:sz w:val="18"/>
              </w:rPr>
              <w:t>Synthetic documents contain invented identifiers only.</w:t>
            </w:r>
          </w:p>
        </w:tc>
      </w:tr>
      <w:tr>
        <w:tc>
          <w:tcPr>
            <w:tcW w:type="dxa" w:w="2880"/>
          </w:tcPr>
          <w:p>
            <w:r>
              <w:rPr>
                <w:sz w:val="18"/>
              </w:rPr>
              <w:t>Intellectual property and copyright</w:t>
            </w:r>
          </w:p>
        </w:tc>
        <w:tc>
          <w:tcPr>
            <w:tcW w:type="dxa" w:w="7344"/>
          </w:tcPr>
          <w:p>
            <w:r>
              <w:rPr>
                <w:sz w:val="18"/>
              </w:rPr>
              <w:t>The tool is handed to TransCo at no cost; the group keeps the right to publish the method and aggregate findings.</w:t>
            </w:r>
          </w:p>
        </w:tc>
      </w:tr>
      <w:tr>
        <w:tc>
          <w:tcPr>
            <w:tcW w:type="dxa" w:w="2880"/>
          </w:tcPr>
          <w:p>
            <w:r>
              <w:rPr>
                <w:sz w:val="18"/>
              </w:rPr>
              <w:t>Data ownership and sharing restrictions</w:t>
            </w:r>
          </w:p>
        </w:tc>
        <w:tc>
          <w:tcPr>
            <w:tcW w:type="dxa" w:w="7344"/>
          </w:tcPr>
          <w:p>
            <w:r>
              <w:rPr>
                <w:sz w:val="18"/>
              </w:rPr>
              <w:t>Any optional evaluation is in writing: no record, text, or example leaves TransCo systems.</w:t>
            </w:r>
          </w:p>
        </w:tc>
      </w:tr>
      <w:tr>
        <w:tc>
          <w:tcPr>
            <w:tcW w:type="dxa" w:w="2880"/>
          </w:tcPr>
          <w:p>
            <w:r>
              <w:rPr>
                <w:sz w:val="18"/>
              </w:rPr>
              <w:t>Cybersecurity</w:t>
            </w:r>
          </w:p>
        </w:tc>
        <w:tc>
          <w:tcPr>
            <w:tcW w:type="dxa" w:w="7344"/>
          </w:tcPr>
          <w:p>
            <w:r>
              <w:rPr>
                <w:sz w:val="18"/>
              </w:rPr>
              <w:t>Local processing; audit log.</w:t>
            </w:r>
          </w:p>
        </w:tc>
      </w:tr>
      <w:tr>
        <w:tc>
          <w:tcPr>
            <w:tcW w:type="dxa" w:w="2880"/>
          </w:tcPr>
          <w:p>
            <w:r>
              <w:rPr>
                <w:sz w:val="18"/>
              </w:rPr>
              <w:t>AI fairness, transparency, accountability, bias</w:t>
            </w:r>
          </w:p>
        </w:tc>
        <w:tc>
          <w:tcPr>
            <w:tcW w:type="dxa" w:w="7344"/>
          </w:tcPr>
          <w:p>
            <w:r>
              <w:rPr>
                <w:sz w:val="18"/>
              </w:rPr>
              <w:t>Error reported by entity type; missed identifiers analysed, not averaged away.</w:t>
            </w:r>
          </w:p>
        </w:tc>
      </w:tr>
      <w:tr>
        <w:tc>
          <w:tcPr>
            <w:tcW w:type="dxa" w:w="2880"/>
          </w:tcPr>
          <w:p>
            <w:r>
              <w:rPr>
                <w:sz w:val="18"/>
              </w:rPr>
              <w:t>Possible misuse or harm</w:t>
            </w:r>
          </w:p>
        </w:tc>
        <w:tc>
          <w:tcPr>
            <w:tcW w:type="dxa" w:w="7344"/>
          </w:tcPr>
          <w:p>
            <w:r>
              <w:rPr>
                <w:sz w:val="18"/>
              </w:rPr>
              <w:t>Over-trust in automatic redaction. Every redaction remains a staff decision, and recall is reported plainly.</w:t>
            </w:r>
          </w:p>
        </w:tc>
      </w:tr>
    </w:tbl>
    <w:p>
      <w:pPr>
        <w:spacing w:after="40"/>
      </w:pPr>
    </w:p>
    <w:p>
      <w:pPr>
        <w:spacing w:after="120"/>
        <w:jc w:val="both"/>
      </w:pPr>
      <w:r>
        <w:t>Legal and ethical finding. The lowest-risk design of the six on privacy, because no personal data is received at any point.</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10. Risk Assessment and Feasibility Conclusion</w:t>
            </w:r>
          </w:p>
        </w:tc>
      </w:tr>
    </w:tbl>
    <w:p>
      <w:pPr>
        <w:spacing w:after="40"/>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168"/>
            <w:shd w:val="clear" w:color="auto" w:fill="EDEDED"/>
          </w:tcPr>
          <w:p>
            <w:r>
              <w:rPr>
                <w:b/>
                <w:sz w:val="18"/>
              </w:rPr>
              <w:t>Identified Risk</w:t>
            </w:r>
          </w:p>
        </w:tc>
        <w:tc>
          <w:tcPr>
            <w:tcW w:type="dxa" w:w="1296"/>
            <w:shd w:val="clear" w:color="auto" w:fill="EDEDED"/>
          </w:tcPr>
          <w:p>
            <w:r>
              <w:rPr>
                <w:b/>
                <w:sz w:val="18"/>
              </w:rPr>
              <w:t>Likelihood</w:t>
            </w:r>
          </w:p>
        </w:tc>
        <w:tc>
          <w:tcPr>
            <w:tcW w:type="dxa" w:w="1152"/>
            <w:shd w:val="clear" w:color="auto" w:fill="EDEDED"/>
          </w:tcPr>
          <w:p>
            <w:r>
              <w:rPr>
                <w:b/>
                <w:sz w:val="18"/>
              </w:rPr>
              <w:t>Impact</w:t>
            </w:r>
          </w:p>
        </w:tc>
        <w:tc>
          <w:tcPr>
            <w:tcW w:type="dxa" w:w="4608"/>
            <w:shd w:val="clear" w:color="auto" w:fill="EDEDED"/>
          </w:tcPr>
          <w:p>
            <w:r>
              <w:rPr>
                <w:b/>
                <w:sz w:val="18"/>
              </w:rPr>
              <w:t>Mitigation Strategy</w:t>
            </w:r>
          </w:p>
        </w:tc>
      </w:tr>
      <w:tr>
        <w:tc>
          <w:tcPr>
            <w:tcW w:type="dxa" w:w="3168"/>
          </w:tcPr>
          <w:p>
            <w:r>
              <w:rPr>
                <w:sz w:val="18"/>
              </w:rPr>
              <w:t>Synthetic records do not count toward the floor</w:t>
            </w:r>
          </w:p>
        </w:tc>
        <w:tc>
          <w:tcPr>
            <w:tcW w:type="dxa" w:w="1296"/>
          </w:tcPr>
          <w:p>
            <w:r>
              <w:rPr>
                <w:sz w:val="18"/>
              </w:rPr>
              <w:t>Medium</w:t>
            </w:r>
          </w:p>
        </w:tc>
        <w:tc>
          <w:tcPr>
            <w:tcW w:type="dxa" w:w="1152"/>
          </w:tcPr>
          <w:p>
            <w:r>
              <w:rPr>
                <w:sz w:val="18"/>
              </w:rPr>
              <w:t>High</w:t>
            </w:r>
          </w:p>
        </w:tc>
        <w:tc>
          <w:tcPr>
            <w:tcW w:type="dxa" w:w="4608"/>
          </w:tcPr>
          <w:p>
            <w:r>
              <w:rPr>
                <w:sz w:val="18"/>
              </w:rPr>
              <w:t>Public corpora carry the volume; ask Ma'am early</w:t>
            </w:r>
          </w:p>
        </w:tc>
      </w:tr>
      <w:tr>
        <w:tc>
          <w:tcPr>
            <w:tcW w:type="dxa" w:w="3168"/>
          </w:tcPr>
          <w:p>
            <w:r>
              <w:rPr>
                <w:sz w:val="18"/>
              </w:rPr>
              <w:t>Synthetic text does not resemble real documents</w:t>
            </w:r>
          </w:p>
        </w:tc>
        <w:tc>
          <w:tcPr>
            <w:tcW w:type="dxa" w:w="1296"/>
          </w:tcPr>
          <w:p>
            <w:r>
              <w:rPr>
                <w:sz w:val="18"/>
              </w:rPr>
              <w:t>Medium</w:t>
            </w:r>
          </w:p>
        </w:tc>
        <w:tc>
          <w:tcPr>
            <w:tcW w:type="dxa" w:w="1152"/>
          </w:tcPr>
          <w:p>
            <w:r>
              <w:rPr>
                <w:sz w:val="18"/>
              </w:rPr>
              <w:t>Medium</w:t>
            </w:r>
          </w:p>
        </w:tc>
        <w:tc>
          <w:tcPr>
            <w:tcW w:type="dxa" w:w="4608"/>
          </w:tcPr>
          <w:p>
            <w:r>
              <w:rPr>
                <w:sz w:val="18"/>
              </w:rPr>
              <w:t>Use TransCo's document descriptions and released redacted samples for format</w:t>
            </w:r>
          </w:p>
        </w:tc>
      </w:tr>
      <w:tr>
        <w:tc>
          <w:tcPr>
            <w:tcW w:type="dxa" w:w="3168"/>
          </w:tcPr>
          <w:p>
            <w:r>
              <w:rPr>
                <w:sz w:val="18"/>
              </w:rPr>
              <w:t>Model misses too many identifiers</w:t>
            </w:r>
          </w:p>
        </w:tc>
        <w:tc>
          <w:tcPr>
            <w:tcW w:type="dxa" w:w="1296"/>
          </w:tcPr>
          <w:p>
            <w:r>
              <w:rPr>
                <w:sz w:val="18"/>
              </w:rPr>
              <w:t>Medium</w:t>
            </w:r>
          </w:p>
        </w:tc>
        <w:tc>
          <w:tcPr>
            <w:tcW w:type="dxa" w:w="1152"/>
          </w:tcPr>
          <w:p>
            <w:r>
              <w:rPr>
                <w:sz w:val="18"/>
              </w:rPr>
              <w:t>High</w:t>
            </w:r>
          </w:p>
        </w:tc>
        <w:tc>
          <w:tcPr>
            <w:tcW w:type="dxa" w:w="4608"/>
          </w:tcPr>
          <w:p>
            <w:r>
              <w:rPr>
                <w:sz w:val="18"/>
              </w:rPr>
              <w:t>Rule layer for patterned IDs; recall-weighted thresholds; review queue</w:t>
            </w:r>
          </w:p>
        </w:tc>
      </w:tr>
      <w:tr>
        <w:tc>
          <w:tcPr>
            <w:tcW w:type="dxa" w:w="3168"/>
          </w:tcPr>
          <w:p>
            <w:r>
              <w:rPr>
                <w:sz w:val="18"/>
              </w:rPr>
              <w:t>TransCo does not reply</w:t>
            </w:r>
          </w:p>
        </w:tc>
        <w:tc>
          <w:tcPr>
            <w:tcW w:type="dxa" w:w="1296"/>
          </w:tcPr>
          <w:p>
            <w:r>
              <w:rPr>
                <w:sz w:val="18"/>
              </w:rPr>
              <w:t>Medium</w:t>
            </w:r>
          </w:p>
        </w:tc>
        <w:tc>
          <w:tcPr>
            <w:tcW w:type="dxa" w:w="1152"/>
          </w:tcPr>
          <w:p>
            <w:r>
              <w:rPr>
                <w:sz w:val="18"/>
              </w:rPr>
              <w:t>Low</w:t>
            </w:r>
          </w:p>
        </w:tc>
        <w:tc>
          <w:tcPr>
            <w:tcW w:type="dxa" w:w="4608"/>
          </w:tcPr>
          <w:p>
            <w:r>
              <w:rPr>
                <w:sz w:val="18"/>
              </w:rPr>
              <w:t>The study completes without TransCo; only the optional evaluation is lost</w:t>
            </w:r>
          </w:p>
        </w:tc>
      </w:tr>
      <w:tr>
        <w:tc>
          <w:tcPr>
            <w:tcW w:type="dxa" w:w="3168"/>
          </w:tcPr>
          <w:p>
            <w:r>
              <w:rPr>
                <w:sz w:val="18"/>
              </w:rPr>
              <w:t>Annotation takes longer than planned</w:t>
            </w:r>
          </w:p>
        </w:tc>
        <w:tc>
          <w:tcPr>
            <w:tcW w:type="dxa" w:w="1296"/>
          </w:tcPr>
          <w:p>
            <w:r>
              <w:rPr>
                <w:sz w:val="18"/>
              </w:rPr>
              <w:t>Medium</w:t>
            </w:r>
          </w:p>
        </w:tc>
        <w:tc>
          <w:tcPr>
            <w:tcW w:type="dxa" w:w="1152"/>
          </w:tcPr>
          <w:p>
            <w:r>
              <w:rPr>
                <w:sz w:val="18"/>
              </w:rPr>
              <w:t>Medium</w:t>
            </w:r>
          </w:p>
        </w:tc>
        <w:tc>
          <w:tcPr>
            <w:tcW w:type="dxa" w:w="4608"/>
          </w:tcPr>
          <w:p>
            <w:r>
              <w:rPr>
                <w:sz w:val="18"/>
              </w:rPr>
              <w:t>Start in Week 2; double-annotate only a sample</w:t>
            </w:r>
          </w:p>
        </w:tc>
      </w:tr>
      <w:tr>
        <w:tc>
          <w:tcPr>
            <w:tcW w:type="dxa" w:w="3168"/>
          </w:tcPr>
          <w:p>
            <w:r>
              <w:rPr>
                <w:sz w:val="18"/>
              </w:rPr>
              <w:t>Project cannot be completed on time</w:t>
            </w:r>
          </w:p>
        </w:tc>
        <w:tc>
          <w:tcPr>
            <w:tcW w:type="dxa" w:w="1296"/>
          </w:tcPr>
          <w:p>
            <w:r>
              <w:rPr>
                <w:sz w:val="18"/>
              </w:rPr>
              <w:t>Low</w:t>
            </w:r>
          </w:p>
        </w:tc>
        <w:tc>
          <w:tcPr>
            <w:tcW w:type="dxa" w:w="1152"/>
          </w:tcPr>
          <w:p>
            <w:r>
              <w:rPr>
                <w:sz w:val="18"/>
              </w:rPr>
              <w:t>High</w:t>
            </w:r>
          </w:p>
        </w:tc>
        <w:tc>
          <w:tcPr>
            <w:tcW w:type="dxa" w:w="4608"/>
          </w:tcPr>
          <w:p>
            <w:r>
              <w:rPr>
                <w:sz w:val="18"/>
              </w:rPr>
              <w:t>Minimum viable detector first</w:t>
            </w:r>
          </w:p>
        </w:tc>
      </w:tr>
    </w:tbl>
    <w:p>
      <w:pPr>
        <w:spacing w:after="40"/>
      </w:pPr>
    </w:p>
    <w:p>
      <w:pPr>
        <w:spacing w:after="120"/>
        <w:jc w:val="both"/>
      </w:pPr>
      <w:r>
        <w:t>Conclusion for this title: FEASIBLE WITH MODIFICATIONS.</w:t>
      </w:r>
    </w:p>
    <w:p>
      <w:pPr>
        <w:spacing w:after="120"/>
        <w:jc w:val="both"/>
      </w:pPr>
      <w:r>
        <w:t>Supporting findings. To conclude, the tools, the data, and the schedule are all in the group's own control, which gives this title the highest feasibility score of the six. However, it depends on Ma'am accepting synthetic records, and without real documents its evidence of real-world usefulness is weaker than a title built on a partner's own data.</w:t>
      </w:r>
    </w:p>
    <w:p>
      <w:pPr>
        <w:keepNext/>
        <w:spacing w:before="160" w:after="80"/>
      </w:pPr>
      <w:r>
        <w:rPr>
          <w:b/>
          <w:sz w:val="22"/>
        </w:rPr>
        <w:t>Provisional Feasibility Score for This Title</w:t>
      </w:r>
    </w:p>
    <w:p>
      <w:pPr>
        <w:spacing w:after="120"/>
        <w:jc w:val="both"/>
      </w:pPr>
      <w:r>
        <w:t>Scores use the activity's 1 to 5 scale, where 5 is highly feasible. The group's ranking across all six titles is carried in the final comparison table.</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val="clear" w:color="auto" w:fill="EDEDED"/>
          </w:tcPr>
          <w:p>
            <w:r>
              <w:rPr>
                <w:b/>
                <w:sz w:val="18"/>
              </w:rPr>
              <w:t>Criterion</w:t>
            </w:r>
          </w:p>
        </w:tc>
        <w:tc>
          <w:tcPr>
            <w:tcW w:type="dxa" w:w="864"/>
            <w:shd w:val="clear" w:color="auto" w:fill="EDEDED"/>
          </w:tcPr>
          <w:p>
            <w:r>
              <w:rPr>
                <w:b/>
                <w:sz w:val="18"/>
              </w:rPr>
              <w:t>Score</w:t>
            </w:r>
          </w:p>
        </w:tc>
        <w:tc>
          <w:tcPr>
            <w:tcW w:type="dxa" w:w="6192"/>
            <w:shd w:val="clear" w:color="auto" w:fill="EDEDED"/>
          </w:tcPr>
          <w:p>
            <w:r>
              <w:rPr>
                <w:b/>
                <w:sz w:val="18"/>
              </w:rPr>
              <w:t>Basis</w:t>
            </w:r>
          </w:p>
        </w:tc>
      </w:tr>
      <w:tr>
        <w:tc>
          <w:tcPr>
            <w:tcW w:type="dxa" w:w="3168"/>
          </w:tcPr>
          <w:p>
            <w:r>
              <w:rPr>
                <w:sz w:val="18"/>
              </w:rPr>
              <w:t>Technical and technology feasibility</w:t>
            </w:r>
          </w:p>
        </w:tc>
        <w:tc>
          <w:tcPr>
            <w:tcW w:type="dxa" w:w="864"/>
          </w:tcPr>
          <w:p>
            <w:r>
              <w:rPr>
                <w:sz w:val="18"/>
              </w:rPr>
              <w:t>4</w:t>
            </w:r>
          </w:p>
        </w:tc>
        <w:tc>
          <w:tcPr>
            <w:tcW w:type="dxa" w:w="6192"/>
          </w:tcPr>
          <w:p>
            <w:r>
              <w:rPr>
                <w:sz w:val="18"/>
              </w:rPr>
              <w:t>Mature CRF libraries; runs without a GPU</w:t>
            </w:r>
          </w:p>
        </w:tc>
      </w:tr>
      <w:tr>
        <w:tc>
          <w:tcPr>
            <w:tcW w:type="dxa" w:w="3168"/>
          </w:tcPr>
          <w:p>
            <w:r>
              <w:rPr>
                <w:sz w:val="18"/>
              </w:rPr>
              <w:t>Dataset and data feasibility</w:t>
            </w:r>
          </w:p>
        </w:tc>
        <w:tc>
          <w:tcPr>
            <w:tcW w:type="dxa" w:w="864"/>
          </w:tcPr>
          <w:p>
            <w:r>
              <w:rPr>
                <w:sz w:val="18"/>
              </w:rPr>
              <w:t>3</w:t>
            </w:r>
          </w:p>
        </w:tc>
        <w:tc>
          <w:tcPr>
            <w:tcW w:type="dxa" w:w="6192"/>
          </w:tcPr>
          <w:p>
            <w:r>
              <w:rPr>
                <w:sz w:val="18"/>
              </w:rPr>
              <w:t>Data in the group's control, but the synthetic-record ruling is pending</w:t>
            </w:r>
          </w:p>
        </w:tc>
      </w:tr>
      <w:tr>
        <w:tc>
          <w:tcPr>
            <w:tcW w:type="dxa" w:w="3168"/>
          </w:tcPr>
          <w:p>
            <w:r>
              <w:rPr>
                <w:sz w:val="18"/>
              </w:rPr>
              <w:t>Algorithm or model feasibility</w:t>
            </w:r>
          </w:p>
        </w:tc>
        <w:tc>
          <w:tcPr>
            <w:tcW w:type="dxa" w:w="864"/>
          </w:tcPr>
          <w:p>
            <w:r>
              <w:rPr>
                <w:sz w:val="18"/>
              </w:rPr>
              <w:t>5</w:t>
            </w:r>
          </w:p>
        </w:tc>
        <w:tc>
          <w:tcPr>
            <w:tcW w:type="dxa" w:w="6192"/>
          </w:tcPr>
          <w:p>
            <w:r>
              <w:rPr>
                <w:sz w:val="18"/>
              </w:rPr>
              <w:t>Published benchmark and a template design</w:t>
            </w:r>
          </w:p>
        </w:tc>
      </w:tr>
      <w:tr>
        <w:tc>
          <w:tcPr>
            <w:tcW w:type="dxa" w:w="3168"/>
          </w:tcPr>
          <w:p>
            <w:r>
              <w:rPr>
                <w:sz w:val="18"/>
              </w:rPr>
              <w:t>Operational feasibility</w:t>
            </w:r>
          </w:p>
        </w:tc>
        <w:tc>
          <w:tcPr>
            <w:tcW w:type="dxa" w:w="864"/>
          </w:tcPr>
          <w:p>
            <w:r>
              <w:rPr>
                <w:sz w:val="18"/>
              </w:rPr>
              <w:t>3</w:t>
            </w:r>
          </w:p>
        </w:tc>
        <w:tc>
          <w:tcPr>
            <w:tcW w:type="dxa" w:w="6192"/>
          </w:tcPr>
          <w:p>
            <w:r>
              <w:rPr>
                <w:sz w:val="18"/>
              </w:rPr>
              <w:t>Partner involvement is optional</w:t>
            </w:r>
          </w:p>
        </w:tc>
      </w:tr>
      <w:tr>
        <w:tc>
          <w:tcPr>
            <w:tcW w:type="dxa" w:w="3168"/>
          </w:tcPr>
          <w:p>
            <w:r>
              <w:rPr>
                <w:sz w:val="18"/>
              </w:rPr>
              <w:t>Economic feasibility</w:t>
            </w:r>
          </w:p>
        </w:tc>
        <w:tc>
          <w:tcPr>
            <w:tcW w:type="dxa" w:w="864"/>
          </w:tcPr>
          <w:p>
            <w:r>
              <w:rPr>
                <w:sz w:val="18"/>
              </w:rPr>
              <w:t>5</w:t>
            </w:r>
          </w:p>
        </w:tc>
        <w:tc>
          <w:tcPr>
            <w:tcW w:type="dxa" w:w="6192"/>
          </w:tcPr>
          <w:p>
            <w:r>
              <w:rPr>
                <w:sz w:val="18"/>
              </w:rPr>
              <w:t>No paid tools</w:t>
            </w:r>
          </w:p>
        </w:tc>
      </w:tr>
      <w:tr>
        <w:tc>
          <w:tcPr>
            <w:tcW w:type="dxa" w:w="3168"/>
          </w:tcPr>
          <w:p>
            <w:r>
              <w:rPr>
                <w:sz w:val="18"/>
              </w:rPr>
              <w:t>Schedule feasibility</w:t>
            </w:r>
          </w:p>
        </w:tc>
        <w:tc>
          <w:tcPr>
            <w:tcW w:type="dxa" w:w="864"/>
          </w:tcPr>
          <w:p>
            <w:r>
              <w:rPr>
                <w:sz w:val="18"/>
              </w:rPr>
              <w:t>4</w:t>
            </w:r>
          </w:p>
        </w:tc>
        <w:tc>
          <w:tcPr>
            <w:tcW w:type="dxa" w:w="6192"/>
          </w:tcPr>
          <w:p>
            <w:r>
              <w:rPr>
                <w:sz w:val="18"/>
              </w:rPr>
              <w:t>Little waiting on outside parties</w:t>
            </w:r>
          </w:p>
        </w:tc>
      </w:tr>
      <w:tr>
        <w:tc>
          <w:tcPr>
            <w:tcW w:type="dxa" w:w="3168"/>
          </w:tcPr>
          <w:p>
            <w:r>
              <w:rPr>
                <w:sz w:val="18"/>
              </w:rPr>
              <w:t>Legal and ethical feasibility</w:t>
            </w:r>
          </w:p>
        </w:tc>
        <w:tc>
          <w:tcPr>
            <w:tcW w:type="dxa" w:w="864"/>
          </w:tcPr>
          <w:p>
            <w:r>
              <w:rPr>
                <w:sz w:val="18"/>
              </w:rPr>
              <w:t>5</w:t>
            </w:r>
          </w:p>
        </w:tc>
        <w:tc>
          <w:tcPr>
            <w:tcW w:type="dxa" w:w="6192"/>
          </w:tcPr>
          <w:p>
            <w:r>
              <w:rPr>
                <w:sz w:val="18"/>
              </w:rPr>
              <w:t>No live personal data received</w:t>
            </w:r>
          </w:p>
        </w:tc>
      </w:tr>
      <w:tr>
        <w:tc>
          <w:tcPr>
            <w:tcW w:type="dxa" w:w="3168"/>
          </w:tcPr>
          <w:p>
            <w:r>
              <w:rPr>
                <w:sz w:val="18"/>
              </w:rPr>
              <w:t>Risk manageability</w:t>
            </w:r>
          </w:p>
        </w:tc>
        <w:tc>
          <w:tcPr>
            <w:tcW w:type="dxa" w:w="864"/>
          </w:tcPr>
          <w:p>
            <w:r>
              <w:rPr>
                <w:sz w:val="18"/>
              </w:rPr>
              <w:t>4</w:t>
            </w:r>
          </w:p>
        </w:tc>
        <w:tc>
          <w:tcPr>
            <w:tcW w:type="dxa" w:w="6192"/>
          </w:tcPr>
          <w:p>
            <w:r>
              <w:rPr>
                <w:sz w:val="18"/>
              </w:rPr>
              <w:t>Main risk is the synthetic-data ruling</w:t>
            </w:r>
          </w:p>
        </w:tc>
      </w:tr>
      <w:tr>
        <w:tc>
          <w:tcPr>
            <w:tcW w:type="dxa" w:w="3168"/>
          </w:tcPr>
          <w:p>
            <w:r>
              <w:rPr>
                <w:b/>
                <w:sz w:val="18"/>
              </w:rPr>
              <w:t>Total score</w:t>
            </w:r>
          </w:p>
        </w:tc>
        <w:tc>
          <w:tcPr>
            <w:tcW w:type="dxa" w:w="864"/>
          </w:tcPr>
          <w:p>
            <w:r>
              <w:rPr>
                <w:b/>
                <w:sz w:val="18"/>
              </w:rPr>
              <w:t>33/40</w:t>
            </w:r>
          </w:p>
        </w:tc>
        <w:tc>
          <w:tcPr>
            <w:tcW w:type="dxa" w:w="6192"/>
          </w:tcPr>
          <w:p/>
        </w:tc>
      </w:tr>
      <w:tr>
        <w:tc>
          <w:tcPr>
            <w:tcW w:type="dxa" w:w="3168"/>
          </w:tcPr>
          <w:p>
            <w:r>
              <w:rPr>
                <w:b/>
                <w:sz w:val="18"/>
              </w:rPr>
              <w:t>Group's ranking</w:t>
            </w:r>
          </w:p>
        </w:tc>
        <w:tc>
          <w:tcPr>
            <w:tcW w:type="dxa" w:w="864"/>
          </w:tcPr>
          <w:p>
            <w:r>
              <w:rPr>
                <w:sz w:val="18"/>
              </w:rPr>
              <w:t>6</w:t>
            </w:r>
          </w:p>
        </w:tc>
        <w:tc>
          <w:tcPr>
            <w:tcW w:type="dxa" w:w="6192"/>
          </w:tcPr>
          <w:p>
            <w:r>
              <w:rPr>
                <w:sz w:val="18"/>
              </w:rPr>
              <w:t>See the final comparison table</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Supporting Review of Related Literature and Studies</w:t>
            </w:r>
          </w:p>
        </w:tc>
      </w:tr>
    </w:tbl>
    <w:p>
      <w:pPr>
        <w:spacing w:after="40"/>
      </w:pPr>
    </w:p>
    <w:p>
      <w:pPr>
        <w:keepNext/>
        <w:spacing w:before="40" w:after="80"/>
      </w:pPr>
      <w:r>
        <w:rPr>
          <w:b/>
          <w:sz w:val="22"/>
        </w:rPr>
        <w:t>Proposal Thesis Title</w:t>
      </w:r>
    </w:p>
    <w:p>
      <w:pPr>
        <w:spacing w:after="120"/>
        <w:jc w:val="both"/>
      </w:pPr>
      <w:r>
        <w:rPr>
          <w:b/>
        </w:rPr>
        <w:t>Personal Data Detection and Redaction for National Transmission Corporation Records Using Conditional Random Fields</w:t>
      </w:r>
    </w:p>
    <w:p>
      <w:pPr>
        <w:keepNext/>
        <w:spacing w:before="160" w:after="80"/>
      </w:pPr>
      <w:r>
        <w:rPr>
          <w:b/>
          <w:sz w:val="22"/>
        </w:rPr>
        <w:t>Review of Related Literature (RRL/s)</w:t>
      </w:r>
    </w:p>
    <w:p>
      <w:pPr>
        <w:spacing w:after="120"/>
        <w:jc w:val="both"/>
      </w:pPr>
      <w:r>
        <w:rPr>
          <w:sz w:val="18"/>
        </w:rPr>
        <w:t>The RRL helps the group understand the chosen area, the problem being addressed, and the concepts or approaches relevant to the proposed solution.</w:t>
      </w:r>
    </w:p>
    <w:p>
      <w:pPr>
        <w:keepNext/>
        <w:spacing w:before="80" w:after="80"/>
      </w:pPr>
      <w:r>
        <w:rPr>
          <w:b/>
          <w:sz w:val="20"/>
        </w:rPr>
        <w:t>Local Literatures:</w:t>
      </w:r>
    </w:p>
    <w:p>
      <w:pPr>
        <w:keepNext/>
        <w:spacing w:before="120" w:after="40"/>
        <w:ind w:left="432" w:hanging="432"/>
      </w:pPr>
      <w:r>
        <w:t>1.</w:t>
        <w:tab/>
      </w:r>
      <w:r>
        <w:rPr>
          <w:b/>
        </w:rPr>
        <w:t>Executive Order No. 2, s. 2016: Operationalizing in the Executive Branch the People's Constitutional Right to Information</w:t>
      </w:r>
    </w:p>
    <w:p>
      <w:pPr>
        <w:spacing w:after="40"/>
        <w:ind w:left="432"/>
        <w:jc w:val="both"/>
      </w:pPr>
      <w:r>
        <w:rPr>
          <w:b/>
        </w:rPr>
        <w:t>Description / Summary (Local Literature).</w:t>
      </w:r>
      <w:r>
        <w:t xml:space="preserve"> The order puts Freedom of Information into effect across the executive branch, including government-owned and controlled corporations. Offices must disclose information on request, subject to listed exceptions that include protecting personal information, and must keep accurate records and a records management system that supports retrieval and release.</w:t>
      </w:r>
    </w:p>
    <w:p>
      <w:pPr>
        <w:spacing w:after="40"/>
        <w:ind w:left="432"/>
        <w:jc w:val="both"/>
      </w:pPr>
      <w:r>
        <w:rPr>
          <w:b/>
        </w:rPr>
        <w:t>Relevance to the proposed study.</w:t>
      </w:r>
      <w:r>
        <w:t xml:space="preserve"> It is the source of TransCo's duty to release documents on request and, at the same time, to withhold the personal information in them. The proposed tool supports exactly that step.</w:t>
      </w:r>
    </w:p>
    <w:p>
      <w:pPr>
        <w:spacing w:after="40"/>
        <w:ind w:left="432"/>
        <w:jc w:val="left"/>
      </w:pPr>
      <w:r>
        <w:t>Source: https://www.officialgazette.gov.ph/2016/07/23/executive-order-no-02-s-2016/</w:t>
      </w:r>
    </w:p>
    <w:p>
      <w:pPr>
        <w:keepNext/>
        <w:spacing w:before="120" w:after="40"/>
        <w:ind w:left="432" w:hanging="432"/>
      </w:pPr>
      <w:r>
        <w:t>2.</w:t>
        <w:tab/>
      </w:r>
      <w:r>
        <w:rPr>
          <w:b/>
        </w:rPr>
        <w:t>Republic Act No. 10173, the Data Privacy Act of 2012</w:t>
      </w:r>
    </w:p>
    <w:p>
      <w:pPr>
        <w:spacing w:after="40"/>
        <w:ind w:left="432"/>
        <w:jc w:val="both"/>
      </w:pPr>
      <w:r>
        <w:rPr>
          <w:b/>
        </w:rPr>
        <w:t>Description / Summary (Local Literature).</w:t>
      </w:r>
      <w:r>
        <w:t xml:space="preserve"> The law protects personal information processed by government and private organisations. It classifies identifiers issued by government agencies, such as social security numbers, as sensitive personal information. Section 20 requires reasonable organisational, physical and technical security measures, and the law keeps an organisation accountable for personal data even when processing is outsourced.</w:t>
      </w:r>
    </w:p>
    <w:p>
      <w:pPr>
        <w:spacing w:after="40"/>
        <w:ind w:left="432"/>
        <w:jc w:val="both"/>
      </w:pPr>
      <w:r>
        <w:rPr>
          <w:b/>
        </w:rPr>
        <w:t>Relevance to the proposed study.</w:t>
      </w:r>
      <w:r>
        <w:t xml:space="preserve"> Personal information in TransCo's FOI responses and right-of-way documents is covered by this law, and some of it, such as tax identification numbers, is sensitive personal information. That is the legal reason redaction must be reliable before release.</w:t>
      </w:r>
    </w:p>
    <w:p>
      <w:pPr>
        <w:spacing w:after="40"/>
        <w:ind w:left="432"/>
        <w:jc w:val="left"/>
      </w:pPr>
      <w:r>
        <w:t>Source: https://lawphil.net/statutes/repacts/ra2012/ra_10173_2012.html</w:t>
      </w:r>
    </w:p>
    <w:p>
      <w:pPr>
        <w:keepNext/>
        <w:spacing w:before="120" w:after="40"/>
        <w:ind w:left="432" w:hanging="432"/>
      </w:pPr>
      <w:r>
        <w:t>3.</w:t>
        <w:tab/>
      </w:r>
      <w:r>
        <w:rPr>
          <w:b/>
        </w:rPr>
        <w:t>NPC Circular No. 16-03, Personal Data Breach Management</w:t>
      </w:r>
    </w:p>
    <w:p>
      <w:pPr>
        <w:spacing w:after="40"/>
        <w:ind w:left="432"/>
        <w:jc w:val="both"/>
      </w:pPr>
      <w:r>
        <w:rPr>
          <w:b/>
        </w:rPr>
        <w:t>Description / Summary (Local Literature).</w:t>
      </w:r>
      <w:r>
        <w:t xml:space="preserve"> This National Privacy Commission circular sets out how organisations must prepare for and respond to personal data breaches. It requires a security incident management policy and a data breach response team, and it requires notifying the Commission within 72 hours of knowing about a breach, with a full report to follow.</w:t>
      </w:r>
    </w:p>
    <w:p>
      <w:pPr>
        <w:spacing w:after="40"/>
        <w:ind w:left="432"/>
        <w:jc w:val="both"/>
      </w:pPr>
      <w:r>
        <w:rPr>
          <w:b/>
        </w:rPr>
        <w:t>Relevance to the proposed study.</w:t>
      </w:r>
      <w:r>
        <w:t xml:space="preserve"> A missed identifier in a released document is a personal data breach. The tool's audit trail supports the documentation this circular expects, and catching identifiers before release prevents the breach in the first place.</w:t>
      </w:r>
    </w:p>
    <w:p>
      <w:pPr>
        <w:spacing w:after="40"/>
        <w:ind w:left="432"/>
        <w:jc w:val="left"/>
      </w:pPr>
      <w:r>
        <w:t>Source: https://privacy.gov.ph/wp-content/uploads/2022/01/sgd-npc-circular-16-03-personal-data-breach-management.pdf</w:t>
      </w:r>
    </w:p>
    <w:p>
      <w:pPr>
        <w:keepNext/>
        <w:spacing w:before="120" w:after="40"/>
        <w:ind w:left="432" w:hanging="432"/>
      </w:pPr>
      <w:r>
        <w:t>4.</w:t>
        <w:tab/>
      </w:r>
      <w:r>
        <w:rPr>
          <w:b/>
        </w:rPr>
        <w:t>calamanCy: A Tagalog Natural Language Processing Toolkit</w:t>
      </w:r>
    </w:p>
    <w:p>
      <w:pPr>
        <w:spacing w:after="40"/>
        <w:ind w:left="432"/>
        <w:jc w:val="both"/>
      </w:pPr>
      <w:r>
        <w:rPr>
          <w:b/>
        </w:rPr>
        <w:t>Description / Summary (Local Literature).</w:t>
      </w:r>
      <w:r>
        <w:t xml:space="preserve"> Miranda (2023) introduced calamanCy, an open-source toolkit for building natural language processing pipelines for Tagalog on top of spaCy. It brings scattered Tagalog resources into one framework and provides ready models for part-of-speech tagging, dependency parsing and named entity recognition.</w:t>
      </w:r>
    </w:p>
    <w:p>
      <w:pPr>
        <w:spacing w:after="40"/>
        <w:ind w:left="432"/>
        <w:jc w:val="both"/>
      </w:pPr>
      <w:r>
        <w:rPr>
          <w:b/>
        </w:rPr>
        <w:t>Relevance to the proposed study.</w:t>
      </w:r>
      <w:r>
        <w:t xml:space="preserve"> Government correspondence in the Philippines can mix English and Filipino. This toolkit gives the study Tagalog-aware tokenisation and entity features to use alongside the Conditional Random Fields.</w:t>
      </w:r>
    </w:p>
    <w:p>
      <w:pPr>
        <w:spacing w:after="40"/>
        <w:ind w:left="432"/>
        <w:jc w:val="left"/>
      </w:pPr>
      <w:r>
        <w:t>Source: https://arxiv.org/abs/2311.07171</w:t>
      </w:r>
    </w:p>
    <w:p>
      <w:pPr>
        <w:spacing w:before="120" w:after="40"/>
        <w:ind w:left="432" w:hanging="432"/>
      </w:pPr>
      <w:r>
        <w:t>5.</w:t>
        <w:tab/>
      </w:r>
      <w:r>
        <w:rPr>
          <w:highlight w:val="yellow"/>
        </w:rPr>
        <w:t>[Open slot: add one local literature here.]</w:t>
      </w:r>
    </w:p>
    <w:p>
      <w:pPr>
        <w:keepNext/>
        <w:spacing w:before="80" w:after="80"/>
      </w:pPr>
      <w:r>
        <w:rPr>
          <w:b/>
          <w:sz w:val="20"/>
        </w:rPr>
        <w:t>Foreign Literatures:</w:t>
      </w:r>
    </w:p>
    <w:p>
      <w:pPr>
        <w:keepNext/>
        <w:spacing w:before="120" w:after="40"/>
        <w:ind w:left="432" w:hanging="432"/>
      </w:pPr>
      <w:r>
        <w:t>6.</w:t>
        <w:tab/>
      </w:r>
      <w:r>
        <w:rPr>
          <w:b/>
        </w:rPr>
        <w:t>Automatic De-identification of Textual Documents in the Electronic Health Record: A Review of Recent Research</w:t>
      </w:r>
    </w:p>
    <w:p>
      <w:pPr>
        <w:spacing w:after="40"/>
        <w:ind w:left="432"/>
        <w:jc w:val="both"/>
      </w:pPr>
      <w:r>
        <w:rPr>
          <w:b/>
        </w:rPr>
        <w:t>Description / Summary (Foreign Literature).</w:t>
      </w:r>
      <w:r>
        <w:t xml:space="preserve"> Meystre et al. (2010) reviewed research since 1995 on automatically removing identifying information from free-text health records. They noted that manual de-identification is costly and slow, and compared the pattern-matching and machine learning approaches researchers have used and how those approaches were evaluated.</w:t>
      </w:r>
    </w:p>
    <w:p>
      <w:pPr>
        <w:spacing w:after="40"/>
        <w:ind w:left="432"/>
        <w:jc w:val="both"/>
      </w:pPr>
      <w:r>
        <w:rPr>
          <w:b/>
        </w:rPr>
        <w:t>Relevance to the proposed study.</w:t>
      </w:r>
      <w:r>
        <w:t xml:space="preserve"> It shows that automatic de-identification of free text is an established field with known methods, which the study transfers from health records to government documents.</w:t>
      </w:r>
    </w:p>
    <w:p>
      <w:pPr>
        <w:spacing w:after="40"/>
        <w:ind w:left="432"/>
        <w:jc w:val="left"/>
      </w:pPr>
      <w:r>
        <w:t>Source: https://doi.org/10.1186/1471-2288-10-70</w:t>
      </w:r>
    </w:p>
    <w:p>
      <w:pPr>
        <w:keepNext/>
        <w:spacing w:before="120" w:after="40"/>
        <w:ind w:left="432" w:hanging="432"/>
      </w:pPr>
      <w:r>
        <w:t>7.</w:t>
        <w:tab/>
      </w:r>
      <w:r>
        <w:rPr>
          <w:b/>
        </w:rPr>
        <w:t>Annotating Longitudinal Clinical Narratives for De-identification: The 2014 i2b2/UTHealth Corpus</w:t>
      </w:r>
    </w:p>
    <w:p>
      <w:pPr>
        <w:spacing w:after="40"/>
        <w:ind w:left="432"/>
        <w:jc w:val="both"/>
      </w:pPr>
      <w:r>
        <w:rPr>
          <w:b/>
        </w:rPr>
        <w:t>Description / Summary (Foreign Literature).</w:t>
      </w:r>
      <w:r>
        <w:t xml:space="preserve"> Stubbs and Uzuner (2015) described how the corpus for the 2014 i2b2/UTHealth de-identification task was built and annotated, including which categories of identifying information were marked and the guidelines the annotators followed.</w:t>
      </w:r>
    </w:p>
    <w:p>
      <w:pPr>
        <w:spacing w:after="40"/>
        <w:ind w:left="432"/>
        <w:jc w:val="both"/>
      </w:pPr>
      <w:r>
        <w:rPr>
          <w:b/>
        </w:rPr>
        <w:t>Relevance to the proposed study.</w:t>
      </w:r>
      <w:r>
        <w:t xml:space="preserve"> It is a model for the annotation schema and guidelines the group will write for its synthetic Philippine-context corpus, and it is the corpus behind the benchmark the system will be compared against.</w:t>
      </w:r>
    </w:p>
    <w:p>
      <w:pPr>
        <w:spacing w:after="40"/>
        <w:ind w:left="432"/>
        <w:jc w:val="left"/>
      </w:pPr>
      <w:r>
        <w:t>Source: https://doi.org/10.1016/j.jbi.2015.07.020</w:t>
      </w:r>
    </w:p>
    <w:p>
      <w:pPr>
        <w:spacing w:before="120" w:after="40"/>
        <w:ind w:left="432" w:hanging="432"/>
      </w:pPr>
      <w:r>
        <w:t>8.</w:t>
        <w:tab/>
      </w:r>
      <w:r>
        <w:rPr>
          <w:highlight w:val="yellow"/>
        </w:rPr>
        <w:t>[Open slot: add one foreign literature here.]</w:t>
      </w:r>
    </w:p>
    <w:p>
      <w:pPr>
        <w:spacing w:before="120" w:after="40"/>
        <w:ind w:left="432" w:hanging="432"/>
      </w:pPr>
      <w:r>
        <w:t>9.</w:t>
        <w:tab/>
      </w:r>
      <w:r>
        <w:rPr>
          <w:highlight w:val="yellow"/>
        </w:rPr>
        <w:t>[Open slot: add one foreign literature here.]</w:t>
      </w:r>
    </w:p>
    <w:p>
      <w:pPr>
        <w:spacing w:before="120" w:after="40"/>
        <w:ind w:left="432" w:hanging="432"/>
      </w:pPr>
      <w:r>
        <w:t>10.</w:t>
        <w:tab/>
      </w:r>
      <w:r>
        <w:rPr>
          <w:highlight w:val="yellow"/>
        </w:rPr>
        <w:t>[Open slot: add one foreign literature here.]</w:t>
      </w:r>
    </w:p>
    <w:p>
      <w:pPr>
        <w:keepNext/>
        <w:spacing w:before="160" w:after="80"/>
      </w:pPr>
      <w:r>
        <w:rPr>
          <w:b/>
          <w:sz w:val="22"/>
        </w:rPr>
        <w:t>Review of Related Studies (RRS/s)</w:t>
      </w:r>
    </w:p>
    <w:p>
      <w:pPr>
        <w:spacing w:after="120"/>
        <w:jc w:val="both"/>
      </w:pPr>
      <w:r>
        <w:rPr>
          <w:sz w:val="18"/>
        </w:rPr>
        <w:t>The RRS focuses on existing research, systems, applications, or projects that address a problem similar to the one the group wants to solve.</w:t>
      </w:r>
    </w:p>
    <w:p>
      <w:pPr>
        <w:keepNext/>
        <w:spacing w:before="80" w:after="80"/>
      </w:pPr>
      <w:r>
        <w:rPr>
          <w:b/>
          <w:sz w:val="20"/>
        </w:rPr>
        <w:t>Local Studies:</w:t>
      </w:r>
    </w:p>
    <w:p>
      <w:pPr>
        <w:keepNext/>
        <w:spacing w:before="120" w:after="40"/>
        <w:ind w:left="432" w:hanging="432"/>
      </w:pPr>
      <w:r>
        <w:t>1.</w:t>
        <w:tab/>
      </w:r>
      <w:r>
        <w:rPr>
          <w:b/>
        </w:rPr>
        <w:t>Developing a Named Entity Recognition Dataset for Tagalog</w:t>
      </w:r>
    </w:p>
    <w:p>
      <w:pPr>
        <w:spacing w:after="40"/>
        <w:ind w:left="432"/>
        <w:jc w:val="both"/>
      </w:pPr>
      <w:r>
        <w:rPr>
          <w:b/>
        </w:rPr>
        <w:t>Description / Summary (Local Study).</w:t>
      </w:r>
      <w:r>
        <w:t xml:space="preserve"> Miranda (2023) built a Tagalog named entity recognition dataset of about 7,800 news documents labelled by native speakers for persons, organisations and locations. Annotator agreement, measured by Cohen's kappa, was 0.81, and the author evaluated current methods under supervised and transfer learning settings.</w:t>
      </w:r>
    </w:p>
    <w:p>
      <w:pPr>
        <w:spacing w:after="40"/>
        <w:ind w:left="432"/>
        <w:jc w:val="both"/>
      </w:pPr>
      <w:r>
        <w:rPr>
          <w:b/>
        </w:rPr>
        <w:t>Relevance to the proposed study.</w:t>
      </w:r>
      <w:r>
        <w:t xml:space="preserve"> It is a Philippine-language resource for recognising names and places in Filipino text. It also shows how to measure labelling agreement, which the group should apply to its own synthetic corpus.</w:t>
      </w:r>
    </w:p>
    <w:p>
      <w:pPr>
        <w:spacing w:after="40"/>
        <w:ind w:left="432"/>
        <w:jc w:val="left"/>
      </w:pPr>
      <w:r>
        <w:t>Source: https://arxiv.org/abs/2311.07161</w:t>
      </w:r>
    </w:p>
    <w:p>
      <w:pPr>
        <w:spacing w:before="120" w:after="40"/>
        <w:ind w:left="432" w:hanging="432"/>
      </w:pPr>
      <w:r>
        <w:t>2.</w:t>
        <w:tab/>
      </w:r>
      <w:r>
        <w:rPr>
          <w:highlight w:val="yellow"/>
        </w:rPr>
        <w:t>[Open slot: add one local study here.]</w:t>
      </w:r>
    </w:p>
    <w:p>
      <w:pPr>
        <w:spacing w:before="120" w:after="40"/>
        <w:ind w:left="432" w:hanging="432"/>
      </w:pPr>
      <w:r>
        <w:t>3.</w:t>
        <w:tab/>
      </w:r>
      <w:r>
        <w:rPr>
          <w:highlight w:val="yellow"/>
        </w:rPr>
        <w:t>[Open slot: add one local study here.]</w:t>
      </w:r>
    </w:p>
    <w:p>
      <w:pPr>
        <w:spacing w:before="120" w:after="40"/>
        <w:ind w:left="432" w:hanging="432"/>
      </w:pPr>
      <w:r>
        <w:t>4.</w:t>
        <w:tab/>
      </w:r>
      <w:r>
        <w:rPr>
          <w:highlight w:val="yellow"/>
        </w:rPr>
        <w:t>[Open slot: add one local study here.]</w:t>
      </w:r>
    </w:p>
    <w:p>
      <w:pPr>
        <w:spacing w:before="120" w:after="40"/>
        <w:ind w:left="432" w:hanging="432"/>
      </w:pPr>
      <w:r>
        <w:t>5.</w:t>
        <w:tab/>
      </w:r>
      <w:r>
        <w:rPr>
          <w:highlight w:val="yellow"/>
        </w:rPr>
        <w:t>[Open slot: add one local study here.]</w:t>
      </w:r>
    </w:p>
    <w:p>
      <w:pPr>
        <w:keepNext/>
        <w:spacing w:before="80" w:after="80"/>
      </w:pPr>
      <w:r>
        <w:rPr>
          <w:b/>
          <w:sz w:val="20"/>
        </w:rPr>
        <w:t>Foreign Studies:</w:t>
      </w:r>
    </w:p>
    <w:p>
      <w:pPr>
        <w:keepNext/>
        <w:spacing w:before="120" w:after="40"/>
        <w:ind w:left="432" w:hanging="432"/>
      </w:pPr>
      <w:r>
        <w:t>6.</w:t>
        <w:tab/>
      </w:r>
      <w:r>
        <w:rPr>
          <w:b/>
        </w:rPr>
        <w:t>Automated Systems for the De-identification of Longitudinal Clinical Narratives: Overview of 2014 i2b2/UTHealth Shared Task Track 1</w:t>
      </w:r>
    </w:p>
    <w:p>
      <w:pPr>
        <w:spacing w:after="40"/>
        <w:ind w:left="432"/>
        <w:jc w:val="both"/>
      </w:pPr>
      <w:r>
        <w:rPr>
          <w:b/>
        </w:rPr>
        <w:t>Description / Summary (Foreign Study).</w:t>
      </w:r>
      <w:r>
        <w:t xml:space="preserve"> Stubbs, Kotfila and Uzuner (2015) reported the results of a shared task where ten teams submitted 22 systems for finding identifying information in clinical narratives, covering more categories than United States health privacy law requires. Three systems scored an F1 above 0.90, and the most successful systems combined Conditional Random Fields with hand-written rules.</w:t>
      </w:r>
    </w:p>
    <w:p>
      <w:pPr>
        <w:spacing w:after="40"/>
        <w:ind w:left="432"/>
        <w:jc w:val="both"/>
      </w:pPr>
      <w:r>
        <w:rPr>
          <w:b/>
        </w:rPr>
        <w:t>Relevance to the proposed study.</w:t>
      </w:r>
      <w:r>
        <w:t xml:space="preserve"> It supports the proposed design of Conditional Random Fields plus a rule layer, and provides the published benchmark the system's results will be compared against.</w:t>
      </w:r>
    </w:p>
    <w:p>
      <w:pPr>
        <w:spacing w:after="40"/>
        <w:ind w:left="432"/>
        <w:jc w:val="left"/>
      </w:pPr>
      <w:r>
        <w:t>Source: https://doi.org/10.1016/j.jbi.2015.06.007</w:t>
      </w:r>
    </w:p>
    <w:p>
      <w:pPr>
        <w:keepNext/>
        <w:spacing w:before="120" w:after="40"/>
        <w:ind w:left="432" w:hanging="432"/>
      </w:pPr>
      <w:r>
        <w:t>7.</w:t>
        <w:tab/>
      </w:r>
      <w:r>
        <w:rPr>
          <w:b/>
        </w:rPr>
        <w:t>Automatic De-identification of Electronic Medical Records Using Token-Level and Character-Level Conditional Random Fields</w:t>
      </w:r>
    </w:p>
    <w:p>
      <w:pPr>
        <w:spacing w:after="40"/>
        <w:ind w:left="432"/>
        <w:jc w:val="both"/>
      </w:pPr>
      <w:r>
        <w:rPr>
          <w:b/>
        </w:rPr>
        <w:t>Description / Summary (Foreign Study).</w:t>
      </w:r>
      <w:r>
        <w:t xml:space="preserve"> Liu et al. (2015) built a hybrid system in which a token-level Conditional Random Field, a character-level Conditional Random Field and a rule-based classifier each find identifying information, and their outputs are merged by rules. On the 2014 i2b2 corpus it reached micro F-scores of 94.64 percent, 91.24 percent and 91.63 percent under the token, strict and relaxed criteria, which rose slightly after refined location dictionaries were added.</w:t>
      </w:r>
    </w:p>
    <w:p>
      <w:pPr>
        <w:spacing w:after="40"/>
        <w:ind w:left="432"/>
        <w:jc w:val="both"/>
      </w:pPr>
      <w:r>
        <w:rPr>
          <w:b/>
        </w:rPr>
        <w:t>Relevance to the proposed study.</w:t>
      </w:r>
      <w:r>
        <w:t xml:space="preserve"> This is the closest template for the proposed detector. The gain from location dictionaries also supports adding Philippine place names, such as barangays, to the system's features.</w:t>
      </w:r>
    </w:p>
    <w:p>
      <w:pPr>
        <w:spacing w:after="40"/>
        <w:ind w:left="432"/>
        <w:jc w:val="left"/>
      </w:pPr>
      <w:r>
        <w:t>Source: https://doi.org/10.1016/j.jbi.2015.06.009</w:t>
      </w:r>
    </w:p>
    <w:p>
      <w:pPr>
        <w:keepNext/>
        <w:spacing w:before="120" w:after="40"/>
        <w:ind w:left="432" w:hanging="432"/>
      </w:pPr>
      <w:r>
        <w:t>8.</w:t>
        <w:tab/>
      </w:r>
      <w:r>
        <w:rPr>
          <w:b/>
        </w:rPr>
        <w:t>De-identification of Patient Notes with Recurrent Neural Networks</w:t>
      </w:r>
    </w:p>
    <w:p>
      <w:pPr>
        <w:spacing w:after="40"/>
        <w:ind w:left="432"/>
        <w:jc w:val="both"/>
      </w:pPr>
      <w:r>
        <w:rPr>
          <w:b/>
        </w:rPr>
        <w:t>Description / Summary (Foreign Study).</w:t>
      </w:r>
      <w:r>
        <w:t xml:space="preserve"> Dernoncourt et al. (2017) built the first de-identification system based on artificial neural networks, requiring no hand-crafted features or rules. It reached an F1-score of 97.85 on the 2014 i2b2 dataset and 99.23 on the MIMIC de-identification dataset, outperforming earlier systems.</w:t>
      </w:r>
    </w:p>
    <w:p>
      <w:pPr>
        <w:spacing w:after="40"/>
        <w:ind w:left="432"/>
        <w:jc w:val="both"/>
      </w:pPr>
      <w:r>
        <w:rPr>
          <w:b/>
        </w:rPr>
        <w:t>Relevance to the proposed study.</w:t>
      </w:r>
      <w:r>
        <w:t xml:space="preserve"> It shows that a stronger neural baseline exists. The proposed study uses Conditional Random Fields because they run without a GPU, give consistent and auditable output and keep text local, and it will report that trade-off honestly.</w:t>
      </w:r>
    </w:p>
    <w:p>
      <w:pPr>
        <w:spacing w:after="40"/>
        <w:ind w:left="432"/>
        <w:jc w:val="left"/>
      </w:pPr>
      <w:r>
        <w:t>Source: https://doi.org/10.1093/jamia/ocw156</w:t>
      </w:r>
    </w:p>
    <w:p>
      <w:pPr>
        <w:keepNext/>
        <w:spacing w:before="120" w:after="40"/>
        <w:ind w:left="432" w:hanging="432"/>
      </w:pPr>
      <w:r>
        <w:t>9.</w:t>
        <w:tab/>
      </w:r>
      <w:r>
        <w:rPr>
          <w:b/>
        </w:rPr>
        <w:t>Can Zero-Shot Commercial APIs Deliver Regulatory-Grade Clinical Text De-Identification?</w:t>
      </w:r>
    </w:p>
    <w:p>
      <w:pPr>
        <w:spacing w:after="40"/>
        <w:ind w:left="432"/>
        <w:jc w:val="both"/>
      </w:pPr>
      <w:r>
        <w:rPr>
          <w:b/>
        </w:rPr>
        <w:t>Description / Summary (Foreign Study).</w:t>
      </w:r>
      <w:r>
        <w:t xml:space="preserve"> Kocaman et al. (2025) compared four de-identification services on 48 clinical documents annotated by medical experts. John Snow Labs scored an F1 of 96 percent, Azure 91 percent, AWS 83 percent and GPT-4o 79 percent. The authors are from John Snow Labs, so the comparison should be read with that interest in mind.</w:t>
      </w:r>
    </w:p>
    <w:p>
      <w:pPr>
        <w:spacing w:after="40"/>
        <w:ind w:left="432"/>
        <w:jc w:val="both"/>
      </w:pPr>
      <w:r>
        <w:rPr>
          <w:b/>
        </w:rPr>
        <w:t>Relevance to the proposed study.</w:t>
      </w:r>
      <w:r>
        <w:t xml:space="preserve"> It answers the likely question of why the study does not simply use a large language model. General commercial models did not reach the accuracy of specialised tools, and each one would require sending sensitive text to an outside service.</w:t>
      </w:r>
    </w:p>
    <w:p>
      <w:pPr>
        <w:spacing w:after="40"/>
        <w:ind w:left="432"/>
        <w:jc w:val="left"/>
      </w:pPr>
      <w:r>
        <w:t>Source: https://arxiv.org/abs/2503.20794</w:t>
      </w:r>
    </w:p>
    <w:p>
      <w:pPr>
        <w:spacing w:before="120" w:after="40"/>
        <w:ind w:left="432" w:hanging="432"/>
      </w:pPr>
      <w:r>
        <w:t>10.</w:t>
        <w:tab/>
      </w:r>
      <w:r>
        <w:rPr>
          <w:highlight w:val="yellow"/>
        </w:rPr>
        <w:t>[Open slot: add one foreign study here.]</w:t>
      </w:r>
    </w:p>
    <w:p>
      <w:pPr>
        <w:keepNext/>
        <w:spacing w:before="160" w:after="80"/>
      </w:pPr>
      <w:r>
        <w:rPr>
          <w:b/>
          <w:sz w:val="22"/>
        </w:rPr>
        <w:t>Research and System Gap</w:t>
      </w:r>
    </w:p>
    <w:p>
      <w:pPr>
        <w:spacing w:after="120"/>
        <w:jc w:val="both"/>
      </w:pPr>
      <w:r>
        <w:t>Automatic de-identification of free text is well established for clinical records. Conditional Random Fields combined with rules have been among the strongest approaches in shared tasks, neural models now score somewhat higher at a greater computing cost, and commercial language model services fall short of specialised tools while requiring sensitive text to be sent to an outside provider. Philippine law obliges government offices both to release information and to protect the personal data inside it, and Tagalog language resources now exist.</w:t>
      </w:r>
    </w:p>
    <w:p>
      <w:pPr>
        <w:spacing w:after="120"/>
        <w:jc w:val="both"/>
      </w:pPr>
      <w:r>
        <w:rPr>
          <w:b/>
        </w:rPr>
        <w:t>The gap.</w:t>
      </w:r>
      <w:r>
        <w:t xml:space="preserve"> Published de-identification work targets clinical text in English. No study addresses Philippine government documents such as FOI responses and right-of-way records, Philippine identifiers such as TIN and land title numbers, or English and Filipino text, and none pairs detection with a governance audit trail for release decisions.</w:t>
      </w:r>
    </w:p>
    <w:p>
      <w:pPr>
        <w:keepNext/>
        <w:spacing w:before="160" w:after="80"/>
      </w:pPr>
      <w:r>
        <w:rPr>
          <w:b/>
          <w:sz w:val="22"/>
        </w:rPr>
        <w:t>Refined Proposed Title and Solution</w:t>
      </w:r>
    </w:p>
    <w:p>
      <w:pPr>
        <w:spacing w:after="120"/>
        <w:jc w:val="both"/>
      </w:pPr>
      <w:r>
        <w:rPr>
          <w:b/>
        </w:rPr>
        <w:t>Personal Data Detection and Redaction for National Transmission Corporation Records Using Conditional Random Fields</w:t>
      </w:r>
      <w:r>
        <w:t xml:space="preserve"> (14 words). Re-scoped from contact center notes to TransCo's records after the group's contact was confirmed to be at TransCo. The method and the reviewed sources carry over unchanged.</w:t>
      </w:r>
    </w:p>
    <w:p>
      <w:pPr>
        <w:keepNext/>
        <w:spacing w:before="160" w:after="80"/>
      </w:pPr>
      <w:r>
        <w:rPr>
          <w:b/>
          <w:sz w:val="22"/>
        </w:rPr>
        <w:t>References for the RRL and RRS</w:t>
      </w:r>
    </w:p>
    <w:p>
      <w:pPr>
        <w:spacing w:after="60"/>
        <w:ind w:left="576" w:hanging="576"/>
        <w:jc w:val="left"/>
      </w:pPr>
      <w:r>
        <w:t>Dernoncourt, F., Lee, J. Y., Uzuner, O., &amp; Szolovits, P. (2017). De-identification of patient notes with recurrent neural networks. Journal of the American Medical Informatics Association, 24(3), 596-606. https://doi.org/10.1093/jamia/ocw156</w:t>
      </w:r>
    </w:p>
    <w:p>
      <w:pPr>
        <w:spacing w:after="60"/>
        <w:ind w:left="576" w:hanging="576"/>
        <w:jc w:val="left"/>
      </w:pPr>
      <w:r>
        <w:t>Executive Order No. 2, s. 2016. Operationalizing in the executive branch the people's constitutional right to information and the state policies of full public disclosure and transparency in the public service. https://www.officialgazette.gov.ph/2016/07/23/executive-order-no-02-s-2016/</w:t>
      </w:r>
    </w:p>
    <w:p>
      <w:pPr>
        <w:spacing w:after="60"/>
        <w:ind w:left="576" w:hanging="576"/>
        <w:jc w:val="left"/>
      </w:pPr>
      <w:r>
        <w:t>Kocaman, V., et al. (2025). Can zero-shot commercial APIs deliver regulatory-grade clinical text de-identification? arXiv. https://arxiv.org/abs/2503.20794</w:t>
      </w:r>
    </w:p>
    <w:p>
      <w:pPr>
        <w:spacing w:after="60"/>
        <w:ind w:left="576" w:hanging="576"/>
        <w:jc w:val="left"/>
      </w:pPr>
      <w:r>
        <w:t>Liu, Z., Chen, Y., Tang, B., Wang, X., Chen, Q., Li, H., et al. (2015). Automatic de-identification of electronic medical records using token-level and character-level conditional random fields. Journal of Biomedical Informatics, 58, S47-S52. https://doi.org/10.1016/j.jbi.2015.06.009</w:t>
      </w:r>
    </w:p>
    <w:p>
      <w:pPr>
        <w:spacing w:after="60"/>
        <w:ind w:left="576" w:hanging="576"/>
        <w:jc w:val="left"/>
      </w:pPr>
      <w:r>
        <w:t>Meystre, S. M., Friedlin, F. J., South, B. R., Shen, S., &amp; Samore, M. H. (2010). Automatic de-identification of textual documents in the electronic health record: A review of recent research. BMC Medical Research Methodology, 10, 70. https://doi.org/10.1186/1471-2288-10-70</w:t>
      </w:r>
    </w:p>
    <w:p>
      <w:pPr>
        <w:spacing w:after="60"/>
        <w:ind w:left="576" w:hanging="576"/>
        <w:jc w:val="left"/>
      </w:pPr>
      <w:r>
        <w:t>Miranda, L. J. V. (2023a). calamanCy: A Tagalog natural language processing toolkit. arXiv. https://arxiv.org/abs/2311.07171</w:t>
      </w:r>
    </w:p>
    <w:p>
      <w:pPr>
        <w:spacing w:after="60"/>
        <w:ind w:left="576" w:hanging="576"/>
        <w:jc w:val="left"/>
      </w:pPr>
      <w:r>
        <w:t>Miranda, L. J. V. (2023b). Developing a named entity recognition dataset for Tagalog. arXiv. https://arxiv.org/abs/2311.07161</w:t>
      </w:r>
    </w:p>
    <w:p>
      <w:pPr>
        <w:spacing w:after="60"/>
        <w:ind w:left="576" w:hanging="576"/>
        <w:jc w:val="left"/>
      </w:pPr>
      <w:r>
        <w:t>National Privacy Commission. (2016). NPC Circular No. 16-03: Personal data breach management. https://privacy.gov.ph/wp-content/uploads/2022/01/sgd-npc-circular-16-03-personal-data-breach-management.pdf</w:t>
      </w:r>
    </w:p>
    <w:p>
      <w:pPr>
        <w:spacing w:after="60"/>
        <w:ind w:left="576" w:hanging="576"/>
        <w:jc w:val="left"/>
      </w:pPr>
      <w:r>
        <w:t>Republic Act No. 10173. (2012). Data Privacy Act of 2012. https://lawphil.net/statutes/repacts/ra2012/ra_10173_2012.html</w:t>
      </w:r>
    </w:p>
    <w:p>
      <w:pPr>
        <w:spacing w:after="60"/>
        <w:ind w:left="576" w:hanging="576"/>
        <w:jc w:val="left"/>
      </w:pPr>
      <w:r>
        <w:t>Stubbs, A., Kotfila, C., &amp; Uzuner, Ö. (2015). Automated systems for the de-identification of longitudinal clinical narratives: Overview of 2014 i2b2/UTHealth shared task Track 1. Journal of Biomedical Informatics, 58, S11-S19. https://doi.org/10.1016/j.jbi.2015.06.007</w:t>
      </w:r>
    </w:p>
    <w:p>
      <w:pPr>
        <w:spacing w:after="60"/>
        <w:ind w:left="576" w:hanging="576"/>
        <w:jc w:val="left"/>
      </w:pPr>
      <w:r>
        <w:t>Stubbs, A., &amp; Uzuner, Ö. (2015). Annotating longitudinal clinical narratives for de-identification: The 2014 i2b2/UTHealth corpus. Journal of Biomedical Informatics, 58, S20-S29. https://doi.org/10.1016/j.jbi.2015.07.020</w:t>
      </w:r>
    </w:p>
    <w:p>
      <w:r>
        <w:br w:type="page"/>
      </w:r>
    </w:p>
    <w:tbl>
      <w:tblPr>
        <w:tblStyle w:val="TableGrid"/>
        <w:tblW w:type="auto" w:w="0"/>
        <w:tblLook w:firstColumn="1" w:firstRow="1" w:lastColumn="0" w:lastRow="0" w:noHBand="0" w:noVBand="1" w:val="04A0"/>
      </w:tblPr>
      <w:tblGrid>
        <w:gridCol w:w="10224"/>
      </w:tblGrid>
      <w:tr>
        <w:tc>
          <w:tcPr>
            <w:tcW w:type="dxa" w:w="10224"/>
            <w:shd w:val="clear" w:color="auto" w:fill="404040"/>
          </w:tcPr>
          <w:p>
            <w:pPr>
              <w:spacing w:before="60" w:after="60"/>
            </w:pPr>
            <w:r>
              <w:rPr>
                <w:b/>
                <w:color w:val="FFFFFF"/>
                <w:sz w:val="26"/>
              </w:rPr>
              <w:t>FINAL COMPARISON OF THE SIX TITLES</w:t>
            </w:r>
          </w:p>
          <w:p>
            <w:pPr>
              <w:spacing w:after="60"/>
            </w:pPr>
            <w:r>
              <w:rPr>
                <w:color w:val="E0E0E0"/>
                <w:sz w:val="18"/>
              </w:rPr>
              <w:t>Rated 1 to 5, where 5 is highly feasible and 1 is not currently feasible</w:t>
            </w:r>
          </w:p>
        </w:tc>
      </w:tr>
    </w:tbl>
    <w:p>
      <w:pPr>
        <w:spacing w:after="4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2736"/>
            <w:shd w:val="clear" w:color="auto" w:fill="EDEDED"/>
          </w:tcPr>
          <w:p>
            <w:r>
              <w:rPr>
                <w:b/>
                <w:sz w:val="17"/>
              </w:rPr>
              <w:t>Criteria</w:t>
            </w:r>
          </w:p>
        </w:tc>
        <w:tc>
          <w:tcPr>
            <w:tcW w:type="dxa" w:w="1224"/>
            <w:shd w:val="clear" w:color="auto" w:fill="EDEDED"/>
          </w:tcPr>
          <w:p>
            <w:r>
              <w:rPr>
                <w:b/>
                <w:sz w:val="17"/>
              </w:rPr>
              <w:t>Title 1 BAPTC</w:t>
            </w:r>
          </w:p>
        </w:tc>
        <w:tc>
          <w:tcPr>
            <w:tcW w:type="dxa" w:w="1296"/>
            <w:shd w:val="clear" w:color="auto" w:fill="EDEDED"/>
          </w:tcPr>
          <w:p>
            <w:r>
              <w:rPr>
                <w:b/>
                <w:sz w:val="17"/>
              </w:rPr>
              <w:t>Title 2 SM Foundation</w:t>
            </w:r>
          </w:p>
        </w:tc>
        <w:tc>
          <w:tcPr>
            <w:tcW w:type="dxa" w:w="1224"/>
            <w:shd w:val="clear" w:color="auto" w:fill="EDEDED"/>
          </w:tcPr>
          <w:p>
            <w:r>
              <w:rPr>
                <w:b/>
                <w:sz w:val="17"/>
              </w:rPr>
              <w:t>Title 3 QC ITDD</w:t>
            </w:r>
          </w:p>
        </w:tc>
        <w:tc>
          <w:tcPr>
            <w:tcW w:type="dxa" w:w="1296"/>
            <w:shd w:val="clear" w:color="auto" w:fill="EDEDED"/>
          </w:tcPr>
          <w:p>
            <w:r>
              <w:rPr>
                <w:b/>
                <w:sz w:val="17"/>
              </w:rPr>
              <w:t>Title 4 Immunization</w:t>
            </w:r>
          </w:p>
        </w:tc>
        <w:tc>
          <w:tcPr>
            <w:tcW w:type="dxa" w:w="1224"/>
            <w:shd w:val="clear" w:color="auto" w:fill="EDEDED"/>
          </w:tcPr>
          <w:p>
            <w:r>
              <w:rPr>
                <w:b/>
                <w:sz w:val="17"/>
              </w:rPr>
              <w:t>Title 5 Milk Retail</w:t>
            </w:r>
          </w:p>
        </w:tc>
        <w:tc>
          <w:tcPr>
            <w:tcW w:type="dxa" w:w="1224"/>
            <w:shd w:val="clear" w:color="auto" w:fill="EDEDED"/>
          </w:tcPr>
          <w:p>
            <w:r>
              <w:rPr>
                <w:b/>
                <w:sz w:val="17"/>
              </w:rPr>
              <w:t>Title 6 TransCo</w:t>
            </w:r>
          </w:p>
        </w:tc>
      </w:tr>
      <w:tr>
        <w:tc>
          <w:tcPr>
            <w:tcW w:type="dxa" w:w="2736"/>
          </w:tcPr>
          <w:p>
            <w:r>
              <w:rPr>
                <w:sz w:val="17"/>
              </w:rPr>
              <w:t>Technical and technology feasibility</w:t>
            </w:r>
          </w:p>
        </w:tc>
        <w:tc>
          <w:tcPr>
            <w:tcW w:type="dxa" w:w="1224"/>
          </w:tcPr>
          <w:p>
            <w:r>
              <w:rPr>
                <w:sz w:val="17"/>
              </w:rPr>
              <w:t>4</w:t>
            </w:r>
          </w:p>
        </w:tc>
        <w:tc>
          <w:tcPr>
            <w:tcW w:type="dxa" w:w="1296"/>
          </w:tcPr>
          <w:p>
            <w:r>
              <w:rPr>
                <w:sz w:val="17"/>
              </w:rPr>
              <w:t>4</w:t>
            </w:r>
          </w:p>
        </w:tc>
        <w:tc>
          <w:tcPr>
            <w:tcW w:type="dxa" w:w="1224"/>
          </w:tcPr>
          <w:p>
            <w:r>
              <w:rPr>
                <w:sz w:val="17"/>
              </w:rPr>
              <w:t>4</w:t>
            </w:r>
          </w:p>
        </w:tc>
        <w:tc>
          <w:tcPr>
            <w:tcW w:type="dxa" w:w="1296"/>
          </w:tcPr>
          <w:p>
            <w:r>
              <w:rPr>
                <w:sz w:val="17"/>
              </w:rPr>
              <w:t>5</w:t>
            </w:r>
          </w:p>
        </w:tc>
        <w:tc>
          <w:tcPr>
            <w:tcW w:type="dxa" w:w="1224"/>
          </w:tcPr>
          <w:p>
            <w:r>
              <w:rPr>
                <w:sz w:val="17"/>
              </w:rPr>
              <w:t>5</w:t>
            </w:r>
          </w:p>
        </w:tc>
        <w:tc>
          <w:tcPr>
            <w:tcW w:type="dxa" w:w="1224"/>
          </w:tcPr>
          <w:p>
            <w:r>
              <w:rPr>
                <w:sz w:val="17"/>
              </w:rPr>
              <w:t>4</w:t>
            </w:r>
          </w:p>
        </w:tc>
      </w:tr>
      <w:tr>
        <w:tc>
          <w:tcPr>
            <w:tcW w:type="dxa" w:w="2736"/>
          </w:tcPr>
          <w:p>
            <w:r>
              <w:rPr>
                <w:sz w:val="17"/>
              </w:rPr>
              <w:t>Dataset and data feasibility</w:t>
            </w:r>
          </w:p>
        </w:tc>
        <w:tc>
          <w:tcPr>
            <w:tcW w:type="dxa" w:w="1224"/>
          </w:tcPr>
          <w:p>
            <w:r>
              <w:rPr>
                <w:sz w:val="17"/>
              </w:rPr>
              <w:t>3</w:t>
            </w:r>
          </w:p>
        </w:tc>
        <w:tc>
          <w:tcPr>
            <w:tcW w:type="dxa" w:w="1296"/>
          </w:tcPr>
          <w:p>
            <w:r>
              <w:rPr>
                <w:sz w:val="17"/>
              </w:rPr>
              <w:t>3</w:t>
            </w:r>
          </w:p>
        </w:tc>
        <w:tc>
          <w:tcPr>
            <w:tcW w:type="dxa" w:w="1224"/>
          </w:tcPr>
          <w:p>
            <w:r>
              <w:rPr>
                <w:sz w:val="17"/>
              </w:rPr>
              <w:t>3</w:t>
            </w:r>
          </w:p>
        </w:tc>
        <w:tc>
          <w:tcPr>
            <w:tcW w:type="dxa" w:w="1296"/>
          </w:tcPr>
          <w:p>
            <w:r>
              <w:rPr>
                <w:sz w:val="17"/>
              </w:rPr>
              <w:t>3</w:t>
            </w:r>
          </w:p>
        </w:tc>
        <w:tc>
          <w:tcPr>
            <w:tcW w:type="dxa" w:w="1224"/>
          </w:tcPr>
          <w:p>
            <w:r>
              <w:rPr>
                <w:sz w:val="17"/>
              </w:rPr>
              <w:t>3</w:t>
            </w:r>
          </w:p>
        </w:tc>
        <w:tc>
          <w:tcPr>
            <w:tcW w:type="dxa" w:w="1224"/>
          </w:tcPr>
          <w:p>
            <w:r>
              <w:rPr>
                <w:sz w:val="17"/>
              </w:rPr>
              <w:t>3</w:t>
            </w:r>
          </w:p>
        </w:tc>
      </w:tr>
      <w:tr>
        <w:tc>
          <w:tcPr>
            <w:tcW w:type="dxa" w:w="2736"/>
          </w:tcPr>
          <w:p>
            <w:r>
              <w:rPr>
                <w:sz w:val="17"/>
              </w:rPr>
              <w:t>Algorithm or model feasibility</w:t>
            </w:r>
          </w:p>
        </w:tc>
        <w:tc>
          <w:tcPr>
            <w:tcW w:type="dxa" w:w="1224"/>
          </w:tcPr>
          <w:p>
            <w:r>
              <w:rPr>
                <w:sz w:val="17"/>
              </w:rPr>
              <w:t>4</w:t>
            </w:r>
          </w:p>
        </w:tc>
        <w:tc>
          <w:tcPr>
            <w:tcW w:type="dxa" w:w="1296"/>
          </w:tcPr>
          <w:p>
            <w:r>
              <w:rPr>
                <w:sz w:val="17"/>
              </w:rPr>
              <w:t>5</w:t>
            </w:r>
          </w:p>
        </w:tc>
        <w:tc>
          <w:tcPr>
            <w:tcW w:type="dxa" w:w="1224"/>
          </w:tcPr>
          <w:p>
            <w:r>
              <w:rPr>
                <w:sz w:val="17"/>
              </w:rPr>
              <w:t>4</w:t>
            </w:r>
          </w:p>
        </w:tc>
        <w:tc>
          <w:tcPr>
            <w:tcW w:type="dxa" w:w="1296"/>
          </w:tcPr>
          <w:p>
            <w:r>
              <w:rPr>
                <w:sz w:val="17"/>
              </w:rPr>
              <w:t>4</w:t>
            </w:r>
          </w:p>
        </w:tc>
        <w:tc>
          <w:tcPr>
            <w:tcW w:type="dxa" w:w="1224"/>
          </w:tcPr>
          <w:p>
            <w:r>
              <w:rPr>
                <w:sz w:val="17"/>
              </w:rPr>
              <w:t>4</w:t>
            </w:r>
          </w:p>
        </w:tc>
        <w:tc>
          <w:tcPr>
            <w:tcW w:type="dxa" w:w="1224"/>
          </w:tcPr>
          <w:p>
            <w:r>
              <w:rPr>
                <w:sz w:val="17"/>
              </w:rPr>
              <w:t>5</w:t>
            </w:r>
          </w:p>
        </w:tc>
      </w:tr>
      <w:tr>
        <w:tc>
          <w:tcPr>
            <w:tcW w:type="dxa" w:w="2736"/>
          </w:tcPr>
          <w:p>
            <w:r>
              <w:rPr>
                <w:sz w:val="17"/>
              </w:rPr>
              <w:t>Operational feasibility</w:t>
            </w:r>
          </w:p>
        </w:tc>
        <w:tc>
          <w:tcPr>
            <w:tcW w:type="dxa" w:w="1224"/>
          </w:tcPr>
          <w:p>
            <w:r>
              <w:rPr>
                <w:sz w:val="17"/>
              </w:rPr>
              <w:t>4</w:t>
            </w:r>
          </w:p>
        </w:tc>
        <w:tc>
          <w:tcPr>
            <w:tcW w:type="dxa" w:w="1296"/>
          </w:tcPr>
          <w:p>
            <w:r>
              <w:rPr>
                <w:sz w:val="17"/>
              </w:rPr>
              <w:t>4</w:t>
            </w:r>
          </w:p>
        </w:tc>
        <w:tc>
          <w:tcPr>
            <w:tcW w:type="dxa" w:w="1224"/>
          </w:tcPr>
          <w:p>
            <w:r>
              <w:rPr>
                <w:sz w:val="17"/>
              </w:rPr>
              <w:t>4</w:t>
            </w:r>
          </w:p>
        </w:tc>
        <w:tc>
          <w:tcPr>
            <w:tcW w:type="dxa" w:w="1296"/>
          </w:tcPr>
          <w:p>
            <w:r>
              <w:rPr>
                <w:sz w:val="17"/>
              </w:rPr>
              <w:t>3</w:t>
            </w:r>
          </w:p>
        </w:tc>
        <w:tc>
          <w:tcPr>
            <w:tcW w:type="dxa" w:w="1224"/>
          </w:tcPr>
          <w:p>
            <w:r>
              <w:rPr>
                <w:sz w:val="17"/>
              </w:rPr>
              <w:t>3</w:t>
            </w:r>
          </w:p>
        </w:tc>
        <w:tc>
          <w:tcPr>
            <w:tcW w:type="dxa" w:w="1224"/>
          </w:tcPr>
          <w:p>
            <w:r>
              <w:rPr>
                <w:sz w:val="17"/>
              </w:rPr>
              <w:t>3</w:t>
            </w:r>
          </w:p>
        </w:tc>
      </w:tr>
      <w:tr>
        <w:tc>
          <w:tcPr>
            <w:tcW w:type="dxa" w:w="2736"/>
          </w:tcPr>
          <w:p>
            <w:r>
              <w:rPr>
                <w:sz w:val="17"/>
              </w:rPr>
              <w:t>Economic feasibility</w:t>
            </w:r>
          </w:p>
        </w:tc>
        <w:tc>
          <w:tcPr>
            <w:tcW w:type="dxa" w:w="1224"/>
          </w:tcPr>
          <w:p>
            <w:r>
              <w:rPr>
                <w:sz w:val="17"/>
              </w:rPr>
              <w:t>4</w:t>
            </w:r>
          </w:p>
        </w:tc>
        <w:tc>
          <w:tcPr>
            <w:tcW w:type="dxa" w:w="1296"/>
          </w:tcPr>
          <w:p>
            <w:r>
              <w:rPr>
                <w:sz w:val="17"/>
              </w:rPr>
              <w:t>5</w:t>
            </w:r>
          </w:p>
        </w:tc>
        <w:tc>
          <w:tcPr>
            <w:tcW w:type="dxa" w:w="1224"/>
          </w:tcPr>
          <w:p>
            <w:r>
              <w:rPr>
                <w:sz w:val="17"/>
              </w:rPr>
              <w:t>5</w:t>
            </w:r>
          </w:p>
        </w:tc>
        <w:tc>
          <w:tcPr>
            <w:tcW w:type="dxa" w:w="1296"/>
          </w:tcPr>
          <w:p>
            <w:r>
              <w:rPr>
                <w:sz w:val="17"/>
              </w:rPr>
              <w:t>5</w:t>
            </w:r>
          </w:p>
        </w:tc>
        <w:tc>
          <w:tcPr>
            <w:tcW w:type="dxa" w:w="1224"/>
          </w:tcPr>
          <w:p>
            <w:r>
              <w:rPr>
                <w:sz w:val="17"/>
              </w:rPr>
              <w:t>5</w:t>
            </w:r>
          </w:p>
        </w:tc>
        <w:tc>
          <w:tcPr>
            <w:tcW w:type="dxa" w:w="1224"/>
          </w:tcPr>
          <w:p>
            <w:r>
              <w:rPr>
                <w:sz w:val="17"/>
              </w:rPr>
              <w:t>5</w:t>
            </w:r>
          </w:p>
        </w:tc>
      </w:tr>
      <w:tr>
        <w:tc>
          <w:tcPr>
            <w:tcW w:type="dxa" w:w="2736"/>
          </w:tcPr>
          <w:p>
            <w:r>
              <w:rPr>
                <w:sz w:val="17"/>
              </w:rPr>
              <w:t>Schedule feasibility</w:t>
            </w:r>
          </w:p>
        </w:tc>
        <w:tc>
          <w:tcPr>
            <w:tcW w:type="dxa" w:w="1224"/>
          </w:tcPr>
          <w:p>
            <w:r>
              <w:rPr>
                <w:sz w:val="17"/>
              </w:rPr>
              <w:t>3</w:t>
            </w:r>
          </w:p>
        </w:tc>
        <w:tc>
          <w:tcPr>
            <w:tcW w:type="dxa" w:w="1296"/>
          </w:tcPr>
          <w:p>
            <w:r>
              <w:rPr>
                <w:sz w:val="17"/>
              </w:rPr>
              <w:t>3</w:t>
            </w:r>
          </w:p>
        </w:tc>
        <w:tc>
          <w:tcPr>
            <w:tcW w:type="dxa" w:w="1224"/>
          </w:tcPr>
          <w:p>
            <w:r>
              <w:rPr>
                <w:sz w:val="17"/>
              </w:rPr>
              <w:t>3</w:t>
            </w:r>
          </w:p>
        </w:tc>
        <w:tc>
          <w:tcPr>
            <w:tcW w:type="dxa" w:w="1296"/>
          </w:tcPr>
          <w:p>
            <w:r>
              <w:rPr>
                <w:sz w:val="17"/>
              </w:rPr>
              <w:t>4</w:t>
            </w:r>
          </w:p>
        </w:tc>
        <w:tc>
          <w:tcPr>
            <w:tcW w:type="dxa" w:w="1224"/>
          </w:tcPr>
          <w:p>
            <w:r>
              <w:rPr>
                <w:sz w:val="17"/>
              </w:rPr>
              <w:t>4</w:t>
            </w:r>
          </w:p>
        </w:tc>
        <w:tc>
          <w:tcPr>
            <w:tcW w:type="dxa" w:w="1224"/>
          </w:tcPr>
          <w:p>
            <w:r>
              <w:rPr>
                <w:sz w:val="17"/>
              </w:rPr>
              <w:t>4</w:t>
            </w:r>
          </w:p>
        </w:tc>
      </w:tr>
      <w:tr>
        <w:tc>
          <w:tcPr>
            <w:tcW w:type="dxa" w:w="2736"/>
          </w:tcPr>
          <w:p>
            <w:r>
              <w:rPr>
                <w:sz w:val="17"/>
              </w:rPr>
              <w:t>Legal and ethical feasibility</w:t>
            </w:r>
          </w:p>
        </w:tc>
        <w:tc>
          <w:tcPr>
            <w:tcW w:type="dxa" w:w="1224"/>
          </w:tcPr>
          <w:p>
            <w:r>
              <w:rPr>
                <w:sz w:val="17"/>
              </w:rPr>
              <w:t>4</w:t>
            </w:r>
          </w:p>
        </w:tc>
        <w:tc>
          <w:tcPr>
            <w:tcW w:type="dxa" w:w="1296"/>
          </w:tcPr>
          <w:p>
            <w:r>
              <w:rPr>
                <w:sz w:val="17"/>
              </w:rPr>
              <w:t>4</w:t>
            </w:r>
          </w:p>
        </w:tc>
        <w:tc>
          <w:tcPr>
            <w:tcW w:type="dxa" w:w="1224"/>
          </w:tcPr>
          <w:p>
            <w:r>
              <w:rPr>
                <w:sz w:val="17"/>
              </w:rPr>
              <w:t>3</w:t>
            </w:r>
          </w:p>
        </w:tc>
        <w:tc>
          <w:tcPr>
            <w:tcW w:type="dxa" w:w="1296"/>
          </w:tcPr>
          <w:p>
            <w:r>
              <w:rPr>
                <w:sz w:val="17"/>
              </w:rPr>
              <w:t>4</w:t>
            </w:r>
          </w:p>
        </w:tc>
        <w:tc>
          <w:tcPr>
            <w:tcW w:type="dxa" w:w="1224"/>
          </w:tcPr>
          <w:p>
            <w:r>
              <w:rPr>
                <w:sz w:val="17"/>
              </w:rPr>
              <w:t>4</w:t>
            </w:r>
          </w:p>
        </w:tc>
        <w:tc>
          <w:tcPr>
            <w:tcW w:type="dxa" w:w="1224"/>
          </w:tcPr>
          <w:p>
            <w:r>
              <w:rPr>
                <w:sz w:val="17"/>
              </w:rPr>
              <w:t>5</w:t>
            </w:r>
          </w:p>
        </w:tc>
      </w:tr>
      <w:tr>
        <w:tc>
          <w:tcPr>
            <w:tcW w:type="dxa" w:w="2736"/>
          </w:tcPr>
          <w:p>
            <w:r>
              <w:rPr>
                <w:sz w:val="17"/>
              </w:rPr>
              <w:t>Risk manageability</w:t>
            </w:r>
          </w:p>
        </w:tc>
        <w:tc>
          <w:tcPr>
            <w:tcW w:type="dxa" w:w="1224"/>
          </w:tcPr>
          <w:p>
            <w:r>
              <w:rPr>
                <w:sz w:val="17"/>
              </w:rPr>
              <w:t>4</w:t>
            </w:r>
          </w:p>
        </w:tc>
        <w:tc>
          <w:tcPr>
            <w:tcW w:type="dxa" w:w="1296"/>
          </w:tcPr>
          <w:p>
            <w:r>
              <w:rPr>
                <w:sz w:val="17"/>
              </w:rPr>
              <w:t>4</w:t>
            </w:r>
          </w:p>
        </w:tc>
        <w:tc>
          <w:tcPr>
            <w:tcW w:type="dxa" w:w="1224"/>
          </w:tcPr>
          <w:p>
            <w:r>
              <w:rPr>
                <w:sz w:val="17"/>
              </w:rPr>
              <w:t>4</w:t>
            </w:r>
          </w:p>
        </w:tc>
        <w:tc>
          <w:tcPr>
            <w:tcW w:type="dxa" w:w="1296"/>
          </w:tcPr>
          <w:p>
            <w:r>
              <w:rPr>
                <w:sz w:val="17"/>
              </w:rPr>
              <w:t>4</w:t>
            </w:r>
          </w:p>
        </w:tc>
        <w:tc>
          <w:tcPr>
            <w:tcW w:type="dxa" w:w="1224"/>
          </w:tcPr>
          <w:p>
            <w:r>
              <w:rPr>
                <w:sz w:val="17"/>
              </w:rPr>
              <w:t>3</w:t>
            </w:r>
          </w:p>
        </w:tc>
        <w:tc>
          <w:tcPr>
            <w:tcW w:type="dxa" w:w="1224"/>
          </w:tcPr>
          <w:p>
            <w:r>
              <w:rPr>
                <w:sz w:val="17"/>
              </w:rPr>
              <w:t>4</w:t>
            </w:r>
          </w:p>
        </w:tc>
      </w:tr>
      <w:tr>
        <w:tc>
          <w:tcPr>
            <w:tcW w:type="dxa" w:w="2736"/>
          </w:tcPr>
          <w:p>
            <w:r>
              <w:rPr>
                <w:b/>
                <w:sz w:val="17"/>
              </w:rPr>
              <w:t>Total score /40</w:t>
            </w:r>
          </w:p>
        </w:tc>
        <w:tc>
          <w:tcPr>
            <w:tcW w:type="dxa" w:w="1224"/>
          </w:tcPr>
          <w:p>
            <w:r>
              <w:rPr>
                <w:b/>
                <w:sz w:val="17"/>
              </w:rPr>
              <w:t>30</w:t>
            </w:r>
          </w:p>
        </w:tc>
        <w:tc>
          <w:tcPr>
            <w:tcW w:type="dxa" w:w="1296"/>
          </w:tcPr>
          <w:p>
            <w:r>
              <w:rPr>
                <w:b/>
                <w:sz w:val="17"/>
              </w:rPr>
              <w:t>32</w:t>
            </w:r>
          </w:p>
        </w:tc>
        <w:tc>
          <w:tcPr>
            <w:tcW w:type="dxa" w:w="1224"/>
          </w:tcPr>
          <w:p>
            <w:r>
              <w:rPr>
                <w:b/>
                <w:sz w:val="17"/>
              </w:rPr>
              <w:t>30</w:t>
            </w:r>
          </w:p>
        </w:tc>
        <w:tc>
          <w:tcPr>
            <w:tcW w:type="dxa" w:w="1296"/>
          </w:tcPr>
          <w:p>
            <w:r>
              <w:rPr>
                <w:b/>
                <w:sz w:val="17"/>
              </w:rPr>
              <w:t>32</w:t>
            </w:r>
          </w:p>
        </w:tc>
        <w:tc>
          <w:tcPr>
            <w:tcW w:type="dxa" w:w="1224"/>
          </w:tcPr>
          <w:p>
            <w:r>
              <w:rPr>
                <w:b/>
                <w:sz w:val="17"/>
              </w:rPr>
              <w:t>31</w:t>
            </w:r>
          </w:p>
        </w:tc>
        <w:tc>
          <w:tcPr>
            <w:tcW w:type="dxa" w:w="1224"/>
          </w:tcPr>
          <w:p>
            <w:r>
              <w:rPr>
                <w:b/>
                <w:sz w:val="17"/>
              </w:rPr>
              <w:t>33</w:t>
            </w:r>
          </w:p>
        </w:tc>
      </w:tr>
      <w:tr>
        <w:tc>
          <w:tcPr>
            <w:tcW w:type="dxa" w:w="2736"/>
          </w:tcPr>
          <w:p>
            <w:r>
              <w:rPr>
                <w:b/>
                <w:sz w:val="17"/>
              </w:rPr>
              <w:t>Group's ranking</w:t>
            </w:r>
          </w:p>
        </w:tc>
        <w:tc>
          <w:tcPr>
            <w:tcW w:type="dxa" w:w="1224"/>
          </w:tcPr>
          <w:p>
            <w:r>
              <w:rPr>
                <w:b/>
                <w:sz w:val="17"/>
              </w:rPr>
              <w:t>1</w:t>
            </w:r>
          </w:p>
        </w:tc>
        <w:tc>
          <w:tcPr>
            <w:tcW w:type="dxa" w:w="1296"/>
          </w:tcPr>
          <w:p>
            <w:r>
              <w:rPr>
                <w:b/>
                <w:sz w:val="17"/>
              </w:rPr>
              <w:t>4</w:t>
            </w:r>
          </w:p>
        </w:tc>
        <w:tc>
          <w:tcPr>
            <w:tcW w:type="dxa" w:w="1224"/>
          </w:tcPr>
          <w:p>
            <w:r>
              <w:rPr>
                <w:b/>
                <w:sz w:val="17"/>
              </w:rPr>
              <w:t>2</w:t>
            </w:r>
          </w:p>
        </w:tc>
        <w:tc>
          <w:tcPr>
            <w:tcW w:type="dxa" w:w="1296"/>
          </w:tcPr>
          <w:p>
            <w:r>
              <w:rPr>
                <w:b/>
                <w:sz w:val="17"/>
              </w:rPr>
              <w:t>5</w:t>
            </w:r>
          </w:p>
        </w:tc>
        <w:tc>
          <w:tcPr>
            <w:tcW w:type="dxa" w:w="1224"/>
          </w:tcPr>
          <w:p>
            <w:r>
              <w:rPr>
                <w:b/>
                <w:sz w:val="17"/>
              </w:rPr>
              <w:t>3</w:t>
            </w:r>
          </w:p>
        </w:tc>
        <w:tc>
          <w:tcPr>
            <w:tcW w:type="dxa" w:w="1224"/>
          </w:tcPr>
          <w:p>
            <w:r>
              <w:rPr>
                <w:b/>
                <w:sz w:val="17"/>
              </w:rPr>
              <w:t>6</w:t>
            </w:r>
          </w:p>
        </w:tc>
      </w:tr>
    </w:tbl>
    <w:p>
      <w:pPr>
        <w:spacing w:after="40"/>
      </w:pPr>
    </w:p>
    <w:p>
      <w:pPr>
        <w:spacing w:after="120"/>
        <w:jc w:val="both"/>
      </w:pPr>
      <w:r>
        <w:t>Reading the comparison. The six totals sit between 30 and 33, a narrow spread that shows none of the titles is unworkable. Title 6 scores highest because it builds on public and synthetic data and depends on no partner releasing anything. Titles 1 and 3 score lowest, at 30 each, and for the same reason: each waits on an institution to release records. In both cases the request has already reached the right office and has been acknowledged, so what is outstanding is a reply and the shape of the records, not a decision on whether to cooperate.</w:t>
      </w:r>
    </w:p>
    <w:p>
      <w:pPr>
        <w:spacing w:after="120"/>
        <w:jc w:val="both"/>
      </w:pPr>
      <w:r>
        <w:t xml:space="preserve">Why the ranking is not simply the score order. The scores measure how safely a title can be delivered, not what the study contributes or whom it serves. Title 1 is placed first because it remains the group's committed direction, because BAPTC and DA-CAR have both acknowledged the group's requests, and because it addresses a Philippine market that no publicly identified study has modelled for price and supply glut together. Title 3 is placed second and kept as the backup title, because it is the direction the professor responded to most strongly and because its method can be validated on public benchmark data while the city's reply is pending. </w:t>
      </w:r>
      <w:r>
        <w:rPr>
          <w:highlight w:val="yellow"/>
        </w:rPr>
        <w:t>[Add the group's reasons for placing Title 5 third, Title 2 fourth, Title 4 fifth, and Title 6 sixth.]</w:t>
      </w:r>
    </w:p>
    <w:tbl>
      <w:tblPr>
        <w:tblStyle w:val="TableGrid"/>
        <w:tblW w:type="auto" w:w="0"/>
        <w:tblLook w:firstColumn="1" w:firstRow="1" w:lastColumn="0" w:lastRow="0" w:noHBand="0" w:noVBand="1" w:val="04A0"/>
      </w:tblPr>
      <w:tblGrid>
        <w:gridCol w:w="10224"/>
      </w:tblGrid>
      <w:tr>
        <w:tc>
          <w:tcPr>
            <w:tcW w:type="dxa" w:w="10224"/>
            <w:shd w:val="clear" w:color="auto" w:fill="404040"/>
          </w:tcPr>
          <w:p>
            <w:pPr>
              <w:spacing w:before="60" w:after="60"/>
            </w:pPr>
            <w:r>
              <w:rPr>
                <w:b/>
                <w:color w:val="FFFFFF"/>
                <w:sz w:val="26"/>
              </w:rPr>
              <w:t>FINAL RECOMMENDATION</w:t>
            </w:r>
          </w:p>
          <w:p>
            <w:pPr>
              <w:spacing w:after="60"/>
            </w:pPr>
            <w:r>
              <w:rPr>
                <w:color w:val="E0E0E0"/>
                <w:sz w:val="18"/>
              </w:rPr>
              <w:t>Primary title, supporting decisions, and backup title</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2592"/>
            <w:shd w:val="clear" w:color="auto" w:fill="EDEDED"/>
          </w:tcPr>
          <w:p>
            <w:r>
              <w:rPr>
                <w:b/>
                <w:sz w:val="18"/>
              </w:rPr>
              <w:t>Item</w:t>
            </w:r>
          </w:p>
        </w:tc>
        <w:tc>
          <w:tcPr>
            <w:tcW w:type="dxa" w:w="7632"/>
            <w:shd w:val="clear" w:color="auto" w:fill="EDEDED"/>
          </w:tcPr>
          <w:p>
            <w:r>
              <w:rPr>
                <w:b/>
                <w:sz w:val="18"/>
              </w:rPr>
              <w:t>Decision</w:t>
            </w:r>
          </w:p>
        </w:tc>
      </w:tr>
      <w:tr>
        <w:tc>
          <w:tcPr>
            <w:tcW w:type="dxa" w:w="2592"/>
          </w:tcPr>
          <w:p>
            <w:r>
              <w:rPr>
                <w:sz w:val="18"/>
              </w:rPr>
              <w:t>Primary recommended title</w:t>
            </w:r>
          </w:p>
        </w:tc>
        <w:tc>
          <w:tcPr>
            <w:tcW w:type="dxa" w:w="7632"/>
          </w:tcPr>
          <w:p>
            <w:r>
              <w:rPr>
                <w:sz w:val="18"/>
              </w:rPr>
              <w:t>Title 1: Highland Vegetable Price and Supply Glut Forecasting at the Benguet Agri-Pinoy Trading Center Using XGBoost</w:t>
            </w:r>
          </w:p>
        </w:tc>
      </w:tr>
      <w:tr>
        <w:tc>
          <w:tcPr>
            <w:tcW w:type="dxa" w:w="2592"/>
          </w:tcPr>
          <w:p>
            <w:r>
              <w:rPr>
                <w:sz w:val="18"/>
              </w:rPr>
              <w:t>Reasons for selecting the title</w:t>
            </w:r>
          </w:p>
        </w:tc>
        <w:tc>
          <w:tcPr>
            <w:tcW w:type="dxa" w:w="7632"/>
          </w:tcPr>
          <w:p>
            <w:r>
              <w:rPr>
                <w:sz w:val="18"/>
              </w:rPr>
              <w:t>It is the group's committed direction; the BAPTC General Manager's office and DA-CAR AMAD have both acknowledged the group's requests; no publicly identified study has modelled price and supply-glut risk for this market; and it serves an identifiable group of beneficiaries, the farmers of Benguet.</w:t>
            </w:r>
          </w:p>
        </w:tc>
      </w:tr>
      <w:tr>
        <w:tc>
          <w:tcPr>
            <w:tcW w:type="dxa" w:w="2592"/>
          </w:tcPr>
          <w:p>
            <w:r>
              <w:rPr>
                <w:sz w:val="18"/>
              </w:rPr>
              <w:t>Confirmed technology and platform</w:t>
            </w:r>
          </w:p>
        </w:tc>
        <w:tc>
          <w:tcPr>
            <w:tcW w:type="dxa" w:w="7632"/>
          </w:tcPr>
          <w:p>
            <w:r>
              <w:rPr>
                <w:sz w:val="18"/>
              </w:rPr>
              <w:t>Python with pandas, NumPy, statsmodels, scikit-learn, and XGBoost; PostgreSQL or SQLite; a Streamlit dashboard deployed locally or on a free tier. No external API on the critical path.</w:t>
            </w:r>
          </w:p>
        </w:tc>
      </w:tr>
      <w:tr>
        <w:tc>
          <w:tcPr>
            <w:tcW w:type="dxa" w:w="2592"/>
          </w:tcPr>
          <w:p>
            <w:r>
              <w:rPr>
                <w:sz w:val="18"/>
              </w:rPr>
              <w:t>Recommended algorithm or model</w:t>
            </w:r>
          </w:p>
        </w:tc>
        <w:tc>
          <w:tcPr>
            <w:tcW w:type="dxa" w:w="7632"/>
          </w:tcPr>
          <w:p>
            <w:r>
              <w:rPr>
                <w:sz w:val="18"/>
              </w:rPr>
              <w:t>XGBoost for price regression and glut-risk classification, against seasonal-naive, SARIMA, and random forest baselines under rolling-origin validation.</w:t>
            </w:r>
          </w:p>
        </w:tc>
      </w:tr>
      <w:tr>
        <w:tc>
          <w:tcPr>
            <w:tcW w:type="dxa" w:w="2592"/>
          </w:tcPr>
          <w:p>
            <w:r>
              <w:rPr>
                <w:sz w:val="18"/>
              </w:rPr>
              <w:t>Confirmed dataset or data source</w:t>
            </w:r>
          </w:p>
        </w:tc>
        <w:tc>
          <w:tcPr>
            <w:tcW w:type="dxa" w:w="7632"/>
          </w:tcPr>
          <w:p>
            <w:r>
              <w:rPr>
                <w:sz w:val="18"/>
              </w:rPr>
              <w:t>Not yet confirmed. BAPTC has said it does not release raw or source files, so the request is for an aggregate extract of price and trading volume. DA Bantay Presyo bulletins and PAGASA-BSU weather records are public and confirmed.</w:t>
            </w:r>
          </w:p>
        </w:tc>
      </w:tr>
      <w:tr>
        <w:tc>
          <w:tcPr>
            <w:tcW w:type="dxa" w:w="2592"/>
          </w:tcPr>
          <w:p>
            <w:r>
              <w:rPr>
                <w:sz w:val="18"/>
              </w:rPr>
              <w:t>Estimated cost and completion period</w:t>
            </w:r>
          </w:p>
        </w:tc>
        <w:tc>
          <w:tcPr>
            <w:tcW w:type="dxa" w:w="7632"/>
          </w:tcPr>
          <w:p>
            <w:r>
              <w:rPr>
                <w:sz w:val="18"/>
              </w:rPr>
              <w:t>PHP 6,700 to 10,300 over an 18-week plan. Travel to La Trinidad is the dominant cost.</w:t>
            </w:r>
          </w:p>
        </w:tc>
      </w:tr>
      <w:tr>
        <w:tc>
          <w:tcPr>
            <w:tcW w:type="dxa" w:w="2592"/>
          </w:tcPr>
          <w:p>
            <w:r>
              <w:rPr>
                <w:sz w:val="18"/>
              </w:rPr>
              <w:t>Major risks and mitigation</w:t>
            </w:r>
          </w:p>
        </w:tc>
        <w:tc>
          <w:tcPr>
            <w:tcW w:type="dxa" w:w="7632"/>
          </w:tcPr>
          <w:p>
            <w:r>
              <w:rPr>
                <w:sz w:val="18"/>
              </w:rPr>
              <w:t>Unavailable volume data, weak forecast accuracy, and schedule delay. A Week 3 decision gate; narrowing to price-only forecasting if volume is withheld; every model compared against naive baselines; a minimum viable dashboard first.</w:t>
            </w:r>
          </w:p>
        </w:tc>
      </w:tr>
      <w:tr>
        <w:tc>
          <w:tcPr>
            <w:tcW w:type="dxa" w:w="2592"/>
          </w:tcPr>
          <w:p>
            <w:r>
              <w:rPr>
                <w:sz w:val="18"/>
              </w:rPr>
              <w:t>Backup title</w:t>
            </w:r>
          </w:p>
        </w:tc>
        <w:tc>
          <w:tcPr>
            <w:tcW w:type="dxa" w:w="7632"/>
          </w:tcPr>
          <w:p>
            <w:r>
              <w:rPr>
                <w:sz w:val="18"/>
              </w:rPr>
              <w:t>Title 3: A Data Governance System for Privacy Release Readiness of Quezon City Open Data Using Mondrian k-Anonymity. The professor responded to it most strongly, the letter to ITDD was sent on September 23, 2026, and its method can be built and validated on public benchmark data while the city's reply is pending.</w:t>
            </w:r>
          </w:p>
        </w:tc>
      </w:tr>
    </w:tbl>
    <w:p>
      <w:pPr>
        <w:spacing w:after="40"/>
      </w:pPr>
    </w:p>
    <w:p>
      <w:pPr>
        <w:spacing w:after="120"/>
        <w:jc w:val="both"/>
      </w:pPr>
      <w:r>
        <w:t>Decision gate, stated plainly. Title 1 proceeds in full only if an aggregate of historical BAPTC price and trading-volume records, research-use permission, and adequate coverage are confirmed by Week 3. If price records arrive without volume, the title narrows to price forecasting and the supply-glut claim is withdrawn. If nothing is confirmed by Week 3, the group moves to Title 3.</w:t>
      </w:r>
    </w:p>
    <w:p>
      <w:r>
        <w:br w:type="page"/>
      </w:r>
    </w:p>
    <w:p>
      <w:pPr>
        <w:keepNext/>
        <w:spacing w:before="160" w:after="80"/>
      </w:pPr>
      <w:r>
        <w:rPr>
          <w:b/>
          <w:sz w:val="24"/>
        </w:rPr>
        <w:t>Library Activity Documentation</w:t>
      </w:r>
    </w:p>
    <w:p>
      <w:pPr>
        <w:spacing w:after="120"/>
        <w:jc w:val="both"/>
      </w:pPr>
      <w:r>
        <w:t>Students should also document their research/library activities by inserting photographs in the three designated spaces provided in the form.</w:t>
      </w:r>
    </w:p>
    <w:p>
      <w:pPr>
        <w:spacing w:after="120"/>
        <w:jc w:val="left"/>
      </w:pPr>
      <w:r>
        <w:rPr>
          <w:i/>
        </w:rPr>
        <w:t>Picture during Library Activities:</w:t>
      </w: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Picture 1: Insert snapshot here</w:t>
            </w:r>
          </w:p>
        </w:tc>
      </w:tr>
    </w:tbl>
    <w:p>
      <w:pPr>
        <w:spacing w:after="40"/>
      </w:pPr>
    </w:p>
    <w:p>
      <w:pPr>
        <w:spacing w:after="0"/>
      </w:pPr>
    </w:p>
    <w:p>
      <w:pPr>
        <w:spacing w:after="0"/>
      </w:pPr>
    </w:p>
    <w:p>
      <w:pPr>
        <w:spacing w:after="0"/>
      </w:pPr>
    </w:p>
    <w:p>
      <w:pPr>
        <w:spacing w:after="0"/>
      </w:pPr>
    </w:p>
    <w:p>
      <w:pPr>
        <w:spacing w:after="0"/>
      </w:pPr>
    </w:p>
    <w:p>
      <w:pPr>
        <w:spacing w:after="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Picture 2: Insert snapshot here</w:t>
            </w:r>
          </w:p>
        </w:tc>
      </w:tr>
    </w:tbl>
    <w:p>
      <w:pPr>
        <w:spacing w:after="40"/>
      </w:pPr>
    </w:p>
    <w:p>
      <w:pPr>
        <w:spacing w:after="0"/>
      </w:pPr>
    </w:p>
    <w:p>
      <w:pPr>
        <w:spacing w:after="0"/>
      </w:pPr>
    </w:p>
    <w:p>
      <w:pPr>
        <w:spacing w:after="0"/>
      </w:pPr>
    </w:p>
    <w:p>
      <w:pPr>
        <w:spacing w:after="0"/>
      </w:pPr>
    </w:p>
    <w:p>
      <w:pPr>
        <w:spacing w:after="0"/>
      </w:pPr>
    </w:p>
    <w:p>
      <w:pPr>
        <w:spacing w:after="0"/>
      </w:pPr>
    </w:p>
    <w:tbl>
      <w:tblPr>
        <w:tblStyle w:val="TableGrid"/>
        <w:tblW w:type="auto" w:w="0"/>
        <w:jc w:val="center"/>
        <w:tblLook w:firstColumn="1" w:firstRow="1" w:lastColumn="0" w:lastRow="0" w:noHBand="0" w:noVBand="1" w:val="04A0"/>
      </w:tblPr>
      <w:tblGrid>
        <w:gridCol w:w="10224"/>
      </w:tblGrid>
      <w:tr>
        <w:tc>
          <w:tcPr>
            <w:tcW w:type="dxa" w:w="10224"/>
            <w:shd w:val="clear" w:color="auto" w:fill="4EA72E"/>
          </w:tcPr>
          <w:p>
            <w:pPr>
              <w:spacing w:before="40" w:after="40"/>
            </w:pPr>
            <w:r>
              <w:rPr>
                <w:b/>
                <w:sz w:val="22"/>
              </w:rPr>
              <w:t>Picture 3: Insert snapshot here</w:t>
            </w:r>
          </w:p>
        </w:tc>
      </w:tr>
    </w:tbl>
    <w:p>
      <w:pPr>
        <w:spacing w:after="40"/>
      </w:pPr>
    </w:p>
    <w:p>
      <w:pPr>
        <w:spacing w:after="0"/>
      </w:pPr>
    </w:p>
    <w:p>
      <w:pPr>
        <w:spacing w:after="0"/>
      </w:pPr>
    </w:p>
    <w:p>
      <w:pPr>
        <w:spacing w:after="0"/>
      </w:pPr>
    </w:p>
    <w:p>
      <w:pPr>
        <w:spacing w:after="0"/>
      </w:pPr>
    </w:p>
    <w:p>
      <w:pPr>
        <w:spacing w:after="0"/>
      </w:pPr>
    </w:p>
    <w:p>
      <w:pPr>
        <w:spacing w:after="0" w:before="0" w:line="20" w:lineRule="exact"/>
      </w:pPr>
      <w:r>
        <w:rPr>
          <w:sz w:val="2"/>
        </w:rPr>
        <w:br w:type="page"/>
      </w:r>
    </w:p>
    <w:p>
      <w:pPr>
        <w:keepNext/>
        <w:spacing w:before="160" w:after="80"/>
      </w:pPr>
      <w:r>
        <w:rPr>
          <w:b/>
          <w:sz w:val="24"/>
        </w:rPr>
        <w:t>1. AI Interaction Log (if applicable)</w:t>
      </w:r>
    </w:p>
    <w:p>
      <w:pPr>
        <w:spacing w:after="120"/>
        <w:jc w:val="both"/>
      </w:pPr>
      <w:r>
        <w:t>If your group used any Generative AI tool while completing the assessment, document how the tool was used. The log should demonstrate that AI supported the group's work rather than replacing the group's research, analysis, and decision-making.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72"/>
            <w:shd w:val="clear" w:color="auto" w:fill="4EA72E"/>
          </w:tcPr>
          <w:p>
            <w:r>
              <w:rPr>
                <w:b/>
                <w:sz w:val="18"/>
              </w:rPr>
              <w:t>Group Member</w:t>
            </w:r>
          </w:p>
        </w:tc>
        <w:tc>
          <w:tcPr>
            <w:tcW w:type="dxa" w:w="1296"/>
            <w:shd w:val="clear" w:color="auto" w:fill="4EA72E"/>
          </w:tcPr>
          <w:p>
            <w:r>
              <w:rPr>
                <w:b/>
                <w:sz w:val="18"/>
              </w:rPr>
              <w:t>AI Tool Used</w:t>
            </w:r>
          </w:p>
        </w:tc>
        <w:tc>
          <w:tcPr>
            <w:tcW w:type="dxa" w:w="2592"/>
            <w:shd w:val="clear" w:color="auto" w:fill="4EA72E"/>
          </w:tcPr>
          <w:p>
            <w:r>
              <w:rPr>
                <w:b/>
                <w:sz w:val="18"/>
              </w:rPr>
              <w:t>Prompt / Purpose</w:t>
            </w:r>
          </w:p>
        </w:tc>
        <w:tc>
          <w:tcPr>
            <w:tcW w:type="dxa" w:w="2016"/>
            <w:shd w:val="clear" w:color="auto" w:fill="4EA72E"/>
          </w:tcPr>
          <w:p>
            <w:r>
              <w:rPr>
                <w:b/>
                <w:sz w:val="18"/>
              </w:rPr>
              <w:t>AI Output Used For</w:t>
            </w:r>
          </w:p>
        </w:tc>
        <w:tc>
          <w:tcPr>
            <w:tcW w:type="dxa" w:w="2448"/>
            <w:shd w:val="clear" w:color="auto" w:fill="4EA72E"/>
          </w:tcPr>
          <w:p>
            <w:r>
              <w:rPr>
                <w:b/>
                <w:sz w:val="18"/>
              </w:rPr>
              <w:t>How the Output Was Verified or Modified</w:t>
            </w:r>
          </w:p>
        </w:tc>
      </w:tr>
      <w:tr>
        <w:tc>
          <w:tcPr>
            <w:tcW w:type="dxa" w:w="1872"/>
          </w:tcPr>
          <w:p>
            <w:r>
              <w:rPr>
                <w:sz w:val="18"/>
              </w:rPr>
              <w:t>Dawn Andrei Pamesa</w:t>
            </w:r>
          </w:p>
        </w:tc>
        <w:tc>
          <w:tcPr>
            <w:tcW w:type="dxa" w:w="1296"/>
          </w:tcPr>
          <w:p>
            <w:r>
              <w:rPr>
                <w:sz w:val="18"/>
              </w:rPr>
              <w:t>Claude</w:t>
            </w:r>
          </w:p>
        </w:tc>
        <w:tc>
          <w:tcPr>
            <w:tcW w:type="dxa" w:w="2592"/>
          </w:tcPr>
          <w:p>
            <w:r>
              <w:rPr>
                <w:sz w:val="18"/>
              </w:rPr>
              <w:t>Helped draft, organize, and format the revised feasibility studies and the RRL/RRS</w:t>
            </w:r>
          </w:p>
        </w:tc>
        <w:tc>
          <w:tcPr>
            <w:tcW w:type="dxa" w:w="2016"/>
          </w:tcPr>
          <w:p>
            <w:r>
              <w:rPr>
                <w:sz w:val="18"/>
              </w:rPr>
              <w:t>Drafting assistance and document formatting</w:t>
            </w:r>
          </w:p>
        </w:tc>
        <w:tc>
          <w:tcPr>
            <w:tcW w:type="dxa" w:w="2448"/>
          </w:tcPr>
          <w:p>
            <w:r>
              <w:rPr>
                <w:sz w:val="18"/>
              </w:rPr>
              <w:t>Every source was checked against its original publication or official page, and the content was reviewed and revised by the group</w:t>
            </w:r>
          </w:p>
        </w:tc>
      </w:tr>
      <w:tr>
        <w:tc>
          <w:tcPr>
            <w:tcW w:type="dxa" w:w="1872"/>
          </w:tcPr>
          <w:p>
            <w:r>
              <w:rPr>
                <w:sz w:val="18"/>
              </w:rPr>
              <w:t>Rogelio Porras</w:t>
            </w:r>
          </w:p>
        </w:tc>
        <w:tc>
          <w:tcPr>
            <w:tcW w:type="dxa" w:w="1296"/>
          </w:tcPr>
          <w:p>
            <w:r>
              <w:rPr>
                <w:sz w:val="18"/>
              </w:rPr>
              <w:t>ChatGPT</w:t>
            </w:r>
          </w:p>
        </w:tc>
        <w:tc>
          <w:tcPr>
            <w:tcW w:type="dxa" w:w="2592"/>
          </w:tcPr>
          <w:p>
            <w:r>
              <w:rPr>
                <w:sz w:val="18"/>
              </w:rPr>
              <w:t>Generated search keywords for related literature and studies on vegetable price forecasting</w:t>
            </w:r>
          </w:p>
        </w:tc>
        <w:tc>
          <w:tcPr>
            <w:tcW w:type="dxa" w:w="2016"/>
          </w:tcPr>
          <w:p>
            <w:r>
              <w:rPr>
                <w:sz w:val="18"/>
              </w:rPr>
              <w:t>Research keyword generation and research assistance</w:t>
            </w:r>
          </w:p>
        </w:tc>
        <w:tc>
          <w:tcPr>
            <w:tcW w:type="dxa" w:w="2448"/>
          </w:tcPr>
          <w:p>
            <w:r>
              <w:rPr>
                <w:sz w:val="18"/>
              </w:rPr>
              <w:t>Sources were independently searched, read, and verified by the group</w:t>
            </w:r>
          </w:p>
        </w:tc>
      </w:tr>
      <w:tr>
        <w:tc>
          <w:tcPr>
            <w:tcW w:type="dxa" w:w="1872"/>
          </w:tcPr>
          <w:p>
            <w:r>
              <w:rPr>
                <w:sz w:val="18"/>
              </w:rPr>
              <w:t>John Ashley Alba</w:t>
            </w:r>
          </w:p>
        </w:tc>
        <w:tc>
          <w:tcPr>
            <w:tcW w:type="dxa" w:w="1296"/>
          </w:tcPr>
          <w:p>
            <w:r>
              <w:rPr>
                <w:sz w:val="18"/>
              </w:rPr>
              <w:t>ChatGPT</w:t>
            </w:r>
          </w:p>
        </w:tc>
        <w:tc>
          <w:tcPr>
            <w:tcW w:type="dxa" w:w="2592"/>
          </w:tcPr>
          <w:p>
            <w:r>
              <w:rPr>
                <w:sz w:val="18"/>
              </w:rPr>
              <w:t>Generated search keywords for related literature and studies on health record data quality</w:t>
            </w:r>
          </w:p>
        </w:tc>
        <w:tc>
          <w:tcPr>
            <w:tcW w:type="dxa" w:w="2016"/>
          </w:tcPr>
          <w:p>
            <w:r>
              <w:rPr>
                <w:sz w:val="18"/>
              </w:rPr>
              <w:t>Research keyword generation and research assistance</w:t>
            </w:r>
          </w:p>
        </w:tc>
        <w:tc>
          <w:tcPr>
            <w:tcW w:type="dxa" w:w="2448"/>
          </w:tcPr>
          <w:p>
            <w:r>
              <w:rPr>
                <w:sz w:val="18"/>
              </w:rPr>
              <w:t>Sources were independently searched, read, and verified by the group</w:t>
            </w:r>
          </w:p>
        </w:tc>
      </w:tr>
      <w:tr>
        <w:tc>
          <w:tcPr>
            <w:tcW w:type="dxa" w:w="1872"/>
          </w:tcPr>
          <w:p>
            <w:r>
              <w:rPr>
                <w:sz w:val="18"/>
              </w:rPr>
              <w:t>Ralph Blanco</w:t>
            </w:r>
          </w:p>
        </w:tc>
        <w:tc>
          <w:tcPr>
            <w:tcW w:type="dxa" w:w="1296"/>
          </w:tcPr>
          <w:p>
            <w:r>
              <w:rPr>
                <w:sz w:val="18"/>
              </w:rPr>
              <w:t>ChatGPT</w:t>
            </w:r>
          </w:p>
        </w:tc>
        <w:tc>
          <w:tcPr>
            <w:tcW w:type="dxa" w:w="2592"/>
          </w:tcPr>
          <w:p>
            <w:r>
              <w:rPr>
                <w:sz w:val="18"/>
              </w:rPr>
              <w:t>Generated search keywords for related literature and studies on perishable retail pricing</w:t>
            </w:r>
          </w:p>
        </w:tc>
        <w:tc>
          <w:tcPr>
            <w:tcW w:type="dxa" w:w="2016"/>
          </w:tcPr>
          <w:p>
            <w:r>
              <w:rPr>
                <w:sz w:val="18"/>
              </w:rPr>
              <w:t>Research keyword generation and research assistance</w:t>
            </w:r>
          </w:p>
        </w:tc>
        <w:tc>
          <w:tcPr>
            <w:tcW w:type="dxa" w:w="2448"/>
          </w:tcPr>
          <w:p>
            <w:r>
              <w:rPr>
                <w:sz w:val="18"/>
              </w:rPr>
              <w:t>Sources were independently searched, read, and verified by the group</w:t>
            </w:r>
          </w:p>
        </w:tc>
      </w:tr>
    </w:tbl>
    <w:p>
      <w:pPr>
        <w:spacing w:after="40"/>
      </w:pPr>
    </w:p>
    <w:p>
      <w:pPr>
        <w:keepNext/>
        <w:spacing w:before="160" w:after="80"/>
      </w:pPr>
      <w:r>
        <w:rPr>
          <w:b/>
          <w:sz w:val="24"/>
        </w:rPr>
        <w:t>2. AI Usage Declaration</w:t>
      </w:r>
    </w:p>
    <w:p>
      <w:pPr>
        <w:spacing w:after="120"/>
        <w:jc w:val="both"/>
      </w:pPr>
      <w:r>
        <w:t xml:space="preserve">We declare that any use of Generative AI in completing this Technical Assessment has been properly disclosed in the </w:t>
      </w:r>
      <w:r>
        <w:rPr>
          <w:b/>
        </w:rPr>
        <w:t>AI Interaction Log</w:t>
      </w:r>
      <w:r>
        <w:t>. We understand that AI is used only as an assistive tool and that our group remains responsible for verifying the accuracy, relevance, credibility, and originality of the submitted work.</w:t>
      </w:r>
    </w:p>
    <w:p>
      <w:pPr>
        <w:spacing w:after="120"/>
        <w:jc w:val="both"/>
      </w:pPr>
      <w:r>
        <w:t>We confirm that the final RRL/RRS, analysis, proposed title, and research outputs reflect our group's understanding and decisions. All literature, studies, and other external sources used have been properly cited and verified.</w:t>
      </w:r>
    </w:p>
    <w:p>
      <w:pPr>
        <w:spacing w:after="120"/>
        <w:jc w:val="left"/>
      </w:pPr>
      <w:r>
        <w:rPr>
          <w:b/>
        </w:rPr>
        <w:t>Group Name:</w:t>
      </w:r>
      <w:r>
        <w:t xml:space="preserve"> Statisfied</w:t>
      </w:r>
    </w:p>
    <w:tbl>
      <w:tblPr>
        <w:tblStyle w:val="TableGrid"/>
        <w:tblW w:type="auto" w:w="0"/>
        <w:jc w:val="center"/>
        <w:tblLook w:firstColumn="1" w:firstRow="1" w:lastColumn="0" w:lastRow="0" w:noHBand="0" w:noVBand="1" w:val="04A0"/>
      </w:tblPr>
      <w:tblGrid>
        <w:gridCol w:w="5112"/>
        <w:gridCol w:w="5112"/>
      </w:tblGrid>
      <w:tr>
        <w:tc>
          <w:tcPr>
            <w:tcW w:type="dxa" w:w="5040"/>
            <w:shd w:val="clear" w:color="auto" w:fill="4EA72E"/>
          </w:tcPr>
          <w:p>
            <w:r>
              <w:rPr>
                <w:b/>
                <w:sz w:val="18"/>
              </w:rPr>
              <w:t>Group Member</w:t>
            </w:r>
          </w:p>
        </w:tc>
        <w:tc>
          <w:tcPr>
            <w:tcW w:type="dxa" w:w="5040"/>
            <w:shd w:val="clear" w:color="auto" w:fill="4EA72E"/>
          </w:tcPr>
          <w:p>
            <w:r>
              <w:rPr>
                <w:b/>
                <w:sz w:val="18"/>
              </w:rPr>
              <w:t>Signature</w:t>
            </w:r>
          </w:p>
        </w:tc>
      </w:tr>
      <w:tr>
        <w:tc>
          <w:tcPr>
            <w:tcW w:type="dxa" w:w="5040"/>
          </w:tcPr>
          <w:p>
            <w:r>
              <w:rPr>
                <w:sz w:val="18"/>
              </w:rPr>
              <w:t>Dawn Andrei Pamesa</w:t>
            </w:r>
          </w:p>
        </w:tc>
        <w:tc>
          <w:tcPr>
            <w:tcW w:type="dxa" w:w="5040"/>
          </w:tcPr>
          <w:p/>
        </w:tc>
      </w:tr>
      <w:tr>
        <w:tc>
          <w:tcPr>
            <w:tcW w:type="dxa" w:w="5040"/>
          </w:tcPr>
          <w:p>
            <w:r>
              <w:rPr>
                <w:sz w:val="18"/>
              </w:rPr>
              <w:t>Rogelio Porras</w:t>
            </w:r>
          </w:p>
        </w:tc>
        <w:tc>
          <w:tcPr>
            <w:tcW w:type="dxa" w:w="5040"/>
          </w:tcPr>
          <w:p/>
        </w:tc>
      </w:tr>
      <w:tr>
        <w:tc>
          <w:tcPr>
            <w:tcW w:type="dxa" w:w="5040"/>
          </w:tcPr>
          <w:p>
            <w:r>
              <w:rPr>
                <w:sz w:val="18"/>
              </w:rPr>
              <w:t>John Ashley Alba</w:t>
            </w:r>
          </w:p>
        </w:tc>
        <w:tc>
          <w:tcPr>
            <w:tcW w:type="dxa" w:w="5040"/>
          </w:tcPr>
          <w:p/>
        </w:tc>
      </w:tr>
      <w:tr>
        <w:tc>
          <w:tcPr>
            <w:tcW w:type="dxa" w:w="5040"/>
          </w:tcPr>
          <w:p>
            <w:r>
              <w:rPr>
                <w:sz w:val="18"/>
              </w:rPr>
              <w:t>Ralph Blanco</w:t>
            </w:r>
          </w:p>
        </w:tc>
        <w:tc>
          <w:tcPr>
            <w:tcW w:type="dxa" w:w="5040"/>
          </w:tcPr>
          <w:p/>
        </w:tc>
      </w:tr>
    </w:tbl>
    <w:p>
      <w:pPr>
        <w:spacing w:after="40"/>
      </w:pPr>
    </w:p>
    <w:p>
      <w:pPr>
        <w:spacing w:after="120"/>
        <w:jc w:val="left"/>
      </w:pPr>
      <w:r>
        <w:rPr>
          <w:b/>
        </w:rPr>
        <w:t>Date:</w:t>
      </w:r>
      <w:r>
        <w:t xml:space="preserve"> September 24, 2026</w:t>
      </w:r>
    </w:p>
    <w:p>
      <w:r>
        <w:br w:type="page"/>
      </w:r>
    </w:p>
    <w:p>
      <w:pPr>
        <w:keepNext/>
        <w:spacing w:before="160" w:after="80"/>
      </w:pPr>
      <w:r>
        <w:rPr>
          <w:b/>
          <w:sz w:val="24"/>
        </w:rPr>
        <w:t>3. Team Contribution Matrix</w:t>
      </w:r>
    </w:p>
    <w:p>
      <w:pPr>
        <w:spacing w:after="120"/>
        <w:jc w:val="both"/>
      </w:pPr>
      <w:r>
        <w:t>Complete the Team Contribution Matrix to document each member's participation in the assessment. Contributions should accurately reflect the work performed by each member.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shd w:val="clear" w:color="auto" w:fill="4EA72E"/>
          </w:tcPr>
          <w:p>
            <w:r>
              <w:rPr>
                <w:b/>
                <w:sz w:val="18"/>
              </w:rPr>
              <w:t>Group Member</w:t>
            </w:r>
          </w:p>
        </w:tc>
        <w:tc>
          <w:tcPr>
            <w:tcW w:type="dxa" w:w="2736"/>
            <w:shd w:val="clear" w:color="auto" w:fill="4EA72E"/>
          </w:tcPr>
          <w:p>
            <w:r>
              <w:rPr>
                <w:b/>
                <w:sz w:val="18"/>
              </w:rPr>
              <w:t>Assigned Task/Responsibility</w:t>
            </w:r>
          </w:p>
        </w:tc>
        <w:tc>
          <w:tcPr>
            <w:tcW w:type="dxa" w:w="3600"/>
            <w:shd w:val="clear" w:color="auto" w:fill="4EA72E"/>
          </w:tcPr>
          <w:p>
            <w:r>
              <w:rPr>
                <w:b/>
                <w:sz w:val="18"/>
              </w:rPr>
              <w:t>Specific Contribution/Output</w:t>
            </w:r>
          </w:p>
        </w:tc>
        <w:tc>
          <w:tcPr>
            <w:tcW w:type="dxa" w:w="1584"/>
            <w:shd w:val="clear" w:color="auto" w:fill="4EA72E"/>
          </w:tcPr>
          <w:p>
            <w:r>
              <w:rPr>
                <w:b/>
                <w:sz w:val="18"/>
              </w:rPr>
              <w:t>Contribution (%)</w:t>
            </w:r>
          </w:p>
        </w:tc>
      </w:tr>
      <w:tr>
        <w:tc>
          <w:tcPr>
            <w:tcW w:type="dxa" w:w="2304"/>
          </w:tcPr>
          <w:p>
            <w:r>
              <w:rPr>
                <w:sz w:val="18"/>
              </w:rPr>
              <w:t>Dawn Andrei Pamesa</w:t>
            </w:r>
          </w:p>
        </w:tc>
        <w:tc>
          <w:tcPr>
            <w:tcW w:type="dxa" w:w="2736"/>
          </w:tcPr>
          <w:p>
            <w:r>
              <w:rPr>
                <w:sz w:val="18"/>
              </w:rPr>
              <w:t>Group leader; Titles 2, 3, and 6; partner outreach</w:t>
            </w:r>
          </w:p>
        </w:tc>
        <w:tc>
          <w:tcPr>
            <w:tcW w:type="dxa" w:w="3600"/>
          </w:tcPr>
          <w:p>
            <w:r>
              <w:rPr>
                <w:sz w:val="18"/>
              </w:rPr>
              <w:t>Revised feasibility studies and RRL/RRS for Titles 2, 3, and 6; partner letters; compiled and formatted the full paper</w:t>
            </w:r>
          </w:p>
        </w:tc>
        <w:tc>
          <w:tcPr>
            <w:tcW w:type="dxa" w:w="1584"/>
          </w:tcPr>
          <w:p>
            <w:r>
              <w:rPr>
                <w:sz w:val="18"/>
                <w:highlight w:val="yellow"/>
              </w:rPr>
              <w:t>[%]</w:t>
            </w:r>
          </w:p>
        </w:tc>
      </w:tr>
      <w:tr>
        <w:tc>
          <w:tcPr>
            <w:tcW w:type="dxa" w:w="2304"/>
          </w:tcPr>
          <w:p>
            <w:r>
              <w:rPr>
                <w:sz w:val="18"/>
              </w:rPr>
              <w:t>Rogelio Porras</w:t>
            </w:r>
          </w:p>
        </w:tc>
        <w:tc>
          <w:tcPr>
            <w:tcW w:type="dxa" w:w="2736"/>
          </w:tcPr>
          <w:p>
            <w:r>
              <w:rPr>
                <w:sz w:val="18"/>
              </w:rPr>
              <w:t>Title 1</w:t>
            </w:r>
          </w:p>
        </w:tc>
        <w:tc>
          <w:tcPr>
            <w:tcW w:type="dxa" w:w="3600"/>
          </w:tcPr>
          <w:p>
            <w:r>
              <w:rPr>
                <w:sz w:val="18"/>
              </w:rPr>
              <w:t>RRL/RRS for the BAPTC title</w:t>
            </w:r>
          </w:p>
        </w:tc>
        <w:tc>
          <w:tcPr>
            <w:tcW w:type="dxa" w:w="1584"/>
          </w:tcPr>
          <w:p>
            <w:r>
              <w:rPr>
                <w:sz w:val="18"/>
                <w:highlight w:val="yellow"/>
              </w:rPr>
              <w:t>[%]</w:t>
            </w:r>
          </w:p>
        </w:tc>
      </w:tr>
      <w:tr>
        <w:tc>
          <w:tcPr>
            <w:tcW w:type="dxa" w:w="2304"/>
          </w:tcPr>
          <w:p>
            <w:r>
              <w:rPr>
                <w:sz w:val="18"/>
              </w:rPr>
              <w:t>John Ashley Alba</w:t>
            </w:r>
          </w:p>
        </w:tc>
        <w:tc>
          <w:tcPr>
            <w:tcW w:type="dxa" w:w="2736"/>
          </w:tcPr>
          <w:p>
            <w:r>
              <w:rPr>
                <w:sz w:val="18"/>
              </w:rPr>
              <w:t>Title 4</w:t>
            </w:r>
          </w:p>
        </w:tc>
        <w:tc>
          <w:tcPr>
            <w:tcW w:type="dxa" w:w="3600"/>
          </w:tcPr>
          <w:p>
            <w:r>
              <w:rPr>
                <w:sz w:val="18"/>
              </w:rPr>
              <w:t>Revised feasibility study and RRL/RRS for the child immunization title</w:t>
            </w:r>
          </w:p>
        </w:tc>
        <w:tc>
          <w:tcPr>
            <w:tcW w:type="dxa" w:w="1584"/>
          </w:tcPr>
          <w:p>
            <w:r>
              <w:rPr>
                <w:sz w:val="18"/>
                <w:highlight w:val="yellow"/>
              </w:rPr>
              <w:t>[%]</w:t>
            </w:r>
          </w:p>
        </w:tc>
      </w:tr>
      <w:tr>
        <w:tc>
          <w:tcPr>
            <w:tcW w:type="dxa" w:w="2304"/>
          </w:tcPr>
          <w:p>
            <w:r>
              <w:rPr>
                <w:sz w:val="18"/>
              </w:rPr>
              <w:t>Ralph Blanco</w:t>
            </w:r>
          </w:p>
        </w:tc>
        <w:tc>
          <w:tcPr>
            <w:tcW w:type="dxa" w:w="2736"/>
          </w:tcPr>
          <w:p>
            <w:r>
              <w:rPr>
                <w:sz w:val="18"/>
              </w:rPr>
              <w:t>Title 5</w:t>
            </w:r>
          </w:p>
        </w:tc>
        <w:tc>
          <w:tcPr>
            <w:tcW w:type="dxa" w:w="3600"/>
          </w:tcPr>
          <w:p>
            <w:r>
              <w:rPr>
                <w:sz w:val="18"/>
              </w:rPr>
              <w:t>Revised feasibility study and RRL/RRS for the milk retail title</w:t>
            </w:r>
          </w:p>
        </w:tc>
        <w:tc>
          <w:tcPr>
            <w:tcW w:type="dxa" w:w="1584"/>
          </w:tcPr>
          <w:p>
            <w:r>
              <w:rPr>
                <w:sz w:val="18"/>
                <w:highlight w:val="yellow"/>
              </w:rPr>
              <w:t>[%]</w:t>
            </w:r>
          </w:p>
        </w:tc>
      </w:tr>
      <w:tr>
        <w:tc>
          <w:tcPr>
            <w:tcW w:type="dxa" w:w="2304"/>
          </w:tcPr>
          <w:p/>
        </w:tc>
        <w:tc>
          <w:tcPr>
            <w:tcW w:type="dxa" w:w="2736"/>
          </w:tcPr>
          <w:p/>
        </w:tc>
        <w:tc>
          <w:tcPr>
            <w:tcW w:type="dxa" w:w="3600"/>
          </w:tcPr>
          <w:p>
            <w:r>
              <w:rPr>
                <w:b/>
                <w:sz w:val="18"/>
              </w:rPr>
              <w:t>Total</w:t>
            </w:r>
          </w:p>
        </w:tc>
        <w:tc>
          <w:tcPr>
            <w:tcW w:type="dxa" w:w="1584"/>
          </w:tcPr>
          <w:p>
            <w:r>
              <w:rPr>
                <w:b/>
                <w:sz w:val="18"/>
              </w:rPr>
              <w:t>100%</w:t>
            </w:r>
          </w:p>
        </w:tc>
      </w:tr>
    </w:tbl>
    <w:p>
      <w:pPr>
        <w:spacing w:after="40"/>
      </w:pPr>
    </w:p>
    <w:p>
      <w:pPr>
        <w:spacing w:after="120"/>
        <w:jc w:val="both"/>
      </w:pPr>
      <w:r>
        <w:t xml:space="preserve">Each member is expected to participate meaningfully in the completion of the assessment. The </w:t>
      </w:r>
      <w:r>
        <w:rPr>
          <w:b/>
        </w:rPr>
        <w:t>total contribution percentage must equal 100%</w:t>
      </w:r>
      <w:r>
        <w:t>.</w:t>
      </w:r>
    </w:p>
    <w:sectPr w:rsidR="00706138" w:rsidSect="00034616">
      <w:headerReference w:type="default" r:id="rId8"/>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78791" w14:textId="77777777" w:rsidR="00056F49" w:rsidRDefault="00056F49">
      <w:pPr>
        <w:spacing w:after="0" w:line="240" w:lineRule="auto"/>
      </w:pPr>
      <w:r>
        <w:separator/>
      </w:r>
    </w:p>
  </w:endnote>
  <w:endnote w:type="continuationSeparator" w:id="0">
    <w:p w14:paraId="64A41235" w14:textId="77777777" w:rsidR="00056F49" w:rsidRDefault="00056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78EAC" w14:textId="77777777" w:rsidR="00056F49" w:rsidRDefault="00056F49">
      <w:pPr>
        <w:spacing w:after="0" w:line="240" w:lineRule="auto"/>
      </w:pPr>
      <w:r>
        <w:separator/>
      </w:r>
    </w:p>
  </w:footnote>
  <w:footnote w:type="continuationSeparator" w:id="0">
    <w:p w14:paraId="07629A49" w14:textId="77777777" w:rsidR="00056F49" w:rsidRDefault="00056F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F22DF" w14:textId="77777777" w:rsidR="00706138" w:rsidRDefault="00000000">
    <w:pPr>
      <w:pStyle w:val="Header"/>
      <w:spacing w:after="120"/>
      <w:jc w:val="center"/>
    </w:pPr>
    <w:r>
      <w:rPr>
        <w:noProof/>
      </w:rPr>
      <w:drawing>
        <wp:inline distT="0" distB="0" distL="0" distR="0" wp14:anchorId="4318CE26" wp14:editId="29A955A8">
          <wp:extent cx="3291840" cy="598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u_logo_flat.png"/>
                  <pic:cNvPicPr/>
                </pic:nvPicPr>
                <pic:blipFill>
                  <a:blip r:embed="rId1"/>
                  <a:stretch>
                    <a:fillRect/>
                  </a:stretch>
                </pic:blipFill>
                <pic:spPr>
                  <a:xfrm>
                    <a:off x="0" y="0"/>
                    <a:ext cx="3291840" cy="59891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8572044">
    <w:abstractNumId w:val="8"/>
  </w:num>
  <w:num w:numId="2" w16cid:durableId="623080049">
    <w:abstractNumId w:val="6"/>
  </w:num>
  <w:num w:numId="3" w16cid:durableId="1909001684">
    <w:abstractNumId w:val="5"/>
  </w:num>
  <w:num w:numId="4" w16cid:durableId="807627490">
    <w:abstractNumId w:val="4"/>
  </w:num>
  <w:num w:numId="5" w16cid:durableId="263460267">
    <w:abstractNumId w:val="7"/>
  </w:num>
  <w:num w:numId="6" w16cid:durableId="415058943">
    <w:abstractNumId w:val="3"/>
  </w:num>
  <w:num w:numId="7" w16cid:durableId="594483956">
    <w:abstractNumId w:val="2"/>
  </w:num>
  <w:num w:numId="8" w16cid:durableId="1045183236">
    <w:abstractNumId w:val="1"/>
  </w:num>
  <w:num w:numId="9" w16cid:durableId="1626427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F49"/>
    <w:rsid w:val="0006063C"/>
    <w:rsid w:val="000F02E0"/>
    <w:rsid w:val="00144D5A"/>
    <w:rsid w:val="0015074B"/>
    <w:rsid w:val="001B23AD"/>
    <w:rsid w:val="001C4284"/>
    <w:rsid w:val="0029639D"/>
    <w:rsid w:val="00305DA7"/>
    <w:rsid w:val="00326F90"/>
    <w:rsid w:val="003F7901"/>
    <w:rsid w:val="00706138"/>
    <w:rsid w:val="00AA1D8D"/>
    <w:rsid w:val="00B47730"/>
    <w:rsid w:val="00CB0664"/>
    <w:rsid w:val="00CB276A"/>
    <w:rsid w:val="00EF1415"/>
    <w:rsid w:val="00F525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1D9EB"/>
  <w14:defaultImageDpi w14:val="300"/>
  <w15:docId w15:val="{7FBE4AE8-3012-4634-A4E3-238964CEF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44</Pages>
  <Words>20512</Words>
  <Characters>116919</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DAWN ANDREI PAMESA</cp:lastModifiedBy>
  <cp:revision>5</cp:revision>
  <dcterms:created xsi:type="dcterms:W3CDTF">2013-12-23T23:15:00Z</dcterms:created>
  <dcterms:modified xsi:type="dcterms:W3CDTF">2026-09-16T17:57:00Z</dcterms:modified>
  <cp:category/>
</cp:coreProperties>
</file>