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Statisfied (TS31): TA2 Working Draft, Dawn's Titles</w:t>
      </w:r>
    </w:p>
    <w:p>
      <w:pPr>
        <w:spacing w:after="240"/>
        <w:jc w:val="center"/>
      </w:pPr>
      <w:r>
        <w:t>Titles 2, 3 and 6, Chapters 1 to 3. To be merged into the group paper after revision.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432"/>
            <w:shd w:val="clear" w:color="auto" w:fill="EDEDED"/>
          </w:tcPr>
          <w:p>
            <w:r/>
            <w:r>
              <w:rPr>
                <w:b/>
                <w:sz w:val="18"/>
              </w:rPr>
              <w:t>#</w:t>
            </w:r>
          </w:p>
        </w:tc>
        <w:tc>
          <w:tcPr>
            <w:tcW w:type="dxa" w:w="5472"/>
            <w:shd w:val="clear" w:color="auto" w:fill="EDEDED"/>
          </w:tcPr>
          <w:p>
            <w:r/>
            <w:r>
              <w:rPr>
                <w:b/>
                <w:sz w:val="18"/>
              </w:rPr>
              <w:t>Proposed Thesis Title</w:t>
            </w:r>
          </w:p>
        </w:tc>
        <w:tc>
          <w:tcPr>
            <w:tcW w:type="dxa" w:w="2016"/>
            <w:shd w:val="clear" w:color="auto" w:fill="EDEDED"/>
          </w:tcPr>
          <w:p>
            <w:r/>
            <w:r>
              <w:rPr>
                <w:b/>
                <w:sz w:val="18"/>
              </w:rPr>
              <w:t>Partner</w:t>
            </w:r>
          </w:p>
        </w:tc>
        <w:tc>
          <w:tcPr>
            <w:tcW w:type="dxa" w:w="2304"/>
            <w:shd w:val="clear" w:color="auto" w:fill="EDEDED"/>
          </w:tcPr>
          <w:p>
            <w:r/>
            <w:r>
              <w:rPr>
                <w:b/>
                <w:sz w:val="18"/>
              </w:rPr>
              <w:t>Status</w:t>
            </w:r>
          </w:p>
        </w:tc>
      </w:tr>
      <w:tr>
        <w:tc>
          <w:tcPr>
            <w:tcW w:type="dxa" w:w="432"/>
          </w:tcPr>
          <w:p>
            <w:r/>
            <w:r>
              <w:rPr>
                <w:sz w:val="18"/>
              </w:rPr>
              <w:t>2</w:t>
            </w:r>
          </w:p>
        </w:tc>
        <w:tc>
          <w:tcPr>
            <w:tcW w:type="dxa" w:w="5472"/>
          </w:tcPr>
          <w:p>
            <w:r/>
            <w:r>
              <w:rPr>
                <w:sz w:val="18"/>
              </w:rPr>
              <w:t>A Data Governance System for Verifiable CSR Impact Reporting Using Fellegi-Sunter Record Linkage</w:t>
            </w:r>
          </w:p>
        </w:tc>
        <w:tc>
          <w:tcPr>
            <w:tcW w:type="dxa" w:w="2016"/>
          </w:tcPr>
          <w:p>
            <w:r/>
            <w:r>
              <w:rPr>
                <w:sz w:val="18"/>
              </w:rPr>
              <w:t>SM Foundation</w:t>
            </w:r>
          </w:p>
        </w:tc>
        <w:tc>
          <w:tcPr>
            <w:tcW w:type="dxa" w:w="2304"/>
          </w:tcPr>
          <w:p>
            <w:r/>
            <w:r>
              <w:rPr>
                <w:sz w:val="18"/>
              </w:rPr>
              <w:t>Letter sent September 23, 2026; reply pending</w:t>
            </w:r>
          </w:p>
        </w:tc>
      </w:tr>
      <w:tr>
        <w:tc>
          <w:tcPr>
            <w:tcW w:type="dxa" w:w="432"/>
          </w:tcPr>
          <w:p>
            <w:r/>
            <w:r>
              <w:rPr>
                <w:sz w:val="18"/>
              </w:rPr>
              <w:t>3</w:t>
            </w:r>
          </w:p>
        </w:tc>
        <w:tc>
          <w:tcPr>
            <w:tcW w:type="dxa" w:w="5472"/>
          </w:tcPr>
          <w:p>
            <w:r/>
            <w:r>
              <w:rPr>
                <w:sz w:val="18"/>
              </w:rPr>
              <w:t>A Data Governance System for Privacy Release Readiness of Quezon City Open Data Using Mondrian k-Anonymity</w:t>
            </w:r>
          </w:p>
        </w:tc>
        <w:tc>
          <w:tcPr>
            <w:tcW w:type="dxa" w:w="2016"/>
          </w:tcPr>
          <w:p>
            <w:r/>
            <w:r>
              <w:rPr>
                <w:sz w:val="18"/>
              </w:rPr>
              <w:t>Quezon City ITDD</w:t>
            </w:r>
          </w:p>
        </w:tc>
        <w:tc>
          <w:tcPr>
            <w:tcW w:type="dxa" w:w="2304"/>
          </w:tcPr>
          <w:p>
            <w:r/>
            <w:r>
              <w:rPr>
                <w:sz w:val="18"/>
              </w:rPr>
              <w:t>Letter sent; reply pending</w:t>
            </w:r>
          </w:p>
        </w:tc>
      </w:tr>
      <w:tr>
        <w:tc>
          <w:tcPr>
            <w:tcW w:type="dxa" w:w="432"/>
          </w:tcPr>
          <w:p>
            <w:r/>
            <w:r>
              <w:rPr>
                <w:sz w:val="18"/>
              </w:rPr>
              <w:t>6</w:t>
            </w:r>
          </w:p>
        </w:tc>
        <w:tc>
          <w:tcPr>
            <w:tcW w:type="dxa" w:w="5472"/>
          </w:tcPr>
          <w:p>
            <w:r/>
            <w:r>
              <w:rPr>
                <w:sz w:val="18"/>
              </w:rPr>
              <w:t>A Personal Data Detection and Redaction Governance System for Contact Centers Using Conditional Random Fields</w:t>
            </w:r>
          </w:p>
        </w:tc>
        <w:tc>
          <w:tcPr>
            <w:tcW w:type="dxa" w:w="2016"/>
          </w:tcPr>
          <w:p>
            <w:r/>
            <w:r>
              <w:rPr>
                <w:sz w:val="18"/>
              </w:rPr>
              <w:t>Transcom Philippines</w:t>
            </w:r>
          </w:p>
        </w:tc>
        <w:tc>
          <w:tcPr>
            <w:tcW w:type="dxa" w:w="2304"/>
          </w:tcPr>
          <w:p>
            <w:r/>
            <w:r>
              <w:rPr>
                <w:sz w:val="18"/>
              </w:rPr>
              <w:t>Letter sent through a classmate's contact; reply pending</w:t>
            </w:r>
          </w:p>
        </w:tc>
      </w:tr>
    </w:tbl>
    <w:p>
      <w:pPr>
        <w:spacing w:after="40"/>
      </w:pP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2 OF 6</w:t>
            </w:r>
          </w:p>
          <w:p>
            <w:r>
              <w:rPr>
                <w:color w:val="E0E0E0"/>
                <w:sz w:val="18"/>
              </w:rPr>
              <w:t>A Data Governance System for Verifiable CSR Impact Reporting Using Fellegi-Sunter Record Linkage</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Data Mining and Data Visualization.  </w:t>
      </w:r>
      <w:r>
        <w:rPr>
          <w:b/>
        </w:rPr>
        <w:t>Partner:</w:t>
      </w:r>
      <w:r>
        <w:t xml:space="preserve"> SM Foundation, Kabalikat sa Kabuhayan (KSK) farmers training programme.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SM Foundation's Kabalikat sa Kabuhayan programme has trained farmers in sustainable agriculture since 2007. The programme runs in numbered batches of about fourteen weeks each, at training sites across Luzon, the Visayas, and Mindanao, and has passed its four hundredth batch. The Foundation reports the programme's reach as a count of farmer graduates, and that figure is used in corporate social responsibility and sustainability reporting.</w:t>
      </w:r>
    </w:p>
    <w:p>
      <w:pPr>
        <w:spacing w:after="120"/>
        <w:jc w:val="both"/>
      </w:pPr>
      <w:r>
        <w:t xml:space="preserve">The totals published in different Foundation communications do not match. </w:t>
      </w:r>
      <w:r>
        <w:rPr>
          <w:highlight w:val="yellow"/>
        </w:rPr>
        <w:t>[Cite the KSK programme page and the July 2025 news coverage, which the group retrieved on September 20, 2026.]</w:t>
      </w:r>
      <w:r>
        <w:t xml:space="preserve"> This is not a sign of careless reporting. It is what happens when a programme accumulates its total by adding up independent site and batch records for nearly twenty years without one shared identifier for each farmer. A farmer who attends two batches, or whose name is spelled differently at two sites, can be counted twice, and nobody can say how often this happens.</w:t>
      </w:r>
    </w:p>
    <w:p>
      <w:pPr>
        <w:keepNext/>
        <w:spacing w:before="160" w:after="80"/>
      </w:pPr>
      <w:r>
        <w:rPr>
          <w:b/>
          <w:sz w:val="22"/>
        </w:rPr>
        <w:t>1.2 Statement of the Problem</w:t>
      </w:r>
    </w:p>
    <w:p>
      <w:pPr>
        <w:spacing w:after="120"/>
        <w:jc w:val="both"/>
      </w:pPr>
      <w:r>
        <w:t>The KSK programme has no defensible, deduplicated count of the farmers it has trained. This study seeks to answer the following questions:</w:t>
      </w:r>
    </w:p>
    <w:p>
      <w:pPr>
        <w:spacing w:after="60"/>
        <w:jc w:val="both"/>
        <w:numPr>
          <w:ilvl w:val="0"/>
          <w:numId w:val="10"/>
        </w:numPr>
      </w:pPr>
      <w:r>
        <w:t>What proportion of KSK training records refer to farmers already recorded in an earlier batch or at another site?</w:t>
      </w:r>
    </w:p>
    <w:p>
      <w:pPr>
        <w:spacing w:after="60"/>
        <w:jc w:val="both"/>
        <w:numPr>
          <w:ilvl w:val="0"/>
          <w:numId w:val="10"/>
        </w:numPr>
      </w:pPr>
      <w:r>
        <w:t>Which blocking and comparison strategies perform best on Philippine personal names, given spelling variants, nicknames, maternal surnames, and married-name changes?</w:t>
      </w:r>
    </w:p>
    <w:p>
      <w:pPr>
        <w:spacing w:after="60"/>
        <w:jc w:val="both"/>
        <w:numPr>
          <w:ilvl w:val="0"/>
          <w:numId w:val="10"/>
        </w:numPr>
      </w:pPr>
      <w:r>
        <w:t>What is the linkage error, measured as precision and recall against a manually reviewed sample, and how do the two Fellegi-Sunter thresholds change it?</w:t>
      </w:r>
    </w:p>
    <w:p>
      <w:pPr>
        <w:spacing w:after="60"/>
        <w:jc w:val="both"/>
        <w:numPr>
          <w:ilvl w:val="0"/>
          <w:numId w:val="10"/>
        </w:numPr>
      </w:pPr>
      <w:r>
        <w:t>What is the deduplicated beneficiary count, with its uncertainty, and how does it compare with the published figures?</w:t>
      </w:r>
    </w:p>
    <w:p>
      <w:pPr>
        <w:spacing w:after="0"/>
      </w:pPr>
    </w:p>
    <w:p>
      <w:pPr>
        <w:keepNext/>
        <w:spacing w:before="160" w:after="80"/>
      </w:pPr>
      <w:r>
        <w:rPr>
          <w:b/>
          <w:sz w:val="22"/>
        </w:rPr>
        <w:t>1.3 Objectives of the Study</w:t>
      </w:r>
    </w:p>
    <w:p>
      <w:pPr>
        <w:spacing w:after="120"/>
        <w:jc w:val="both"/>
      </w:pPr>
      <w:r>
        <w:rPr>
          <w:b/>
        </w:rPr>
        <w:t>General objective.</w:t>
      </w:r>
      <w:r>
        <w:t xml:space="preserve"> To design and evaluate a probabilistic record linkage system that resolves duplicate and variant farmer training records across sites and batches, producing a deduplicated beneficiary count with quantified linkage error suitable for impact disclosure.</w:t>
      </w:r>
    </w:p>
    <w:p>
      <w:pPr>
        <w:spacing w:after="120"/>
        <w:jc w:val="both"/>
      </w:pPr>
      <w:r>
        <w:rPr>
          <w:b/>
        </w:rPr>
        <w:t>Specific objectives.</w:t>
      </w:r>
    </w:p>
    <w:p>
      <w:pPr>
        <w:spacing w:after="60"/>
        <w:jc w:val="both"/>
        <w:numPr>
          <w:ilvl w:val="0"/>
          <w:numId w:val="11"/>
        </w:numPr>
      </w:pPr>
      <w:r>
        <w:t>Profile the KSK training records for completeness, field consistency, and duplication indicators, and report that profile as a data quality baseline.</w:t>
      </w:r>
    </w:p>
    <w:p>
      <w:pPr>
        <w:spacing w:after="60"/>
        <w:jc w:val="both"/>
        <w:numPr>
          <w:ilvl w:val="0"/>
          <w:numId w:val="11"/>
        </w:numPr>
      </w:pPr>
      <w:r>
        <w:t>Implement blocking and comparison strategies suited to Philippine names, including phonetic encoding and approximate string comparison.</w:t>
      </w:r>
    </w:p>
    <w:p>
      <w:pPr>
        <w:spacing w:after="60"/>
        <w:jc w:val="both"/>
        <w:numPr>
          <w:ilvl w:val="0"/>
          <w:numId w:val="11"/>
        </w:numPr>
      </w:pPr>
      <w:r>
        <w:t>Implement the Fellegi-Sunter model to classify record pairs as links, possible links, or non-links, with both error thresholds set explicitly.</w:t>
      </w:r>
    </w:p>
    <w:p>
      <w:pPr>
        <w:spacing w:after="60"/>
        <w:jc w:val="both"/>
        <w:numPr>
          <w:ilvl w:val="0"/>
          <w:numId w:val="11"/>
        </w:numPr>
      </w:pPr>
      <w:r>
        <w:t>Evaluate linkage quality using precision and recall on a manually reviewed sample of record pairs.</w:t>
      </w:r>
    </w:p>
    <w:p>
      <w:pPr>
        <w:spacing w:after="60"/>
        <w:jc w:val="both"/>
        <w:numPr>
          <w:ilvl w:val="0"/>
          <w:numId w:val="11"/>
        </w:numPr>
      </w:pPr>
      <w:r>
        <w:t>Produce a deduplicated beneficiary count with a stated uncertainty interval.</w:t>
      </w:r>
    </w:p>
    <w:p>
      <w:pPr>
        <w:spacing w:after="60"/>
        <w:jc w:val="both"/>
        <w:numPr>
          <w:ilvl w:val="0"/>
          <w:numId w:val="11"/>
        </w:numPr>
      </w:pPr>
      <w:r>
        <w:t>Deliver the linkage layer and its quality report as a reusable system rather than a one-time count.</w:t>
      </w:r>
    </w:p>
    <w:p>
      <w:pPr>
        <w:spacing w:after="0"/>
      </w:pPr>
    </w:p>
    <w:p>
      <w:pPr>
        <w:keepNext/>
        <w:spacing w:before="160" w:after="80"/>
      </w:pPr>
      <w:r>
        <w:rPr>
          <w:b/>
          <w:sz w:val="22"/>
        </w:rPr>
        <w:t>1.4 Significance of the Study</w:t>
      </w:r>
    </w:p>
    <w:p>
      <w:pPr>
        <w:spacing w:after="60"/>
        <w:jc w:val="both"/>
        <w:numPr>
          <w:ilvl w:val="0"/>
          <w:numId w:val="12"/>
        </w:numPr>
      </w:pPr>
      <w:r>
        <w:rPr>
          <w:b/>
        </w:rPr>
        <w:t>SM Foundation</w:t>
      </w:r>
      <w:r>
        <w:t xml:space="preserve"> gains a beneficiary figure it can state and defend, with a documented method behind it.</w:t>
      </w:r>
    </w:p>
    <w:p>
      <w:pPr>
        <w:spacing w:after="60"/>
        <w:jc w:val="both"/>
        <w:numPr>
          <w:ilvl w:val="0"/>
          <w:numId w:val="12"/>
        </w:numPr>
      </w:pPr>
      <w:r>
        <w:rPr>
          <w:b/>
        </w:rPr>
        <w:t>SM Investments' sustainability reporting</w:t>
      </w:r>
      <w:r>
        <w:t xml:space="preserve"> gains an impact figure with a known margin of error, which matters as sustainability disclosure becomes mandatory.</w:t>
      </w:r>
    </w:p>
    <w:p>
      <w:pPr>
        <w:spacing w:after="60"/>
        <w:jc w:val="both"/>
        <w:numPr>
          <w:ilvl w:val="0"/>
          <w:numId w:val="12"/>
        </w:numPr>
      </w:pPr>
      <w:r>
        <w:rPr>
          <w:b/>
        </w:rPr>
        <w:t>Other multi-site programmes</w:t>
      </w:r>
      <w:r>
        <w:t>, public or private, gain a reusable method for counting beneficiaries who have no shared identifier.</w:t>
      </w:r>
    </w:p>
    <w:p>
      <w:pPr>
        <w:spacing w:after="60"/>
        <w:jc w:val="both"/>
        <w:numPr>
          <w:ilvl w:val="0"/>
          <w:numId w:val="12"/>
        </w:numPr>
      </w:pPr>
      <w:r>
        <w:rPr>
          <w:b/>
        </w:rPr>
        <w:t>Future researchers</w:t>
      </w:r>
      <w:r>
        <w:t xml:space="preserve"> gain evidence on how linkage methods perform on Philippine names.</w:t>
      </w:r>
    </w:p>
    <w:p>
      <w:pPr>
        <w:spacing w:after="0"/>
      </w:pPr>
    </w:p>
    <w:p>
      <w:pPr>
        <w:keepNext/>
        <w:spacing w:before="160" w:after="80"/>
      </w:pPr>
      <w:r>
        <w:rPr>
          <w:b/>
          <w:sz w:val="22"/>
        </w:rPr>
        <w:t>1.5 Scope and Limitations</w:t>
      </w:r>
    </w:p>
    <w:p>
      <w:pPr>
        <w:spacing w:after="120"/>
        <w:jc w:val="both"/>
      </w:pPr>
      <w:r>
        <w:t>The study covers KSK farmer training records only. It does not cover scholarships, health, or disaster response programmes. Names are received as phonetic codes or salted hashes, never as plain text. The study will not receive 4Ps status, income, household size, health or disability information, PhilSys numbers, contact numbers, or addresses below the municipality level. If only part of the programme history is digital, the count applies to the digitised records only and the paper will say so.</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establishes the theory of probabilistic record linkage, how linkage quality is measured, and the Philippine legal context for identity records.</w:t>
      </w:r>
    </w:p>
    <w:p>
      <w:pPr>
        <w:keepNext/>
        <w:spacing w:before="120" w:after="40"/>
      </w:pPr>
      <w:r>
        <w:rPr>
          <w:b/>
        </w:rPr>
        <w:t>1. Republic Act No. 11055, the Philippine Identification System Act</w:t>
      </w:r>
      <w:r>
        <w:rPr>
          <w:color w:val="595959"/>
          <w:sz w:val="18"/>
        </w:rPr>
        <w:t xml:space="preserve">  [Local Literature]</w:t>
      </w:r>
    </w:p>
    <w:p>
      <w:pPr>
        <w:spacing w:after="40"/>
        <w:ind w:left="432"/>
        <w:jc w:val="both"/>
      </w:pPr>
      <w:r>
        <w:t>The law established the Philippine Identification System, a single national identification system for citizens and resident aliens with a unique PhilSys Number for each registered person. It recognises that fragmented identification across many agencies creates inefficiency, and it includes provisions protecting registered information from unauthorised disclosure.</w:t>
      </w:r>
    </w:p>
    <w:p>
      <w:pPr>
        <w:spacing w:after="40"/>
        <w:ind w:left="432"/>
        <w:jc w:val="both"/>
      </w:pPr>
      <w:r>
        <w:rPr>
          <w:b/>
        </w:rPr>
        <w:t>Relevance to the proposed study.</w:t>
      </w:r>
      <w:r>
        <w:t xml:space="preserve"> It shows that the lack of a common identifier across records is a recognised Philippine problem. It also explains why the proposed study will not request PhilSys numbers, and will instead build the link from the fields the Foundation already keeps.</w:t>
      </w:r>
    </w:p>
    <w:p>
      <w:pPr>
        <w:spacing w:after="40"/>
        <w:ind w:left="432"/>
        <w:jc w:val="left"/>
      </w:pPr>
      <w:r>
        <w:t>Source link: https://lawphil.net/statutes/repacts/ra2018/ra_11055_2018.html</w:t>
      </w:r>
    </w:p>
    <w:p>
      <w:pPr>
        <w:keepNext/>
        <w:spacing w:before="120" w:after="40"/>
      </w:pPr>
      <w:r>
        <w:rPr>
          <w:b/>
        </w:rPr>
        <w:t>2. A Theory for Record Linkage</w:t>
      </w:r>
      <w:r>
        <w:rPr>
          <w:color w:val="595959"/>
          <w:sz w:val="18"/>
        </w:rPr>
        <w:t xml:space="preserve">  [Foreign Literature]</w:t>
      </w:r>
    </w:p>
    <w:p>
      <w:pPr>
        <w:spacing w:after="40"/>
        <w:ind w:left="432"/>
        <w:jc w:val="both"/>
      </w:pPr>
      <w:r>
        <w:t>Fellegi and Sunter (1969) gave record linkage its formal decision-theoretic foundation. Every pair of records is compared field by field, and the pattern of agreements is used to place the pair into one of three groups: a link, a possible link that needs a human to decide, or a non-link. They showed that the best rule is based on a ratio of how likely that agreement pattern is among true matches versus non-matches, and that this rule keeps the number of pairs sent for manual review as small as possible for the two error rates the user chooses.</w:t>
      </w:r>
    </w:p>
    <w:p>
      <w:pPr>
        <w:spacing w:after="40"/>
        <w:ind w:left="432"/>
        <w:jc w:val="both"/>
      </w:pPr>
      <w:r>
        <w:rPr>
          <w:b/>
        </w:rPr>
        <w:t>Relevance to the proposed study.</w:t>
      </w:r>
      <w:r>
        <w:t xml:space="preserve"> It is the algorithm named in the proposed title, and it is what allows the system to attach chosen error rates to the beneficiary count instead of relying on an arbitrary similarity cutoff.</w:t>
      </w:r>
    </w:p>
    <w:p>
      <w:pPr>
        <w:spacing w:after="40"/>
        <w:ind w:left="432"/>
        <w:jc w:val="left"/>
      </w:pPr>
      <w:r>
        <w:t>Source link: https://doi.org/10.1080/01621459.1969.10501049</w:t>
      </w:r>
    </w:p>
    <w:p>
      <w:pPr>
        <w:keepNext/>
        <w:spacing w:before="120" w:after="40"/>
      </w:pPr>
      <w:r>
        <w:rPr>
          <w:b/>
        </w:rPr>
        <w:t>3. Quality and Complexity Measures for Data Linkage and Deduplication</w:t>
      </w:r>
      <w:r>
        <w:rPr>
          <w:color w:val="595959"/>
          <w:sz w:val="18"/>
        </w:rPr>
        <w:t xml:space="preserve">  [Foreign Literature]</w:t>
      </w:r>
    </w:p>
    <w:p>
      <w:pPr>
        <w:spacing w:after="40"/>
        <w:ind w:left="432"/>
        <w:jc w:val="both"/>
      </w:pPr>
      <w:r>
        <w:t>Christen and Goiser (2007) examined how the quality and the cost of linkage and deduplication should be measured. They discussed measures for blocking, such as how much the number of candidate pairs is reduced and how many true matches survive that reduction, and they warned that some common classification measures become misleading because non-matching pairs vastly outnumber matching ones.</w:t>
      </w:r>
    </w:p>
    <w:p>
      <w:pPr>
        <w:spacing w:after="40"/>
        <w:ind w:left="432"/>
        <w:jc w:val="both"/>
      </w:pPr>
      <w:r>
        <w:rPr>
          <w:b/>
        </w:rPr>
        <w:t>Relevance to the proposed study.</w:t>
      </w:r>
      <w:r>
        <w:t xml:space="preserve"> It supplies the evaluation measures for the blocking and classification modules, so the system's results can be reported in the terms used by the record linkage field.</w:t>
      </w:r>
    </w:p>
    <w:p>
      <w:pPr>
        <w:spacing w:after="40"/>
        <w:ind w:left="432"/>
        <w:jc w:val="left"/>
      </w:pPr>
      <w:r>
        <w:t>Source link: https://doi.org/10.1007/978-3-540-44918-8_6</w:t>
      </w:r>
    </w:p>
    <w:p>
      <w:pPr>
        <w:keepNext/>
        <w:spacing w:before="120" w:after="40"/>
      </w:pPr>
      <w:r>
        <w:rPr>
          <w:b/>
        </w:rPr>
        <w:t>4. (Almost) All of Entity Resolution</w:t>
      </w:r>
      <w:r>
        <w:rPr>
          <w:color w:val="595959"/>
          <w:sz w:val="18"/>
        </w:rPr>
        <w:t xml:space="preserve">  [Foreign Literature]</w:t>
      </w:r>
    </w:p>
    <w:p>
      <w:pPr>
        <w:spacing w:after="40"/>
        <w:ind w:left="432"/>
        <w:jc w:val="both"/>
      </w:pPr>
      <w:r>
        <w:t>Binette and Steorts (2022) reviewed entity resolution, the task of finding which records refer to the same real-world entity when no shared unique identifier exists. The review walks through the stages of a typical pipeline, from blocking and comparison to classification and evaluation, and compares probabilistic, machine learning and Bayesian approaches.</w:t>
      </w:r>
    </w:p>
    <w:p>
      <w:pPr>
        <w:spacing w:after="40"/>
        <w:ind w:left="432"/>
        <w:jc w:val="both"/>
      </w:pPr>
      <w:r>
        <w:rPr>
          <w:b/>
        </w:rPr>
        <w:t>Relevance to the proposed study.</w:t>
      </w:r>
      <w:r>
        <w:t xml:space="preserve"> It frames the proposed system within the wider entity resolution field and supports the design of the system as a pipeline of separate blocking, comparison and classification modules.</w:t>
      </w:r>
    </w:p>
    <w:p>
      <w:pPr>
        <w:spacing w:after="40"/>
        <w:ind w:left="432"/>
        <w:jc w:val="left"/>
      </w:pPr>
      <w:r>
        <w:t>Source link: https://doi.org/10.1126/sciadv.abi8021</w:t>
      </w:r>
    </w:p>
    <w:p>
      <w:pPr>
        <w:keepNext/>
        <w:spacing w:before="120" w:after="40"/>
      </w:pPr>
      <w:r>
        <w:rPr>
          <w:b/>
        </w:rPr>
        <w:t>5. Challenges in Administrative Data Linkage for Research</w:t>
      </w:r>
      <w:r>
        <w:rPr>
          <w:color w:val="595959"/>
          <w:sz w:val="18"/>
        </w:rPr>
        <w:t xml:space="preserve">  [Foreign Literature]</w:t>
      </w:r>
    </w:p>
    <w:p>
      <w:pPr>
        <w:spacing w:after="40"/>
        <w:ind w:left="432"/>
        <w:jc w:val="both"/>
      </w:pPr>
      <w:r>
        <w:t>Harron et al. (2017) discussed the problems that arise when administrative records are linked for research. A central concern is bias from linkage errors, where records that belong together are missed or records that do not belong together are joined, and the authors argue for transparent reporting of linkage quality alongside the results.</w:t>
      </w:r>
    </w:p>
    <w:p>
      <w:pPr>
        <w:spacing w:after="40"/>
        <w:ind w:left="432"/>
        <w:jc w:val="both"/>
      </w:pPr>
      <w:r>
        <w:rPr>
          <w:b/>
        </w:rPr>
        <w:t>Relevance to the proposed study.</w:t>
      </w:r>
      <w:r>
        <w:t xml:space="preserve"> It supports the system's requirement to report its beneficiary count with a stated uncertainty and a linkage quality report, instead of presenting a single number as exact.</w:t>
      </w:r>
    </w:p>
    <w:p>
      <w:pPr>
        <w:spacing w:after="40"/>
        <w:ind w:left="432"/>
        <w:jc w:val="left"/>
      </w:pPr>
      <w:r>
        <w:t>Source link: https://doi.org/10.1177/2053951717745678</w:t>
      </w:r>
    </w:p>
    <w:p>
      <w:pPr>
        <w:keepNext/>
        <w:spacing w:before="160" w:after="80"/>
      </w:pPr>
      <w:r>
        <w:rPr>
          <w:b/>
          <w:sz w:val="22"/>
        </w:rPr>
        <w:t>2.2 Review of Related Studies</w:t>
      </w:r>
    </w:p>
    <w:p>
      <w:pPr>
        <w:spacing w:after="120"/>
        <w:jc w:val="both"/>
      </w:pPr>
      <w:r>
        <w:t>The studies present applied work on probabilistic record linkage, how it handles missing data, how it should be evaluated, and Philippine efforts to reduce duplicate records.</w:t>
      </w:r>
    </w:p>
    <w:p>
      <w:pPr>
        <w:keepNext/>
        <w:spacing w:before="120" w:after="40"/>
      </w:pPr>
      <w:r>
        <w:rPr>
          <w:b/>
        </w:rPr>
        <w:t>1. Enhancing CRVS Data Quality and Inclusivity through Integration with PhilSys</w:t>
      </w:r>
      <w:r>
        <w:rPr>
          <w:color w:val="595959"/>
          <w:sz w:val="18"/>
        </w:rPr>
        <w:t xml:space="preserve">  [Local Study]</w:t>
      </w:r>
    </w:p>
    <w:p>
      <w:pPr>
        <w:spacing w:after="40"/>
        <w:ind w:left="432"/>
        <w:jc w:val="both"/>
      </w:pPr>
      <w:r>
        <w:t>Du (2026), writing from the Philippine Statistics Authority, assessed early efforts to integrate civil registration with the Philippine Identification System in selected local government units. The paper identifies duplicate records as a persistent data quality problem and describes how PhilSys numbers and authentication can support record verification and reduce duplication. It found that structured verification, coordination between agencies and capacity-building were the key enablers.</w:t>
      </w:r>
    </w:p>
    <w:p>
      <w:pPr>
        <w:spacing w:after="40"/>
        <w:ind w:left="432"/>
        <w:jc w:val="both"/>
      </w:pPr>
      <w:r>
        <w:rPr>
          <w:b/>
        </w:rPr>
        <w:t>Relevance to the proposed study.</w:t>
      </w:r>
      <w:r>
        <w:t xml:space="preserve"> It is Philippine evidence that duplicate records are a recognised national data quality problem. The proposed study addresses the same problem for a programme where no shared identifier exists.</w:t>
      </w:r>
    </w:p>
    <w:p>
      <w:pPr>
        <w:spacing w:after="40"/>
        <w:ind w:left="432"/>
        <w:jc w:val="left"/>
      </w:pPr>
      <w:r>
        <w:t>Source link: https://getinthepicture.org/system/files/sites/default/files/B1_Session%203.2_102_Du_Paper_0.pdf</w:t>
      </w:r>
    </w:p>
    <w:p>
      <w:pPr>
        <w:keepNext/>
        <w:spacing w:before="120" w:after="40"/>
      </w:pPr>
      <w:r>
        <w:rPr>
          <w:b/>
        </w:rPr>
        <w:t>2. Development and Implementation of an Interoperable Local Health Information Exchange Platform for the Attainment of Universal Health Coverage in the Philippines</w:t>
      </w:r>
      <w:r>
        <w:rPr>
          <w:color w:val="595959"/>
          <w:sz w:val="18"/>
        </w:rPr>
        <w:t xml:space="preserve">  [Local Study]</w:t>
      </w:r>
    </w:p>
    <w:p>
      <w:pPr>
        <w:spacing w:after="40"/>
        <w:ind w:left="432"/>
        <w:jc w:val="both"/>
      </w:pPr>
      <w:r>
        <w:t>Zuniga, Carpio and Tayam (2026) described SMILHIS, an open-source health information exchange deployed in three Philippine local government units using the HL7 FHIR standard. It includes a client registry that serves as a central identity record for patients, and the authors propose PhilSys as the primary registry so that patient records can be deduplicated across facilities.</w:t>
      </w:r>
    </w:p>
    <w:p>
      <w:pPr>
        <w:spacing w:after="40"/>
        <w:ind w:left="432"/>
        <w:jc w:val="both"/>
      </w:pPr>
      <w:r>
        <w:rPr>
          <w:b/>
        </w:rPr>
        <w:t>Relevance to the proposed study.</w:t>
      </w:r>
      <w:r>
        <w:t xml:space="preserve"> It shows a Philippine system that needed a single identity record to stop the same person being counted in several places. The proposed study builds that kind of record for a programme through probabilistic linkage.</w:t>
      </w:r>
    </w:p>
    <w:p>
      <w:pPr>
        <w:spacing w:after="40"/>
        <w:ind w:left="432"/>
        <w:jc w:val="left"/>
      </w:pPr>
      <w:r>
        <w:t>Source link: https://doi.org/10.3389/fdgth.2025.1650273</w:t>
      </w:r>
    </w:p>
    <w:p>
      <w:pPr>
        <w:keepNext/>
        <w:spacing w:before="120" w:after="40"/>
      </w:pPr>
      <w:r>
        <w:rPr>
          <w:b/>
        </w:rPr>
        <w:t>3. Using a Probabilistic Model to Assist Merging of Large-Scale Administrative Records</w:t>
      </w:r>
      <w:r>
        <w:rPr>
          <w:color w:val="595959"/>
          <w:sz w:val="18"/>
        </w:rPr>
        <w:t xml:space="preserve">  [Foreign Study]</w:t>
      </w:r>
    </w:p>
    <w:p>
      <w:pPr>
        <w:spacing w:after="40"/>
        <w:ind w:left="432"/>
        <w:jc w:val="both"/>
      </w:pPr>
      <w:r>
        <w:t>Enamorado, Fifield and Imai (2019) developed fastLink, a fast and scalable implementation of the Fellegi-Sunter model. It handles millions of records while accounting for missing data and measurement error, and it carries uncertainty about the merge into later analysis. They tested it through simulations and applied it to campaign contribution records, survey data and nationwide voter files.</w:t>
      </w:r>
    </w:p>
    <w:p>
      <w:pPr>
        <w:spacing w:after="40"/>
        <w:ind w:left="432"/>
        <w:jc w:val="both"/>
      </w:pPr>
      <w:r>
        <w:rPr>
          <w:b/>
        </w:rPr>
        <w:t>Relevance to the proposed study.</w:t>
      </w:r>
      <w:r>
        <w:t xml:space="preserve"> It shows the Fellegi-Sunter model working at a scale larger than the KSK records and gives the study an open-source reference implementation to compare against.</w:t>
      </w:r>
    </w:p>
    <w:p>
      <w:pPr>
        <w:spacing w:after="40"/>
        <w:ind w:left="432"/>
        <w:jc w:val="left"/>
      </w:pPr>
      <w:r>
        <w:t>Source link: https://doi.org/10.1017/S0003055418000783</w:t>
      </w:r>
    </w:p>
    <w:p>
      <w:pPr>
        <w:keepNext/>
        <w:spacing w:before="120" w:after="40"/>
      </w:pPr>
      <w:r>
        <w:rPr>
          <w:b/>
        </w:rPr>
        <w:t>4. The Data-Adaptive Fellegi-Sunter Model for Probabilistic Record Linkage</w:t>
      </w:r>
      <w:r>
        <w:rPr>
          <w:color w:val="595959"/>
          <w:sz w:val="18"/>
        </w:rPr>
        <w:t xml:space="preserve">  [Foreign Study]</w:t>
      </w:r>
    </w:p>
    <w:p>
      <w:pPr>
        <w:spacing w:after="40"/>
        <w:ind w:left="432"/>
        <w:jc w:val="both"/>
      </w:pPr>
      <w:r>
        <w:t>Li, Xu and Grannis (2022) tested ways of handling missing fields in the Fellegi-Sunter model. Treating missing values as missing at random maintained or improved F1-scores in all four of their use cases, and combining that assumption with data-driven selection of matching fields gave the best overall performance. They noted this is especially useful in privacy-preserving linkage.</w:t>
      </w:r>
    </w:p>
    <w:p>
      <w:pPr>
        <w:spacing w:after="40"/>
        <w:ind w:left="432"/>
        <w:jc w:val="both"/>
      </w:pPr>
      <w:r>
        <w:rPr>
          <w:b/>
        </w:rPr>
        <w:t>Relevance to the proposed study.</w:t>
      </w:r>
      <w:r>
        <w:t xml:space="preserve"> Programme records gathered across many sites and years will have gaps, and the study will link on hashed keys. This gives the study a tested way to handle missing fields instead of discarding those record pairs.</w:t>
      </w:r>
    </w:p>
    <w:p>
      <w:pPr>
        <w:spacing w:after="40"/>
        <w:ind w:left="432"/>
        <w:jc w:val="left"/>
      </w:pPr>
      <w:r>
        <w:t>Source link: https://doi.org/10.2196/33775</w:t>
      </w:r>
    </w:p>
    <w:p>
      <w:pPr>
        <w:keepNext/>
        <w:spacing w:before="120" w:after="40"/>
      </w:pPr>
      <w:r>
        <w:rPr>
          <w:b/>
        </w:rPr>
        <w:t>5. A Note on Using the F-Measure for Evaluating Record Linkage Algorithms</w:t>
      </w:r>
      <w:r>
        <w:rPr>
          <w:color w:val="595959"/>
          <w:sz w:val="18"/>
        </w:rPr>
        <w:t xml:space="preserve">  [Foreign Study]</w:t>
      </w:r>
    </w:p>
    <w:p>
      <w:pPr>
        <w:spacing w:after="40"/>
        <w:ind w:left="432"/>
        <w:jc w:val="both"/>
      </w:pPr>
      <w:r>
        <w:t>Hand and Christen (2018) showed that the F-measure is a poor basis for comparing record linkage methods. The relative weight it places on precision and recall depends on the number of pairs each method predicts as matches, so two methods end up being judged on different scales.</w:t>
      </w:r>
    </w:p>
    <w:p>
      <w:pPr>
        <w:spacing w:after="40"/>
        <w:ind w:left="432"/>
        <w:jc w:val="both"/>
      </w:pPr>
      <w:r>
        <w:rPr>
          <w:b/>
        </w:rPr>
        <w:t>Relevance to the proposed study.</w:t>
      </w:r>
      <w:r>
        <w:t xml:space="preserve"> It is the reason the proposed study will report precision and recall separately, and show how they trade off as the thresholds move, instead of relying on a single F-score.</w:t>
      </w:r>
    </w:p>
    <w:p>
      <w:pPr>
        <w:spacing w:after="40"/>
        <w:ind w:left="432"/>
        <w:jc w:val="left"/>
      </w:pPr>
      <w:r>
        <w:t>Source link: https://doi.org/10.1007/s11222-017-9746-6</w:t>
      </w:r>
    </w:p>
    <w:p>
      <w:pPr>
        <w:keepNext/>
        <w:spacing w:before="160" w:after="80"/>
      </w:pPr>
      <w:r>
        <w:rPr>
          <w:b/>
          <w:sz w:val="22"/>
        </w:rPr>
        <w:t>2.3 Synthesis and Research Gap</w:t>
      </w:r>
    </w:p>
    <w:p>
      <w:pPr>
        <w:spacing w:after="120"/>
        <w:jc w:val="both"/>
      </w:pPr>
      <w:r>
        <w:t>The literature shows that probabilistic record linkage is a mature and well-evaluated method. Fellegi-Sunter gives it a decision-theoretic basis, fastLink shows it working at the scale of millions of records, and later work shows how to handle missing fields and why linkage quality must be reported with the results. The Philippine sources show that duplicate records are a recognised national data quality problem, and that the government's answer has been a shared identifier such as PhilSys.</w:t>
      </w:r>
    </w:p>
    <w:p>
      <w:pPr>
        <w:spacing w:after="120"/>
        <w:jc w:val="both"/>
      </w:pPr>
      <w:r>
        <w:rPr>
          <w:b/>
        </w:rPr>
        <w:t>The gap.</w:t>
      </w:r>
      <w:r>
        <w:t xml:space="preserve"> No published study applies probabilistic linkage to a Philippine corporate or NGO livelihood programme where no shared identifier exists and none can be added retroactively. No study has measured how linkage methods perform on Philippine name conventions. No study turns a programme's beneficiary count from a sum of site records into a figure with a stated error. This study addresses all three.</w:t>
      </w:r>
    </w:p>
    <w:p>
      <w:pPr>
        <w:keepNext/>
        <w:spacing w:before="160" w:after="80"/>
      </w:pPr>
      <w:r>
        <w:rPr>
          <w:b/>
          <w:sz w:val="22"/>
        </w:rPr>
        <w:t>2.4 Refined Title</w:t>
      </w:r>
    </w:p>
    <w:p>
      <w:pPr>
        <w:spacing w:after="120"/>
        <w:jc w:val="both"/>
      </w:pPr>
      <w:r>
        <w:rPr>
          <w:b/>
        </w:rPr>
        <w:t>A Data Governance System for Verifiable CSR Impact Reporting Using Fellegi-Sunter Record Linkage</w:t>
      </w:r>
      <w:r>
        <w:t xml:space="preserve"> (13 words). The title is unchanged, because the review confirmed that the named algorithm is the right one for the problem.</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linkage system is built and evaluated against a manually reviewed ground-truth sample.</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SM Foundation KSK training records: opaque record ID, hashed or phonetic name keys, batch number, training site, province, training dates, and crop or training track</w:t>
            </w:r>
          </w:p>
        </w:tc>
      </w:tr>
      <w:tr>
        <w:tc>
          <w:tcPr>
            <w:tcW w:type="dxa" w:w="2160"/>
          </w:tcPr>
          <w:p>
            <w:r/>
            <w:r>
              <w:rPr>
                <w:sz w:val="18"/>
              </w:rPr>
              <w:t>Ground truth</w:t>
            </w:r>
          </w:p>
        </w:tc>
        <w:tc>
          <w:tcPr>
            <w:tcW w:type="dxa" w:w="8064"/>
          </w:tcPr>
          <w:p>
            <w:r/>
            <w:r>
              <w:rPr>
                <w:sz w:val="18"/>
              </w:rPr>
              <w:t>A reviewed sample of 300 to 500 record pairs labelled as the same farmer or not, supplied by the Foundation or built by the group under supervision</w:t>
            </w:r>
          </w:p>
        </w:tc>
      </w:tr>
      <w:tr>
        <w:tc>
          <w:tcPr>
            <w:tcW w:type="dxa" w:w="2160"/>
          </w:tcPr>
          <w:p>
            <w:r/>
            <w:r>
              <w:rPr>
                <w:sz w:val="18"/>
              </w:rPr>
              <w:t>Partner status</w:t>
            </w:r>
          </w:p>
        </w:tc>
        <w:tc>
          <w:tcPr>
            <w:tcW w:type="dxa" w:w="8064"/>
          </w:tcPr>
          <w:p>
            <w:r/>
            <w:r>
              <w:rPr>
                <w:sz w:val="18"/>
              </w:rPr>
              <w:t>SM Foundation invited a proposal at a volunteering activity on September 21, 2026. The proposal letter was emailed to education@sm-foundation.org on September 23, 2026. A reply is pending.</w:t>
            </w:r>
          </w:p>
        </w:tc>
      </w:tr>
      <w:tr>
        <w:tc>
          <w:tcPr>
            <w:tcW w:type="dxa" w:w="2160"/>
          </w:tcPr>
          <w:p>
            <w:r/>
            <w:r>
              <w:rPr>
                <w:sz w:val="18"/>
              </w:rPr>
              <w:t>Volume</w:t>
            </w:r>
          </w:p>
        </w:tc>
        <w:tc>
          <w:tcPr>
            <w:tcW w:type="dxa" w:w="8064"/>
          </w:tcPr>
          <w:p>
            <w:r/>
            <w:r>
              <w:rPr>
                <w:sz w:val="18"/>
              </w:rPr>
              <w:t>Tens of thousands of graduate records across 400 or more batches, above the 10,000-record floor</w:t>
            </w:r>
          </w:p>
        </w:tc>
      </w:tr>
      <w:tr>
        <w:tc>
          <w:tcPr>
            <w:tcW w:type="dxa" w:w="2160"/>
          </w:tcPr>
          <w:p>
            <w:r/>
            <w:r>
              <w:rPr>
                <w:sz w:val="18"/>
              </w:rPr>
              <w:t>Fallback</w:t>
            </w:r>
          </w:p>
        </w:tc>
        <w:tc>
          <w:tcPr>
            <w:tcW w:type="dxa" w:w="8064"/>
          </w:tcPr>
          <w:p>
            <w:r/>
            <w:r>
              <w:rPr>
                <w:sz w:val="18"/>
              </w:rPr>
              <w:t>If records are paper only, or no ground truth can be built, the title does not proceed on this partner</w:t>
            </w:r>
          </w:p>
        </w:tc>
      </w:tr>
    </w:tbl>
    <w:p>
      <w:pPr>
        <w:spacing w:after="40"/>
      </w:pPr>
    </w:p>
    <w:p>
      <w:pPr>
        <w:keepNext/>
        <w:spacing w:before="160" w:after="80"/>
      </w:pPr>
      <w:r>
        <w:rPr>
          <w:b/>
          <w:sz w:val="22"/>
        </w:rPr>
        <w:t>3.3 Proposed Algorithm</w:t>
      </w:r>
    </w:p>
    <w:p>
      <w:pPr>
        <w:spacing w:after="120"/>
        <w:jc w:val="both"/>
      </w:pPr>
      <w:r>
        <w:t>Candidate pairs are generated by blocking on province, training site, batch, and phonetic name codes, so that the system does not compare every record with every other record. Each pair is compared field by field with approximate string comparators. The Fellegi-Sunter model then scores each agreement pattern by the ratio of how likely it is among true matches versus non-matches, with the model parameters estimated by the expectation-maximisation algorithm. Two explicitly chosen thresholds divide pairs into links, possible links, and non-links. Possible links go to a clerical review queue. Missing fields are handled using the missing-at-random approach tested by Li, Xu, and Grannis (2022). fastLink is used as an open-source reference implementation to cross-check results.</w:t>
      </w:r>
    </w:p>
    <w:p>
      <w:pPr>
        <w:keepNext/>
        <w:spacing w:before="160" w:after="80"/>
      </w:pPr>
      <w:r>
        <w:rPr>
          <w:b/>
          <w:sz w:val="22"/>
        </w:rPr>
        <w:t>3.4 System Architecture and Tools</w:t>
      </w:r>
    </w:p>
    <w:p>
      <w:pPr>
        <w:spacing w:after="120"/>
        <w:jc w:val="both"/>
      </w:pPr>
      <w:r>
        <w:t>Restricted import with a prohibited-field check, then data profiling, then blocking, then comparison, then Fellegi-Sunter classification, then clerical review, then the deduplicated beneficiary spine, then the linkage quality report and dashboard. The stack is Python with pandas and the recordlinkage library, R fastLink for cross-checking, SQLite for storage, and Streamlit for the dashboard.</w:t>
      </w:r>
    </w:p>
    <w:p>
      <w:pPr>
        <w:keepNext/>
        <w:spacing w:before="160" w:after="80"/>
      </w:pPr>
      <w:r>
        <w:rPr>
          <w:b/>
          <w:sz w:val="22"/>
        </w:rPr>
        <w:t>3.5 Evaluation Metrics</w:t>
      </w:r>
    </w:p>
    <w:p>
      <w:pPr>
        <w:spacing w:after="120"/>
        <w:jc w:val="both"/>
      </w:pPr>
      <w:r>
        <w:t>Precision and recall on the reviewed sample, reported separately and across a range of thresholds rather than as a single F-score, following Hand and Christen (2018). Blocking is evaluated by reduction ratio and pairs completeness. The final count is reported with an uncertainty interval.</w:t>
      </w:r>
    </w:p>
    <w:p>
      <w:pPr>
        <w:keepNext/>
        <w:spacing w:before="160" w:after="80"/>
      </w:pPr>
      <w:r>
        <w:rPr>
          <w:b/>
          <w:sz w:val="22"/>
        </w:rPr>
        <w:t>3.6 Ethical Considerations</w:t>
      </w:r>
    </w:p>
    <w:p>
      <w:pPr>
        <w:spacing w:after="120"/>
        <w:jc w:val="both"/>
      </w:pPr>
      <w:r>
        <w:t>The study targets an Exempt ethics classification, which holds only if the field exclusions above hold. 4Ps status is means-tested and therefore sensitive personal information under RA 10173, so it is excluded even if offered. Plain-text names are not received. If the Foundation can only release plain-text names, linkage runs on the Foundation's side or the ethics route is reconsidered with the adviser before any data is accepted. The group keeps the right to publish the method and aggregate findings.</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Mature open-source linkage libraries</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Warm invited channel, but record format and ground truth unconfirmed</w:t>
            </w:r>
          </w:p>
        </w:tc>
      </w:tr>
      <w:tr>
        <w:tc>
          <w:tcPr>
            <w:tcW w:type="dxa" w:w="3168"/>
          </w:tcPr>
          <w:p>
            <w:r/>
            <w:r>
              <w:rPr>
                <w:sz w:val="18"/>
              </w:rPr>
              <w:t>Algorithm or model feasibility</w:t>
            </w:r>
          </w:p>
        </w:tc>
        <w:tc>
          <w:tcPr>
            <w:tcW w:type="dxa" w:w="864"/>
          </w:tcPr>
          <w:p>
            <w:r/>
            <w:r>
              <w:rPr>
                <w:sz w:val="18"/>
              </w:rPr>
              <w:t>5</w:t>
            </w:r>
          </w:p>
        </w:tc>
        <w:tc>
          <w:tcPr>
            <w:tcW w:type="dxa" w:w="6192"/>
          </w:tcPr>
          <w:p>
            <w:r/>
            <w:r>
              <w:rPr>
                <w:sz w:val="18"/>
              </w:rPr>
              <w:t>Named algorithm with a reference implementation</w:t>
            </w:r>
          </w:p>
        </w:tc>
      </w:tr>
      <w:tr>
        <w:tc>
          <w:tcPr>
            <w:tcW w:type="dxa" w:w="3168"/>
          </w:tcPr>
          <w:p>
            <w:r/>
            <w:r>
              <w:rPr>
                <w:sz w:val="18"/>
              </w:rPr>
              <w:t>Operational feasibility</w:t>
            </w:r>
          </w:p>
        </w:tc>
        <w:tc>
          <w:tcPr>
            <w:tcW w:type="dxa" w:w="864"/>
          </w:tcPr>
          <w:p>
            <w:r/>
            <w:r>
              <w:rPr>
                <w:sz w:val="18"/>
              </w:rPr>
              <w:t>4</w:t>
            </w:r>
          </w:p>
        </w:tc>
        <w:tc>
          <w:tcPr>
            <w:tcW w:type="dxa" w:w="6192"/>
          </w:tcPr>
          <w:p>
            <w:r/>
            <w:r>
              <w:rPr>
                <w:sz w:val="18"/>
              </w:rPr>
              <w:t>The Foundation is the direct data owner and the user</w:t>
            </w:r>
          </w:p>
        </w:tc>
      </w:tr>
      <w:tr>
        <w:tc>
          <w:tcPr>
            <w:tcW w:type="dxa" w:w="3168"/>
          </w:tcPr>
          <w:p>
            <w:r/>
            <w:r>
              <w:rPr>
                <w:sz w:val="18"/>
              </w:rPr>
              <w:t>Economic feasibility</w:t>
            </w:r>
          </w:p>
        </w:tc>
        <w:tc>
          <w:tcPr>
            <w:tcW w:type="dxa" w:w="864"/>
          </w:tcPr>
          <w:p>
            <w:r/>
            <w:r>
              <w:rPr>
                <w:sz w:val="18"/>
              </w:rPr>
              <w:t>5</w:t>
            </w:r>
          </w:p>
        </w:tc>
        <w:tc>
          <w:tcPr>
            <w:tcW w:type="dxa" w:w="6192"/>
          </w:tcPr>
          <w:p>
            <w:r/>
            <w:r>
              <w:rPr>
                <w:sz w:val="18"/>
              </w:rPr>
              <w:t>No paid tools; remote channel</w:t>
            </w:r>
          </w:p>
        </w:tc>
      </w:tr>
      <w:tr>
        <w:tc>
          <w:tcPr>
            <w:tcW w:type="dxa" w:w="3168"/>
          </w:tcPr>
          <w:p>
            <w:r/>
            <w:r>
              <w:rPr>
                <w:sz w:val="18"/>
              </w:rPr>
              <w:t>Schedule feasibility</w:t>
            </w:r>
          </w:p>
        </w:tc>
        <w:tc>
          <w:tcPr>
            <w:tcW w:type="dxa" w:w="864"/>
          </w:tcPr>
          <w:p>
            <w:r/>
            <w:r>
              <w:rPr>
                <w:sz w:val="18"/>
              </w:rPr>
              <w:t>3</w:t>
            </w:r>
          </w:p>
        </w:tc>
        <w:tc>
          <w:tcPr>
            <w:tcW w:type="dxa" w:w="6192"/>
          </w:tcPr>
          <w:p>
            <w:r/>
            <w:r>
              <w:rPr>
                <w:sz w:val="18"/>
              </w:rPr>
              <w:t>Depends on the Foundation's reply time</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Exempt only if the field exclusions hold</w:t>
            </w:r>
          </w:p>
        </w:tc>
      </w:tr>
      <w:tr>
        <w:tc>
          <w:tcPr>
            <w:tcW w:type="dxa" w:w="3168"/>
          </w:tcPr>
          <w:p>
            <w:r/>
            <w:r>
              <w:rPr>
                <w:sz w:val="18"/>
              </w:rPr>
              <w:t>Risk manageability</w:t>
            </w:r>
          </w:p>
        </w:tc>
        <w:tc>
          <w:tcPr>
            <w:tcW w:type="dxa" w:w="864"/>
          </w:tcPr>
          <w:p>
            <w:r/>
            <w:r>
              <w:rPr>
                <w:sz w:val="18"/>
              </w:rPr>
              <w:t>4</w:t>
            </w:r>
          </w:p>
        </w:tc>
        <w:tc>
          <w:tcPr>
            <w:tcW w:type="dxa" w:w="6192"/>
          </w:tcPr>
          <w:p>
            <w:r/>
            <w:r>
              <w:rPr>
                <w:sz w:val="18"/>
              </w:rPr>
              <w:t>Clear go and no-go conditions</w:t>
            </w:r>
          </w:p>
        </w:tc>
      </w:tr>
      <w:tr>
        <w:tc>
          <w:tcPr>
            <w:tcW w:type="dxa" w:w="3168"/>
          </w:tcPr>
          <w:p>
            <w:r/>
            <w:r>
              <w:rPr>
                <w:b/>
                <w:sz w:val="18"/>
              </w:rPr>
              <w:t>Total score</w:t>
            </w:r>
          </w:p>
        </w:tc>
        <w:tc>
          <w:tcPr>
            <w:tcW w:type="dxa" w:w="864"/>
          </w:tcPr>
          <w:p>
            <w:r/>
            <w:r>
              <w:rPr>
                <w:b/>
                <w:sz w:val="18"/>
              </w:rPr>
              <w:t>32/40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Binette, O., &amp; Steorts, R. C. (2022). (Almost) all of entity resolution. Science Advances, 8(12), eabi8021. https://doi.org/10.1126/sciadv.abi8021</w:t>
      </w:r>
    </w:p>
    <w:p>
      <w:pPr>
        <w:spacing w:after="60"/>
        <w:ind w:left="576" w:hanging="576"/>
        <w:jc w:val="left"/>
      </w:pPr>
      <w:r>
        <w:t>Christen, P., &amp; Goiser, K. (2007). Quality and complexity measures for data linkage and deduplication. In Quality measures in data mining (pp. 127–151). Springer. https://doi.org/10.1007/978-3-540-44918-8_6</w:t>
      </w:r>
    </w:p>
    <w:p>
      <w:pPr>
        <w:spacing w:after="60"/>
        <w:ind w:left="576" w:hanging="576"/>
        <w:jc w:val="left"/>
      </w:pPr>
      <w:r>
        <w:t xml:space="preserve">Du, </w:t>
      </w:r>
      <w:r>
        <w:rPr>
          <w:highlight w:val="yellow"/>
        </w:rPr>
        <w:t>[author initials]</w:t>
      </w:r>
      <w:r>
        <w:t>. (2026). Enhancing CRVS data quality and inclusivity through integration with PhilSys. https://getinthepicture.org/system/files/sites/default/files/B1_Session%203.2_102_Du_Paper_0.pdf</w:t>
      </w:r>
    </w:p>
    <w:p>
      <w:pPr>
        <w:spacing w:after="60"/>
        <w:ind w:left="576" w:hanging="576"/>
        <w:jc w:val="left"/>
      </w:pPr>
      <w:r>
        <w:t>Enamorado, T., Fifield, B., &amp; Imai, K. (2019). Using a probabilistic model to assist merging of large-scale administrative records. American Political Science Review, 113(2), 353–371. https://doi.org/10.1017/S0003055418000783</w:t>
      </w:r>
    </w:p>
    <w:p>
      <w:pPr>
        <w:spacing w:after="60"/>
        <w:ind w:left="576" w:hanging="576"/>
        <w:jc w:val="left"/>
      </w:pPr>
      <w:r>
        <w:t>Fellegi, I. P., &amp; Sunter, A. B. (1969). A theory for record linkage. Journal of the American Statistical Association, 64(328), 1183–1210. https://doi.org/10.1080/01621459.1969.10501049</w:t>
      </w:r>
    </w:p>
    <w:p>
      <w:pPr>
        <w:spacing w:after="60"/>
        <w:ind w:left="576" w:hanging="576"/>
        <w:jc w:val="left"/>
      </w:pPr>
      <w:r>
        <w:t>Hand, D., &amp; Christen, P. (2018). A note on using the F-measure for evaluating record linkage algorithms. Statistics and Computing, 28(3), 539–547. https://doi.org/10.1007/s11222-017-9746-6</w:t>
      </w:r>
    </w:p>
    <w:p>
      <w:pPr>
        <w:spacing w:after="60"/>
        <w:ind w:left="576" w:hanging="576"/>
        <w:jc w:val="left"/>
      </w:pPr>
      <w:r>
        <w:t>Harron, K., Dibben, C., Boyd, J., Hjern, A., Azimaee, M., Barreto, M. L., &amp; Goldstein, H. (2017). Challenges in administrative data linkage for research. Big Data &amp; Society, 4(2). https://doi.org/10.1177/2053951717745678</w:t>
      </w:r>
    </w:p>
    <w:p>
      <w:pPr>
        <w:spacing w:after="60"/>
        <w:ind w:left="576" w:hanging="576"/>
        <w:jc w:val="left"/>
      </w:pPr>
      <w:r>
        <w:t>Li, X., Xu, H., &amp; Grannis, S. (2022). The data-adaptive Fellegi-Sunter model for probabilistic record linkage. Journal of Medical Internet Research, 24(9), e33775. https://doi.org/10.2196/33775</w:t>
      </w:r>
    </w:p>
    <w:p>
      <w:pPr>
        <w:spacing w:after="60"/>
        <w:ind w:left="576" w:hanging="576"/>
        <w:jc w:val="left"/>
      </w:pPr>
      <w:r>
        <w:t>Republic Act No. 11055. (2018). Philippine Identification System Act. https://lawphil.net/statutes/repacts/ra2018/ra_11055_2018.html</w:t>
      </w:r>
    </w:p>
    <w:p>
      <w:pPr>
        <w:spacing w:after="60"/>
        <w:ind w:left="576" w:hanging="576"/>
        <w:jc w:val="left"/>
      </w:pPr>
      <w:r>
        <w:t>Zuniga, P., Carpio, J., Tayam, Q., Garcia, P., Lacsina, A., Calderon, J., et al. (2026). Development and implementation of an interoperable local health information exchange platform for the attainment of universal health coverage in the Philippines. Frontiers in Digital Health, 7. https://doi.org/10.3389/fdgth.2025.1650273</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3 OF 6</w:t>
            </w:r>
          </w:p>
          <w:p>
            <w:r>
              <w:rPr>
                <w:color w:val="E0E0E0"/>
                <w:sz w:val="18"/>
              </w:rPr>
              <w:t>A Data Governance System for Privacy Release Readiness of Quezon City Open Data Using Mondrian k-Anonymity</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Statistical Modeling and Data Visualization.  </w:t>
      </w:r>
      <w:r>
        <w:rPr>
          <w:b/>
        </w:rPr>
        <w:t>Partner:</w:t>
      </w:r>
      <w:r>
        <w:t xml:space="preserve"> Quezon City Information Technology Development Department (ITDD).</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Quezon City, through its Information Technology Development Department, launched an Open Data Dashboard on the QC e-Services platform. It publishes data from 2019 onward for six city programmes: Helpline 122 community concerns, QCitizen ID, the PWD community, the KyusiServed free maintenance medicine programme, Pangkabuhayang QC, and the city scholarship programme. The city has said it will publish more datasets.</w:t>
      </w:r>
    </w:p>
    <w:p>
      <w:pPr>
        <w:spacing w:after="120"/>
        <w:jc w:val="both"/>
      </w:pPr>
      <w:r>
        <w:t>Every new release has to answer two questions. The first is whether the data is fit for public use: complete, consistent, and correctly labelled. The second is how much detail can be published without making a person identifiable. Removing names does not settle the second question. A rare concern category, combined with a small barangay and an exact date, can point to one resident even when no name appears. Aggregating everything to be safe causes the opposite problem, because the published data becomes too coarse to answer useful questions.</w:t>
      </w:r>
    </w:p>
    <w:p>
      <w:pPr>
        <w:keepNext/>
        <w:spacing w:before="160" w:after="80"/>
      </w:pPr>
      <w:r>
        <w:rPr>
          <w:b/>
          <w:sz w:val="22"/>
        </w:rPr>
        <w:t>1.2 Statement of the Problem</w:t>
      </w:r>
    </w:p>
    <w:p>
      <w:pPr>
        <w:spacing w:after="120"/>
        <w:jc w:val="both"/>
      </w:pPr>
      <w:r>
        <w:t>Quezon City has no documented, measurable procedure for deciding how much detail an open-data release can safely carry. This study seeks to answer the following questions:</w:t>
      </w:r>
    </w:p>
    <w:p>
      <w:pPr>
        <w:spacing w:after="60"/>
        <w:jc w:val="both"/>
        <w:numPr>
          <w:ilvl w:val="0"/>
          <w:numId w:val="13"/>
        </w:numPr>
      </w:pPr>
      <w:r>
        <w:t>What is the data quality of a selected QC open-data source in terms of completeness, validity, consistency, uniqueness, and timeliness?</w:t>
      </w:r>
    </w:p>
    <w:p>
      <w:pPr>
        <w:spacing w:after="60"/>
        <w:jc w:val="both"/>
        <w:numPr>
          <w:ilvl w:val="0"/>
          <w:numId w:val="13"/>
        </w:numPr>
      </w:pPr>
      <w:r>
        <w:t>Which combinations of fields act as quasi-identifiers, and how many records fall into small, risky groups under candidate publication settings?</w:t>
      </w:r>
    </w:p>
    <w:p>
      <w:pPr>
        <w:spacing w:after="60"/>
        <w:jc w:val="both"/>
        <w:numPr>
          <w:ilvl w:val="0"/>
          <w:numId w:val="13"/>
        </w:numPr>
      </w:pPr>
      <w:r>
        <w:t>Can Mondrian k-anonymity reach the same risk threshold as a fixed small-cell suppression rule while losing less information?</w:t>
      </w:r>
    </w:p>
    <w:p>
      <w:pPr>
        <w:spacing w:after="60"/>
        <w:jc w:val="both"/>
        <w:numPr>
          <w:ilvl w:val="0"/>
          <w:numId w:val="13"/>
        </w:numPr>
      </w:pPr>
      <w:r>
        <w:t>How can the quality, risk, and information-loss results be reported so that city staff can make and document a release decision?</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and evaluate a release-readiness system that measures the data quality, re-identification risk, and information loss of a Quezon City open-data release, and recommends auditable publication settings.</w:t>
      </w:r>
    </w:p>
    <w:p>
      <w:pPr>
        <w:spacing w:after="120"/>
        <w:jc w:val="both"/>
      </w:pPr>
      <w:r>
        <w:rPr>
          <w:b/>
        </w:rPr>
        <w:t>Specific objectives.</w:t>
      </w:r>
    </w:p>
    <w:p>
      <w:pPr>
        <w:spacing w:after="60"/>
        <w:jc w:val="both"/>
        <w:numPr>
          <w:ilvl w:val="0"/>
          <w:numId w:val="14"/>
        </w:numPr>
      </w:pPr>
      <w:r>
        <w:t>Measure completeness, validity, consistency, uniqueness, and timeliness of the selected dataset using versioned rules.</w:t>
      </w:r>
    </w:p>
    <w:p>
      <w:pPr>
        <w:spacing w:after="60"/>
        <w:jc w:val="both"/>
        <w:numPr>
          <w:ilvl w:val="0"/>
          <w:numId w:val="14"/>
        </w:numPr>
      </w:pPr>
      <w:r>
        <w:t>Classify every field as a direct identifier, quasi-identifier, sensitive attribute, or ordinary attribute.</w:t>
      </w:r>
    </w:p>
    <w:p>
      <w:pPr>
        <w:spacing w:after="60"/>
        <w:jc w:val="both"/>
        <w:numPr>
          <w:ilvl w:val="0"/>
          <w:numId w:val="14"/>
        </w:numPr>
      </w:pPr>
      <w:r>
        <w:t>Measure equivalence-class sizes and small-cell risk under candidate date, geography, and category granularities.</w:t>
      </w:r>
    </w:p>
    <w:p>
      <w:pPr>
        <w:spacing w:after="60"/>
        <w:jc w:val="both"/>
        <w:numPr>
          <w:ilvl w:val="0"/>
          <w:numId w:val="14"/>
        </w:numPr>
      </w:pPr>
      <w:r>
        <w:t>Apply Mondrian k-anonymity and a fixed suppression baseline at the same risk thresholds, across several values of k.</w:t>
      </w:r>
    </w:p>
    <w:p>
      <w:pPr>
        <w:spacing w:after="60"/>
        <w:jc w:val="both"/>
        <w:numPr>
          <w:ilvl w:val="0"/>
          <w:numId w:val="14"/>
        </w:numPr>
      </w:pPr>
      <w:r>
        <w:t>Quantify the information loss and aggregate-query error of each release profile.</w:t>
      </w:r>
    </w:p>
    <w:p>
      <w:pPr>
        <w:spacing w:after="60"/>
        <w:jc w:val="both"/>
        <w:numPr>
          <w:ilvl w:val="0"/>
          <w:numId w:val="14"/>
        </w:numPr>
      </w:pPr>
      <w:r>
        <w:t>Produce an auditable release-readiness report and dashboard that record every assumption.</w:t>
      </w:r>
    </w:p>
    <w:p>
      <w:pPr>
        <w:spacing w:after="0"/>
      </w:pPr>
    </w:p>
    <w:p>
      <w:pPr>
        <w:keepNext/>
        <w:spacing w:before="160" w:after="80"/>
      </w:pPr>
      <w:r>
        <w:rPr>
          <w:b/>
          <w:sz w:val="22"/>
        </w:rPr>
        <w:t>1.4 Significance of the Study</w:t>
      </w:r>
    </w:p>
    <w:p>
      <w:pPr>
        <w:spacing w:after="60"/>
        <w:jc w:val="both"/>
        <w:numPr>
          <w:ilvl w:val="0"/>
          <w:numId w:val="15"/>
        </w:numPr>
      </w:pPr>
      <w:r>
        <w:rPr>
          <w:b/>
        </w:rPr>
        <w:t>QC ITDD and source departments</w:t>
      </w:r>
      <w:r>
        <w:t xml:space="preserve"> gain a repeatable way to compare release options before publishing, with a record of why each setting was chosen.</w:t>
      </w:r>
    </w:p>
    <w:p>
      <w:pPr>
        <w:spacing w:after="60"/>
        <w:jc w:val="both"/>
        <w:numPr>
          <w:ilvl w:val="0"/>
          <w:numId w:val="15"/>
        </w:numPr>
      </w:pPr>
      <w:r>
        <w:rPr>
          <w:b/>
        </w:rPr>
        <w:t>Residents whose records appear in city datasets</w:t>
      </w:r>
      <w:r>
        <w:t xml:space="preserve"> gain protection from being singled out in published data.</w:t>
      </w:r>
    </w:p>
    <w:p>
      <w:pPr>
        <w:spacing w:after="60"/>
        <w:jc w:val="both"/>
        <w:numPr>
          <w:ilvl w:val="0"/>
          <w:numId w:val="15"/>
        </w:numPr>
      </w:pPr>
      <w:r>
        <w:rPr>
          <w:b/>
        </w:rPr>
        <w:t>Researchers, journalists, and civic groups</w:t>
      </w:r>
      <w:r>
        <w:t xml:space="preserve"> gain releases that are as detailed as privacy allows, with documented limits.</w:t>
      </w:r>
    </w:p>
    <w:p>
      <w:pPr>
        <w:spacing w:after="60"/>
        <w:jc w:val="both"/>
        <w:numPr>
          <w:ilvl w:val="0"/>
          <w:numId w:val="15"/>
        </w:numPr>
      </w:pPr>
      <w:r>
        <w:rPr>
          <w:b/>
        </w:rPr>
        <w:t>Other local government units</w:t>
      </w:r>
      <w:r>
        <w:t xml:space="preserve"> gain a reusable template, since the Philippine open-data portal lists no LGU publishers at present.</w:t>
      </w:r>
    </w:p>
    <w:p>
      <w:pPr>
        <w:spacing w:after="0"/>
      </w:pPr>
    </w:p>
    <w:p>
      <w:pPr>
        <w:keepNext/>
        <w:spacing w:before="160" w:after="80"/>
      </w:pPr>
      <w:r>
        <w:rPr>
          <w:b/>
          <w:sz w:val="22"/>
        </w:rPr>
        <w:t>1.5 Scope and Limitations</w:t>
      </w:r>
    </w:p>
    <w:p>
      <w:pPr>
        <w:spacing w:after="120"/>
        <w:jc w:val="both"/>
      </w:pPr>
      <w:r>
        <w:t>The study covers one ITDD-approved, de-identified, record-level dataset, preferably Helpline 122 service requests. It excludes narrative text, exact locations, account identifiers, and direct identifiers, and it excludes high-risk sources such as health details, PWD identities, QCitizen ID numbers, and beneficiary financial information. The system is decision support. It does not declare a release legally anonymous and does not replace the city's Data Protection Officer. The study never attempts to re-identify anyone and never links the research copy to outside data.</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covers the Philippine legal basis for both openness and privacy, the city's own open-data programme, and the international concepts of data quality, k-anonymity, and its extensions.</w:t>
      </w:r>
    </w:p>
    <w:p>
      <w:pPr>
        <w:keepNext/>
        <w:spacing w:before="120" w:after="40"/>
      </w:pPr>
      <w:r>
        <w:rPr>
          <w:b/>
        </w:rPr>
        <w:t>1. Republic Act No. 10173, the Data Privacy Act of 2012</w:t>
      </w:r>
      <w:r>
        <w:rPr>
          <w:color w:val="595959"/>
          <w:sz w:val="18"/>
        </w:rPr>
        <w:t xml:space="preserve">  [Local Literature]</w:t>
      </w:r>
    </w:p>
    <w:p>
      <w:pPr>
        <w:spacing w:after="40"/>
        <w:ind w:left="432"/>
        <w:jc w:val="both"/>
      </w:pPr>
      <w:r>
        <w:t>The law protects personal information processed by government and private organisations, and requires personal information controllers to apply reasonable organisational, physical, and technical security measures. It also created the National Privacy Commission to enforce these duties.</w:t>
      </w:r>
    </w:p>
    <w:p>
      <w:pPr>
        <w:spacing w:after="40"/>
        <w:ind w:left="432"/>
        <w:jc w:val="both"/>
      </w:pPr>
      <w:r>
        <w:rPr>
          <w:b/>
        </w:rPr>
        <w:t>Relevance to the proposed study.</w:t>
      </w:r>
      <w:r>
        <w:t xml:space="preserve"> Any record-level city dataset is personal information until it is shown otherwise. The law is the reason a release has to be assessed for identifiability before publication.</w:t>
      </w:r>
    </w:p>
    <w:p>
      <w:pPr>
        <w:spacing w:after="40"/>
        <w:ind w:left="432"/>
        <w:jc w:val="left"/>
      </w:pPr>
      <w:r>
        <w:t>Source link: https://lawphil.net/statutes/repacts/ra2012/ra_10173_2012.html</w:t>
      </w:r>
    </w:p>
    <w:p>
      <w:pPr>
        <w:keepNext/>
        <w:spacing w:before="120" w:after="40"/>
      </w:pPr>
      <w:r>
        <w:rPr>
          <w:b/>
        </w:rPr>
        <w:t>2. Executive Order No. 2, s. 2016, Operationalizing in the Executive Branch the People's Constitutional Right to Information</w:t>
      </w:r>
      <w:r>
        <w:rPr>
          <w:color w:val="595959"/>
          <w:sz w:val="18"/>
        </w:rPr>
        <w:t xml:space="preserve">  [Local Literature]</w:t>
      </w:r>
    </w:p>
    <w:p>
      <w:pPr>
        <w:spacing w:after="40"/>
        <w:ind w:left="432"/>
        <w:jc w:val="both"/>
      </w:pPr>
      <w:r>
        <w:t>The order established the Freedom of Information programme in the executive branch and directs government offices to give the public access to information and records. It also has a section on protecting privacy, which requires officials to fully protect the individual's right to privacy and to keep personal information in their custody secure when they provide access.</w:t>
      </w:r>
    </w:p>
    <w:p>
      <w:pPr>
        <w:spacing w:after="40"/>
        <w:ind w:left="432"/>
        <w:jc w:val="both"/>
      </w:pPr>
      <w:r>
        <w:rPr>
          <w:b/>
        </w:rPr>
        <w:t>Relevance to the proposed study.</w:t>
      </w:r>
      <w:r>
        <w:t xml:space="preserve"> It sets out the tension the proposed system resolves: government must disclose, but it must not disclose personal information. The system measures where that line falls for a specific dataset.</w:t>
      </w:r>
    </w:p>
    <w:p>
      <w:pPr>
        <w:spacing w:after="40"/>
        <w:ind w:left="432"/>
        <w:jc w:val="left"/>
      </w:pPr>
      <w:r>
        <w:t>Source link: https://lawphil.net/executive/execord/eo2016/eo_2_2016.html</w:t>
      </w:r>
    </w:p>
    <w:p>
      <w:pPr>
        <w:keepNext/>
        <w:spacing w:before="120" w:after="40"/>
      </w:pPr>
      <w:r>
        <w:rPr>
          <w:b/>
        </w:rPr>
        <w:t>3. NPC Advisory No. 2025-02, Guidelines on Privacy Engineering in Systems Life Cycle Processes</w:t>
      </w:r>
      <w:r>
        <w:rPr>
          <w:color w:val="595959"/>
          <w:sz w:val="18"/>
        </w:rPr>
        <w:t xml:space="preserve">  [Local Literature]</w:t>
      </w:r>
    </w:p>
    <w:p>
      <w:pPr>
        <w:spacing w:after="40"/>
        <w:ind w:left="432"/>
        <w:jc w:val="both"/>
      </w:pPr>
      <w:r>
        <w:t>The National Privacy Commission issued guidelines for building privacy into every stage of a system's life cycle, from planning and requirements through design, testing, deployment, and maintenance. It applies to new, existing, and updated systems.</w:t>
      </w:r>
    </w:p>
    <w:p>
      <w:pPr>
        <w:spacing w:after="40"/>
        <w:ind w:left="432"/>
        <w:jc w:val="both"/>
      </w:pPr>
      <w:r>
        <w:rPr>
          <w:b/>
        </w:rPr>
        <w:t>Relevance to the proposed study.</w:t>
      </w:r>
      <w:r>
        <w:t xml:space="preserve"> It supports designing privacy checks into the release process itself, which is what a release-readiness step does, instead of reviewing privacy after data is already published.</w:t>
      </w:r>
    </w:p>
    <w:p>
      <w:pPr>
        <w:spacing w:after="40"/>
        <w:ind w:left="432"/>
        <w:jc w:val="left"/>
      </w:pPr>
      <w:r>
        <w:t>Source link: https://privacy.gov.ph/wp-content/uploads/2025/12/NPC_Advisory2025-02.pdf</w:t>
      </w:r>
    </w:p>
    <w:p>
      <w:pPr>
        <w:keepNext/>
        <w:spacing w:before="120" w:after="40"/>
      </w:pPr>
      <w:r>
        <w:rPr>
          <w:b/>
        </w:rPr>
        <w:t>4. QC Open Data Dashboard</w:t>
      </w:r>
      <w:r>
        <w:rPr>
          <w:color w:val="595959"/>
          <w:sz w:val="18"/>
        </w:rPr>
        <w:t xml:space="preserve">  [Local Literature]</w:t>
      </w:r>
    </w:p>
    <w:p>
      <w:pPr>
        <w:spacing w:after="40"/>
        <w:ind w:left="432"/>
        <w:jc w:val="both"/>
      </w:pPr>
      <w:r>
        <w:t>Quezon City's official page describes the dashboard launched by ITDD on QC e-Services, covering six city programmes with data from 2019 onward, and states that the city will publish additional datasets.</w:t>
      </w:r>
    </w:p>
    <w:p>
      <w:pPr>
        <w:spacing w:after="40"/>
        <w:ind w:left="432"/>
        <w:jc w:val="both"/>
      </w:pPr>
      <w:r>
        <w:rPr>
          <w:b/>
        </w:rPr>
        <w:t>Relevance to the proposed study.</w:t>
      </w:r>
      <w:r>
        <w:t xml:space="preserve"> It confirms the partner, the candidate datasets, and the fact that more releases are planned, each of which will need a release decision.</w:t>
      </w:r>
    </w:p>
    <w:p>
      <w:pPr>
        <w:spacing w:after="40"/>
        <w:ind w:left="432"/>
        <w:jc w:val="left"/>
      </w:pPr>
      <w:r>
        <w:t>Source link: https://quezoncity.gov.ph/program/qc-open-data-dashboard/</w:t>
      </w:r>
    </w:p>
    <w:p>
      <w:pPr>
        <w:keepNext/>
        <w:spacing w:before="120" w:after="40"/>
      </w:pPr>
      <w:r>
        <w:rPr>
          <w:b/>
        </w:rPr>
        <w:t>5. Open Data Philippines portal (data.gov.ph)</w:t>
      </w:r>
      <w:r>
        <w:rPr>
          <w:color w:val="595959"/>
          <w:sz w:val="18"/>
        </w:rPr>
        <w:t xml:space="preserve">  [Local Literature]</w:t>
      </w:r>
    </w:p>
    <w:p>
      <w:pPr>
        <w:spacing w:after="40"/>
        <w:ind w:left="432"/>
        <w:jc w:val="both"/>
      </w:pPr>
      <w:r>
        <w:t>The national open-data portal publishes government datasets from participating agencies. When the group reviewed it on September 19, 2026, it listed 175 datasets from 17 publishing agencies, no local government unit publishers, and most recent retrieval dates from 2022 to 2023.</w:t>
      </w:r>
    </w:p>
    <w:p>
      <w:pPr>
        <w:spacing w:after="40"/>
        <w:ind w:left="432"/>
        <w:jc w:val="both"/>
      </w:pPr>
      <w:r>
        <w:rPr>
          <w:b/>
        </w:rPr>
        <w:t>Relevance to the proposed study.</w:t>
      </w:r>
      <w:r>
        <w:t xml:space="preserve"> It shows that local governments are largely absent from national open data. A method that makes city releases safer and easier to justify addresses one reason for that absence.</w:t>
      </w:r>
    </w:p>
    <w:p>
      <w:pPr>
        <w:spacing w:after="40"/>
        <w:ind w:left="432"/>
        <w:jc w:val="left"/>
      </w:pPr>
      <w:r>
        <w:t>Source link: https://data.gov.ph</w:t>
      </w:r>
    </w:p>
    <w:p>
      <w:pPr>
        <w:spacing w:after="40"/>
        <w:ind w:left="432"/>
        <w:jc w:val="both"/>
      </w:pPr>
      <w:r>
        <w:rPr>
          <w:highlight w:val="yellow"/>
        </w:rPr>
        <w:t>[The counts are the group's own observation on September 19, 2026. Re-check them before submitting.]</w:t>
      </w:r>
    </w:p>
    <w:p>
      <w:pPr>
        <w:keepNext/>
        <w:spacing w:before="120" w:after="40"/>
      </w:pPr>
      <w:r>
        <w:rPr>
          <w:b/>
        </w:rPr>
        <w:t>6. Beyond Accuracy: What Data Quality Means to Data Consumers</w:t>
      </w:r>
      <w:r>
        <w:rPr>
          <w:color w:val="595959"/>
          <w:sz w:val="18"/>
        </w:rPr>
        <w:t xml:space="preserve">  [Foreign Literature]</w:t>
      </w:r>
    </w:p>
    <w:p>
      <w:pPr>
        <w:spacing w:after="40"/>
        <w:ind w:left="432"/>
        <w:jc w:val="both"/>
      </w:pPr>
      <w:r>
        <w:t>Wang and Strong (1996) surveyed data users to find which qualities of data matter to them, and grouped the results into intrinsic, contextual, representational, and accessibility dimensions. They showed that data quality means more than accuracy, and depends on the task the data is used for.</w:t>
      </w:r>
    </w:p>
    <w:p>
      <w:pPr>
        <w:spacing w:after="40"/>
        <w:ind w:left="432"/>
        <w:jc w:val="both"/>
      </w:pPr>
      <w:r>
        <w:rPr>
          <w:b/>
        </w:rPr>
        <w:t>Relevance to the proposed study.</w:t>
      </w:r>
      <w:r>
        <w:t xml:space="preserve"> It is the basis for measuring the quality of a release in several dimensions, and for judging quality by whether the data can answer the questions the public will ask of it.</w:t>
      </w:r>
    </w:p>
    <w:p>
      <w:pPr>
        <w:spacing w:after="40"/>
        <w:ind w:left="432"/>
        <w:jc w:val="left"/>
      </w:pPr>
      <w:r>
        <w:t>Source link: https://doi.org/10.1080/07421222.1996.11518099</w:t>
      </w:r>
    </w:p>
    <w:p>
      <w:pPr>
        <w:keepNext/>
        <w:spacing w:before="120" w:after="40"/>
      </w:pPr>
      <w:r>
        <w:rPr>
          <w:b/>
        </w:rPr>
        <w:t>7. Benefits, Adoption Barriers and Myths of Open Data and Open Government</w:t>
      </w:r>
      <w:r>
        <w:rPr>
          <w:color w:val="595959"/>
          <w:sz w:val="18"/>
        </w:rPr>
        <w:t xml:space="preserve">  [Foreign Literature]</w:t>
      </w:r>
    </w:p>
    <w:p>
      <w:pPr>
        <w:spacing w:after="40"/>
        <w:ind w:left="432"/>
        <w:jc w:val="both"/>
      </w:pPr>
      <w:r>
        <w:t>Janssen, Charalabidis, and Zuiderwijk (2012) described the benefits governments expect from open data and the barriers that stop it, including concerns about privacy and data quality. They challenged the belief that simply publishing data is enough to create value.</w:t>
      </w:r>
    </w:p>
    <w:p>
      <w:pPr>
        <w:spacing w:after="40"/>
        <w:ind w:left="432"/>
        <w:jc w:val="both"/>
      </w:pPr>
      <w:r>
        <w:rPr>
          <w:b/>
        </w:rPr>
        <w:t>Relevance to the proposed study.</w:t>
      </w:r>
      <w:r>
        <w:t xml:space="preserve"> Privacy and quality concerns are among the barriers they name. The proposed system reduces both, so it addresses a documented reason why governments hold back data.</w:t>
      </w:r>
    </w:p>
    <w:p>
      <w:pPr>
        <w:spacing w:after="40"/>
        <w:ind w:left="432"/>
        <w:jc w:val="left"/>
      </w:pPr>
      <w:r>
        <w:t>Source link: https://doi.org/10.1080/10580530.2012.716740</w:t>
      </w:r>
    </w:p>
    <w:p>
      <w:pPr>
        <w:keepNext/>
        <w:spacing w:before="120" w:after="40"/>
      </w:pPr>
      <w:r>
        <w:rPr>
          <w:b/>
        </w:rPr>
        <w:t>8. k-Anonymity: A Model for Protecting Privacy</w:t>
      </w:r>
      <w:r>
        <w:rPr>
          <w:color w:val="595959"/>
          <w:sz w:val="18"/>
        </w:rPr>
        <w:t xml:space="preserve">  [Foreign Literature]</w:t>
      </w:r>
    </w:p>
    <w:p>
      <w:pPr>
        <w:spacing w:after="40"/>
        <w:ind w:left="432"/>
        <w:jc w:val="both"/>
      </w:pPr>
      <w:r>
        <w:t>Sweeney (2002) showed that records stripped of names can still be re-identified by linking fields such as birth date, sex, and postal code with other data. She proposed k-anonymity, which requires every record to share its quasi-identifier values with at least k-1 other records.</w:t>
      </w:r>
    </w:p>
    <w:p>
      <w:pPr>
        <w:spacing w:after="40"/>
        <w:ind w:left="432"/>
        <w:jc w:val="both"/>
      </w:pPr>
      <w:r>
        <w:rPr>
          <w:b/>
        </w:rPr>
        <w:t>Relevance to the proposed study.</w:t>
      </w:r>
      <w:r>
        <w:t xml:space="preserve"> It defines the quasi-identifier and the risk measure the system uses. It is also why removing names alone does not make a city dataset anonymous.</w:t>
      </w:r>
    </w:p>
    <w:p>
      <w:pPr>
        <w:spacing w:after="40"/>
        <w:ind w:left="432"/>
        <w:jc w:val="left"/>
      </w:pPr>
      <w:r>
        <w:t>Source link: https://doi.org/10.1142/S0218488502001648</w:t>
      </w:r>
    </w:p>
    <w:p>
      <w:pPr>
        <w:keepNext/>
        <w:spacing w:before="120" w:after="40"/>
      </w:pPr>
      <w:r>
        <w:rPr>
          <w:b/>
        </w:rPr>
        <w:t>9. Mondrian Multidimensional K-Anonymity</w:t>
      </w:r>
      <w:r>
        <w:rPr>
          <w:color w:val="595959"/>
          <w:sz w:val="18"/>
        </w:rPr>
        <w:t xml:space="preserve">  [Foreign Literature]</w:t>
      </w:r>
    </w:p>
    <w:p>
      <w:pPr>
        <w:spacing w:after="40"/>
        <w:ind w:left="432"/>
        <w:jc w:val="both"/>
      </w:pPr>
      <w:r>
        <w:t>LeFevre, DeWitt, and Ramakrishnan (2006) proposed Mondrian, a greedy algorithm that recursively splits the data across several attributes at once until every group has at least k records. Because it splits on several attributes instead of one at a time, it keeps more detail than earlier single-dimension methods.</w:t>
      </w:r>
    </w:p>
    <w:p>
      <w:pPr>
        <w:spacing w:after="40"/>
        <w:ind w:left="432"/>
        <w:jc w:val="both"/>
      </w:pPr>
      <w:r>
        <w:rPr>
          <w:b/>
        </w:rPr>
        <w:t>Relevance to the proposed study.</w:t>
      </w:r>
      <w:r>
        <w:t xml:space="preserve"> It is the algorithm named in the proposed title. It is expected to reach the same k as blanket suppression while keeping more of the data useful.</w:t>
      </w:r>
    </w:p>
    <w:p>
      <w:pPr>
        <w:spacing w:after="40"/>
        <w:ind w:left="432"/>
        <w:jc w:val="left"/>
      </w:pPr>
      <w:r>
        <w:t>Source link: https://doi.org/10.1109/ICDE.2006.101</w:t>
      </w:r>
    </w:p>
    <w:p>
      <w:pPr>
        <w:keepNext/>
        <w:spacing w:before="120" w:after="40"/>
      </w:pPr>
      <w:r>
        <w:rPr>
          <w:b/>
        </w:rPr>
        <w:t>10. l-Diversity: Privacy Beyond k-Anonymity</w:t>
      </w:r>
      <w:r>
        <w:rPr>
          <w:color w:val="595959"/>
          <w:sz w:val="18"/>
        </w:rPr>
        <w:t xml:space="preserve">  [Foreign Literature]</w:t>
      </w:r>
    </w:p>
    <w:p>
      <w:pPr>
        <w:spacing w:after="40"/>
        <w:ind w:left="432"/>
        <w:jc w:val="both"/>
      </w:pPr>
      <w:r>
        <w:t>Machanavajjhala, Kifer, Gehrke, and Venkitasubramaniam (2007) showed that k-anonymity can still leak information when every record in a group shares the same sensitive value, or when an attacker has background knowledge. They proposed l-diversity, which requires each group to contain several different sensitive values.</w:t>
      </w:r>
    </w:p>
    <w:p>
      <w:pPr>
        <w:spacing w:after="40"/>
        <w:ind w:left="432"/>
        <w:jc w:val="both"/>
      </w:pPr>
      <w:r>
        <w:rPr>
          <w:b/>
        </w:rPr>
        <w:t>Relevance to the proposed study.</w:t>
      </w:r>
      <w:r>
        <w:t xml:space="preserve"> It defines the known weakness of k-anonymity, which the system reports as a stated limitation, and it gives a second check for groups where every record has the same concern category.</w:t>
      </w:r>
    </w:p>
    <w:p>
      <w:pPr>
        <w:spacing w:after="40"/>
        <w:ind w:left="432"/>
        <w:jc w:val="left"/>
      </w:pPr>
      <w:r>
        <w:t>Source link: https://doi.org/10.1145/1217299.1217302</w:t>
      </w:r>
    </w:p>
    <w:p>
      <w:pPr>
        <w:keepNext/>
        <w:spacing w:before="160" w:after="80"/>
      </w:pPr>
      <w:r>
        <w:rPr>
          <w:b/>
          <w:sz w:val="22"/>
        </w:rPr>
        <w:t>2.2 Review of Related Studies</w:t>
      </w:r>
    </w:p>
    <w:p>
      <w:pPr>
        <w:spacing w:after="120"/>
        <w:jc w:val="both"/>
      </w:pPr>
      <w:r>
        <w:t>The studies cover Philippine evidence on open data, freedom of information, and privacy compliance, and international measurements of open-data quality and re-identification risk.</w:t>
      </w:r>
    </w:p>
    <w:p>
      <w:pPr>
        <w:keepNext/>
        <w:spacing w:before="120" w:after="40"/>
      </w:pPr>
      <w:r>
        <w:rPr>
          <w:b/>
        </w:rPr>
        <w:t>1. Public FOI Requests in the Philippines: Transparency at the Expense of Privacy?</w:t>
      </w:r>
      <w:r>
        <w:rPr>
          <w:color w:val="595959"/>
          <w:sz w:val="18"/>
        </w:rPr>
        <w:t xml:space="preserve">  [Local Study]</w:t>
      </w:r>
    </w:p>
    <w:p>
      <w:pPr>
        <w:spacing w:after="40"/>
        <w:ind w:left="432"/>
        <w:jc w:val="both"/>
      </w:pPr>
      <w:r>
        <w:t>Perez (2025) analysed over 235,000 requests on the Philippine eFOI portal filed between 2016 and 2024, using Presidio, an open-source personal information detector. About 44 percent of requests contained personal information and 0.66 percent contained sensitive identifiers, even though privacy advisories were in place. Exposure was higher for some agencies and during the COVID-19 pandemic. The author recommends automated de-identification together with human oversight.</w:t>
      </w:r>
    </w:p>
    <w:p>
      <w:pPr>
        <w:spacing w:after="40"/>
        <w:ind w:left="432"/>
        <w:jc w:val="both"/>
      </w:pPr>
      <w:r>
        <w:rPr>
          <w:b/>
        </w:rPr>
        <w:t>Relevance to the proposed study.</w:t>
      </w:r>
      <w:r>
        <w:t xml:space="preserve"> It is direct Philippine evidence that government transparency platforms publish personal information at scale when there is no systematic check. The proposed system is that kind of check, applied before a city dataset is released.</w:t>
      </w:r>
    </w:p>
    <w:p>
      <w:pPr>
        <w:spacing w:after="40"/>
        <w:ind w:left="432"/>
        <w:jc w:val="left"/>
      </w:pPr>
      <w:r>
        <w:t>Source link: https://doi.org/10.1007/978-981-95-4861-3_35</w:t>
      </w:r>
    </w:p>
    <w:p>
      <w:pPr>
        <w:keepNext/>
        <w:spacing w:before="120" w:after="40"/>
      </w:pPr>
      <w:r>
        <w:rPr>
          <w:b/>
        </w:rPr>
        <w:t>2. Why are Freedom of Information Requests in the Philippines Being Denied? An Analysis using a Practice-based Approach</w:t>
      </w:r>
      <w:r>
        <w:rPr>
          <w:color w:val="595959"/>
          <w:sz w:val="18"/>
        </w:rPr>
        <w:t xml:space="preserve">  [Local Study]</w:t>
      </w:r>
    </w:p>
    <w:p>
      <w:pPr>
        <w:spacing w:after="40"/>
        <w:ind w:left="432"/>
        <w:jc w:val="both"/>
      </w:pPr>
      <w:r>
        <w:t>Perez (2020) examined 346 randomly sampled requests from the eFOI portal, which had received 11,990 requests across 366 government offices by June 2019. Agencies mostly denied requests because they did not hold the information, did not consider the request valid, or processed requests differently from one another.</w:t>
      </w:r>
    </w:p>
    <w:p>
      <w:pPr>
        <w:spacing w:after="40"/>
        <w:ind w:left="432"/>
        <w:jc w:val="both"/>
      </w:pPr>
      <w:r>
        <w:rPr>
          <w:b/>
        </w:rPr>
        <w:t>Relevance to the proposed study.</w:t>
      </w:r>
      <w:r>
        <w:t xml:space="preserve"> It shows that Philippine agencies lack consistent procedures for deciding what to release. The proposed system gives a city a consistent, documented procedure for one kind of release decision.</w:t>
      </w:r>
    </w:p>
    <w:p>
      <w:pPr>
        <w:spacing w:after="40"/>
        <w:ind w:left="432"/>
        <w:jc w:val="left"/>
      </w:pPr>
      <w:r>
        <w:t>Source link: https://phjlis.org/index.php/phjlis/article/view/41</w:t>
      </w:r>
    </w:p>
    <w:p>
      <w:pPr>
        <w:keepNext/>
        <w:spacing w:before="120" w:after="40"/>
      </w:pPr>
      <w:r>
        <w:rPr>
          <w:b/>
        </w:rPr>
        <w:t>3. Open Data Governance in the Time of the Pandemic</w:t>
      </w:r>
      <w:r>
        <w:rPr>
          <w:color w:val="595959"/>
          <w:sz w:val="18"/>
        </w:rPr>
        <w:t xml:space="preserve">  [Local Study]</w:t>
      </w:r>
    </w:p>
    <w:p>
      <w:pPr>
        <w:spacing w:after="40"/>
        <w:ind w:left="432"/>
        <w:jc w:val="both"/>
      </w:pPr>
      <w:r>
        <w:t>Alampay (2021) assessed open government data in the Philippines by comparing access to health information during the COVID-19 pandemic with open data available before it. The study used FOI requests and open-data platforms, and analysed openness in terms of content, people, and process.</w:t>
      </w:r>
    </w:p>
    <w:p>
      <w:pPr>
        <w:spacing w:after="40"/>
        <w:ind w:left="432"/>
        <w:jc w:val="both"/>
      </w:pPr>
      <w:r>
        <w:rPr>
          <w:b/>
        </w:rPr>
        <w:t>Relevance to the proposed study.</w:t>
      </w:r>
      <w:r>
        <w:t xml:space="preserve"> It documents the state of Philippine open data and the push for more systematic data sharing across government, which is the setting the proposed system works in.</w:t>
      </w:r>
    </w:p>
    <w:p>
      <w:pPr>
        <w:spacing w:after="40"/>
        <w:ind w:left="432"/>
        <w:jc w:val="left"/>
      </w:pPr>
      <w:r>
        <w:t>Source link: https://doi.org/10.1145/3494193.3494255</w:t>
      </w:r>
    </w:p>
    <w:p>
      <w:pPr>
        <w:keepNext/>
        <w:spacing w:before="120" w:after="40"/>
      </w:pPr>
      <w:r>
        <w:rPr>
          <w:b/>
        </w:rPr>
        <w:t>4. Open Data in Philippines: An Issue of Access and Awareness</w:t>
      </w:r>
      <w:r>
        <w:rPr>
          <w:color w:val="595959"/>
          <w:sz w:val="18"/>
        </w:rPr>
        <w:t xml:space="preserve">  [Local Study]</w:t>
      </w:r>
    </w:p>
    <w:p>
      <w:pPr>
        <w:spacing w:after="40"/>
        <w:ind w:left="432"/>
        <w:jc w:val="both"/>
      </w:pPr>
      <w:r>
        <w:t>Pacis (2017), in a research brief for IT for Change, reviewed Philippine open data and freedom of information initiatives. The brief identified limited internet access, limited capacity of local groups, and low awareness among government staff as barriers to open data being used.</w:t>
      </w:r>
    </w:p>
    <w:p>
      <w:pPr>
        <w:spacing w:after="40"/>
        <w:ind w:left="432"/>
        <w:jc w:val="both"/>
      </w:pPr>
      <w:r>
        <w:rPr>
          <w:b/>
        </w:rPr>
        <w:t>Relevance to the proposed study.</w:t>
      </w:r>
      <w:r>
        <w:t xml:space="preserve"> It shows that the barriers to Philippine open data are practical and institutional, not only technical. A tool that helps staff make and explain release decisions addresses the capacity side of that problem.</w:t>
      </w:r>
    </w:p>
    <w:p>
      <w:pPr>
        <w:spacing w:after="40"/>
        <w:ind w:left="432"/>
        <w:jc w:val="left"/>
      </w:pPr>
      <w:r>
        <w:t>Source link: https://projects.itforchange.net/mavc/wp-content/uploads/2017/06/Research-Brief-Philippines.pdf</w:t>
      </w:r>
    </w:p>
    <w:p>
      <w:pPr>
        <w:keepNext/>
        <w:spacing w:before="120" w:after="40"/>
      </w:pPr>
      <w:r>
        <w:rPr>
          <w:b/>
        </w:rPr>
        <w:t>5. National Government Agency's Compliance on Data Privacy Act of 2012: A Case Study</w:t>
      </w:r>
      <w:r>
        <w:rPr>
          <w:color w:val="595959"/>
          <w:sz w:val="18"/>
        </w:rPr>
        <w:t xml:space="preserve">  [Local Study]</w:t>
      </w:r>
    </w:p>
    <w:p>
      <w:pPr>
        <w:spacing w:after="40"/>
        <w:ind w:left="432"/>
        <w:jc w:val="both"/>
      </w:pPr>
      <w:r>
        <w:t>Pitogo (2019) used a qualitative case study to examine how a Philippine frontline national agency complies with the Data Privacy Act. The agency was found partially compliant, and faced a lack of awareness, a wait-and-see attitude, and time and resource constraints.</w:t>
      </w:r>
    </w:p>
    <w:p>
      <w:pPr>
        <w:spacing w:after="40"/>
        <w:ind w:left="432"/>
        <w:jc w:val="both"/>
      </w:pPr>
      <w:r>
        <w:rPr>
          <w:b/>
        </w:rPr>
        <w:t>Relevance to the proposed study.</w:t>
      </w:r>
      <w:r>
        <w:t xml:space="preserve"> It shows that Philippine government offices struggle to apply privacy law in practice. A system that turns a privacy requirement into measurable checks lowers the effort needed to comply.</w:t>
      </w:r>
    </w:p>
    <w:p>
      <w:pPr>
        <w:spacing w:after="40"/>
        <w:ind w:left="432"/>
        <w:jc w:val="left"/>
      </w:pPr>
      <w:r>
        <w:t>Source link: https://doi.org/10.1088/1742-6596/1201/1/012021</w:t>
      </w:r>
    </w:p>
    <w:p>
      <w:pPr>
        <w:keepNext/>
        <w:spacing w:before="120" w:after="40"/>
      </w:pPr>
      <w:r>
        <w:rPr>
          <w:b/>
        </w:rPr>
        <w:t>6. Open Data Quality Measurement Framework: Definition and Application to Open Government Data</w:t>
      </w:r>
      <w:r>
        <w:rPr>
          <w:color w:val="595959"/>
          <w:sz w:val="18"/>
        </w:rPr>
        <w:t xml:space="preserve">  [Foreign Study]</w:t>
      </w:r>
    </w:p>
    <w:p>
      <w:pPr>
        <w:spacing w:after="40"/>
        <w:ind w:left="432"/>
        <w:jc w:val="both"/>
      </w:pPr>
      <w:r>
        <w:t>Vetrò et al. (2016) built a framework of indicators to measure the quality of open government datasets and applied it to Italian data. Datasets from a centralised release with quality controls were compared with municipal releases without them, and the municipal data showed weaker quality on several dimensions.</w:t>
      </w:r>
    </w:p>
    <w:p>
      <w:pPr>
        <w:spacing w:after="40"/>
        <w:ind w:left="432"/>
        <w:jc w:val="both"/>
      </w:pPr>
      <w:r>
        <w:rPr>
          <w:b/>
        </w:rPr>
        <w:t>Relevance to the proposed study.</w:t>
      </w:r>
      <w:r>
        <w:t xml:space="preserve"> It shows that city-level releases without quality controls are measurably worse, and provides indicators the system can adapt for its quality profile.</w:t>
      </w:r>
    </w:p>
    <w:p>
      <w:pPr>
        <w:spacing w:after="40"/>
        <w:ind w:left="432"/>
        <w:jc w:val="left"/>
      </w:pPr>
      <w:r>
        <w:t>Source link: https://doi.org/10.1016/j.giq.2016.02.001</w:t>
      </w:r>
    </w:p>
    <w:p>
      <w:pPr>
        <w:keepNext/>
        <w:spacing w:before="120" w:after="40"/>
      </w:pPr>
      <w:r>
        <w:rPr>
          <w:b/>
        </w:rPr>
        <w:t>7. Estimating the Success of Re-identifications in Incomplete Datasets Using Generative Models</w:t>
      </w:r>
      <w:r>
        <w:rPr>
          <w:color w:val="595959"/>
          <w:sz w:val="18"/>
        </w:rPr>
        <w:t xml:space="preserve">  [Foreign Study]</w:t>
      </w:r>
    </w:p>
    <w:p>
      <w:pPr>
        <w:spacing w:after="40"/>
        <w:ind w:left="432"/>
        <w:jc w:val="both"/>
      </w:pPr>
      <w:r>
        <w:t>Rocher, Hendrickx, and de Montjoye (2019) built a model that estimates the chance that a specific person can be correctly re-identified, even in a heavily sampled dataset. They estimated that 99.98 percent of Americans would be correctly re-identified in any dataset using 15 demographic attributes.</w:t>
      </w:r>
    </w:p>
    <w:p>
      <w:pPr>
        <w:spacing w:after="40"/>
        <w:ind w:left="432"/>
        <w:jc w:val="both"/>
      </w:pPr>
      <w:r>
        <w:rPr>
          <w:b/>
        </w:rPr>
        <w:t>Relevance to the proposed study.</w:t>
      </w:r>
      <w:r>
        <w:t xml:space="preserve"> It shows that sampling and removing names do not make a dataset anonymous, which is why the system measures risk directly instead of assuming it is low.</w:t>
      </w:r>
    </w:p>
    <w:p>
      <w:pPr>
        <w:spacing w:after="40"/>
        <w:ind w:left="432"/>
        <w:jc w:val="left"/>
      </w:pPr>
      <w:r>
        <w:t>Source link: https://doi.org/10.1038/s41467-019-10933-3</w:t>
      </w:r>
    </w:p>
    <w:p>
      <w:pPr>
        <w:keepNext/>
        <w:spacing w:before="120" w:after="40"/>
      </w:pPr>
      <w:r>
        <w:rPr>
          <w:b/>
        </w:rPr>
        <w:t>8. Unique in the Crowd: The Privacy Bounds of Human Mobility</w:t>
      </w:r>
      <w:r>
        <w:rPr>
          <w:color w:val="595959"/>
          <w:sz w:val="18"/>
        </w:rPr>
        <w:t xml:space="preserve">  [Foreign Study]</w:t>
      </w:r>
    </w:p>
    <w:p>
      <w:pPr>
        <w:spacing w:after="40"/>
        <w:ind w:left="432"/>
        <w:jc w:val="both"/>
      </w:pPr>
      <w:r>
        <w:t>De Montjoye, Hidalgo, Verleysen, and Blondel (2013) studied location records from 1.5 million mobile phone users and found that four points in space and time were enough to uniquely identify 95 percent of them. Making the data coarser reduced this uniqueness only slowly.</w:t>
      </w:r>
    </w:p>
    <w:p>
      <w:pPr>
        <w:spacing w:after="40"/>
        <w:ind w:left="432"/>
        <w:jc w:val="both"/>
      </w:pPr>
      <w:r>
        <w:rPr>
          <w:b/>
        </w:rPr>
        <w:t>Relevance to the proposed study.</w:t>
      </w:r>
      <w:r>
        <w:t xml:space="preserve"> Helpline 122 records carry a place and a time. This study shows why barangay and date fields must be treated as quasi-identifiers and generalised with care.</w:t>
      </w:r>
    </w:p>
    <w:p>
      <w:pPr>
        <w:spacing w:after="40"/>
        <w:ind w:left="432"/>
        <w:jc w:val="left"/>
      </w:pPr>
      <w:r>
        <w:t>Source link: https://doi.org/10.1038/srep01376</w:t>
      </w:r>
    </w:p>
    <w:p>
      <w:pPr>
        <w:keepNext/>
        <w:spacing w:before="120" w:after="40"/>
      </w:pPr>
      <w:r>
        <w:rPr>
          <w:b/>
        </w:rPr>
        <w:t>9. A Globally Optimal k-Anonymity Method for the De-identification of Health Data</w:t>
      </w:r>
      <w:r>
        <w:rPr>
          <w:color w:val="595959"/>
          <w:sz w:val="18"/>
        </w:rPr>
        <w:t xml:space="preserve">  [Foreign Study]</w:t>
      </w:r>
    </w:p>
    <w:p>
      <w:pPr>
        <w:spacing w:after="40"/>
        <w:ind w:left="432"/>
        <w:jc w:val="both"/>
      </w:pPr>
      <w:r>
        <w:t>El Emam et al. (2009) developed a k-anonymity algorithm that searches for the generalisation with the least information loss and compared it with earlier algorithms on real datasets. Their method lost less information than the alternatives at the same level of protection.</w:t>
      </w:r>
    </w:p>
    <w:p>
      <w:pPr>
        <w:spacing w:after="40"/>
        <w:ind w:left="432"/>
        <w:jc w:val="both"/>
      </w:pPr>
      <w:r>
        <w:rPr>
          <w:b/>
        </w:rPr>
        <w:t>Relevance to the proposed study.</w:t>
      </w:r>
      <w:r>
        <w:t xml:space="preserve"> It shows that the choice of k-anonymity algorithm changes how much useful detail survives. The proposed study makes the same kind of comparison between Mondrian and fixed suppression.</w:t>
      </w:r>
    </w:p>
    <w:p>
      <w:pPr>
        <w:spacing w:after="40"/>
        <w:ind w:left="432"/>
        <w:jc w:val="left"/>
      </w:pPr>
      <w:r>
        <w:t>Source link: https://doi.org/10.1197/jamia.M3144</w:t>
      </w:r>
    </w:p>
    <w:p>
      <w:pPr>
        <w:keepNext/>
        <w:spacing w:before="120" w:after="40"/>
      </w:pPr>
      <w:r>
        <w:rPr>
          <w:b/>
        </w:rPr>
        <w:t>10. Flexible Data Anonymization Using ARX: Current Status and Challenges Ahead</w:t>
      </w:r>
      <w:r>
        <w:rPr>
          <w:color w:val="595959"/>
          <w:sz w:val="18"/>
        </w:rPr>
        <w:t xml:space="preserve">  [Foreign Study]</w:t>
      </w:r>
    </w:p>
    <w:p>
      <w:pPr>
        <w:spacing w:after="40"/>
        <w:ind w:left="432"/>
        <w:jc w:val="both"/>
      </w:pPr>
      <w:r>
        <w:t>Prasser, Eicher, Spengler, Bild, and Kuhn (2020) described ARX, an open-source anonymisation tool that supports k-anonymity and related privacy models, risk analysis, and utility measurement, and reviewed the challenges of using such tools in practice.</w:t>
      </w:r>
    </w:p>
    <w:p>
      <w:pPr>
        <w:spacing w:after="40"/>
        <w:ind w:left="432"/>
        <w:jc w:val="both"/>
      </w:pPr>
      <w:r>
        <w:rPr>
          <w:b/>
        </w:rPr>
        <w:t>Relevance to the proposed study.</w:t>
      </w:r>
      <w:r>
        <w:t xml:space="preserve"> ARX is the reference implementation the group will use to cross-check its own Mondrian output, so an implementation error is caught rather than defended.</w:t>
      </w:r>
    </w:p>
    <w:p>
      <w:pPr>
        <w:spacing w:after="40"/>
        <w:ind w:left="432"/>
        <w:jc w:val="left"/>
      </w:pPr>
      <w:r>
        <w:t>Source link: https://doi.org/10.1002/spe.2812</w:t>
      </w:r>
    </w:p>
    <w:p>
      <w:pPr>
        <w:keepNext/>
        <w:spacing w:before="160" w:after="80"/>
      </w:pPr>
      <w:r>
        <w:rPr>
          <w:b/>
          <w:sz w:val="22"/>
        </w:rPr>
        <w:t>2.3 Synthesis and Research Gap</w:t>
      </w:r>
    </w:p>
    <w:p>
      <w:pPr>
        <w:spacing w:after="120"/>
        <w:jc w:val="both"/>
      </w:pPr>
      <w:r>
        <w:t>The Philippine sources show that openness and privacy are both legal duties, that government platforms have exposed personal information at scale without systematic checks, and that agencies lack consistent release procedures and the capacity to apply privacy law. The international sources show that removing names does not make data anonymous, that place and time fields are especially identifying, that k-anonymity and Mondrian can reduce risk while keeping detail, and that unmanaged municipal releases are measurably lower in quality.</w:t>
      </w:r>
    </w:p>
    <w:p>
      <w:pPr>
        <w:spacing w:after="120"/>
        <w:jc w:val="both"/>
      </w:pPr>
      <w:r>
        <w:rPr>
          <w:b/>
        </w:rPr>
        <w:t>The gap.</w:t>
      </w:r>
      <w:r>
        <w:t xml:space="preserve"> No published work applies these measurements to a Philippine local government open-data release. No Philippine study compares a smarter anonymisation method against the blanket suppression that data owners actually use, on real city data, while also measuring quality. This study fills that gap with an auditable, reusable release-readiness procedure.</w:t>
      </w:r>
    </w:p>
    <w:p>
      <w:pPr>
        <w:keepNext/>
        <w:spacing w:before="160" w:after="80"/>
      </w:pPr>
      <w:r>
        <w:rPr>
          <w:b/>
          <w:sz w:val="22"/>
        </w:rPr>
        <w:t>2.4 Refined Title</w:t>
      </w:r>
    </w:p>
    <w:p>
      <w:pPr>
        <w:spacing w:after="120"/>
        <w:jc w:val="both"/>
      </w:pPr>
      <w:r>
        <w:rPr>
          <w:b/>
        </w:rPr>
        <w:t>A Data Governance System for Privacy Release Readiness of Quezon City Open Data Using Mondrian k-Anonymity</w:t>
      </w:r>
      <w:r>
        <w:t xml:space="preserve"> (16 words). The title is kept, because the review confirmed Mondrian as the right method for the comparison the study makes.</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release-readiness system is built, validated first on a public benchmark dataset with published k-anonymity results, and then applied to the approved city extract.</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ITDD-approved de-identified Helpline 122 service records: request date, concern category and sub-category, barangay or district, status, and resolution time, with a data dictionary</w:t>
            </w:r>
          </w:p>
        </w:tc>
      </w:tr>
      <w:tr>
        <w:tc>
          <w:tcPr>
            <w:tcW w:type="dxa" w:w="2160"/>
          </w:tcPr>
          <w:p>
            <w:r/>
            <w:r>
              <w:rPr>
                <w:sz w:val="18"/>
              </w:rPr>
              <w:t>Partner status</w:t>
            </w:r>
          </w:p>
        </w:tc>
        <w:tc>
          <w:tcPr>
            <w:tcW w:type="dxa" w:w="8064"/>
          </w:tcPr>
          <w:p>
            <w:r/>
            <w:r>
              <w:rPr>
                <w:sz w:val="18"/>
              </w:rPr>
              <w:t>Proposal letter and email sent to QC ITDD. A reply and an update from the group's city contact are pending.</w:t>
            </w:r>
          </w:p>
        </w:tc>
      </w:tr>
      <w:tr>
        <w:tc>
          <w:tcPr>
            <w:tcW w:type="dxa" w:w="2160"/>
          </w:tcPr>
          <w:p>
            <w:r/>
            <w:r>
              <w:rPr>
                <w:sz w:val="18"/>
              </w:rPr>
              <w:t>Volume</w:t>
            </w:r>
          </w:p>
        </w:tc>
        <w:tc>
          <w:tcPr>
            <w:tcW w:type="dxa" w:w="8064"/>
          </w:tcPr>
          <w:p>
            <w:r/>
            <w:r>
              <w:rPr>
                <w:sz w:val="18"/>
              </w:rPr>
              <w:t>At least 10,000 usable rows; plausible for a citywide channel with data from 2019</w:t>
            </w:r>
          </w:p>
        </w:tc>
      </w:tr>
      <w:tr>
        <w:tc>
          <w:tcPr>
            <w:tcW w:type="dxa" w:w="2160"/>
          </w:tcPr>
          <w:p>
            <w:r/>
            <w:r>
              <w:rPr>
                <w:sz w:val="18"/>
              </w:rPr>
              <w:t>Excluded data</w:t>
            </w:r>
          </w:p>
        </w:tc>
        <w:tc>
          <w:tcPr>
            <w:tcW w:type="dxa" w:w="8064"/>
          </w:tcPr>
          <w:p>
            <w:r/>
            <w:r>
              <w:rPr>
                <w:sz w:val="18"/>
              </w:rPr>
              <w:t>Names, contact details, narrative text, exact locations, account identifiers, health, PWD, QCitizen ID, and financial beneficiary fields</w:t>
            </w:r>
          </w:p>
        </w:tc>
      </w:tr>
      <w:tr>
        <w:tc>
          <w:tcPr>
            <w:tcW w:type="dxa" w:w="2160"/>
          </w:tcPr>
          <w:p>
            <w:r/>
            <w:r>
              <w:rPr>
                <w:sz w:val="18"/>
              </w:rPr>
              <w:t>Fallback</w:t>
            </w:r>
          </w:p>
        </w:tc>
        <w:tc>
          <w:tcPr>
            <w:tcW w:type="dxa" w:w="8064"/>
          </w:tcPr>
          <w:p>
            <w:r/>
            <w:r>
              <w:rPr>
                <w:sz w:val="18"/>
              </w:rPr>
              <w:t>First, a different QC dataset. Second, a Philippine Statistics Authority anonymised microdata file. Third, a public benchmark such as UCI Adult, which keeps the method but loses the local finding.</w:t>
            </w:r>
          </w:p>
        </w:tc>
      </w:tr>
    </w:tbl>
    <w:p>
      <w:pPr>
        <w:spacing w:after="40"/>
      </w:pPr>
    </w:p>
    <w:p>
      <w:pPr>
        <w:keepNext/>
        <w:spacing w:before="160" w:after="80"/>
      </w:pPr>
      <w:r>
        <w:rPr>
          <w:b/>
          <w:sz w:val="22"/>
        </w:rPr>
        <w:t>3.3 Proposed Algorithm and Baselines</w:t>
      </w:r>
    </w:p>
    <w:p>
      <w:pPr>
        <w:spacing w:after="120"/>
        <w:jc w:val="both"/>
      </w:pPr>
      <w:r>
        <w:t>Mondrian multidimensional k-anonymity is the primary algorithm. Fixed small-cell suppression is the mandatory baseline, because it represents current practice. Both are run at the same risk thresholds across several values of k, and k is treated as a study parameter, never as a legal guarantee. An l-diversity check is reported for groups whose members all share one concern category. Differential privacy is discussed as a reference point but is not implemented, because it answers a different release question.</w:t>
      </w:r>
    </w:p>
    <w:p>
      <w:pPr>
        <w:keepNext/>
        <w:spacing w:before="160" w:after="80"/>
      </w:pPr>
      <w:r>
        <w:rPr>
          <w:b/>
          <w:sz w:val="22"/>
        </w:rPr>
        <w:t>3.4 System Architecture and Tools</w:t>
      </w:r>
    </w:p>
    <w:p>
      <w:pPr>
        <w:spacing w:after="120"/>
        <w:jc w:val="both"/>
      </w:pPr>
      <w:r>
        <w:t>Restricted import with a prohibited-field and provenance check, then the quality profiler, then field classification, then the release-profile generator, then the equivalence-class risk engine, then generalisation and suppression, then utility evaluation, then the release-readiness report and dashboard. The stack is Python with pandas and a custom Mondrian implementation, ARX or pycanon for cross-checking, SQLite for storage, and Streamlit for the dashboard.</w:t>
      </w:r>
    </w:p>
    <w:p>
      <w:pPr>
        <w:keepNext/>
        <w:spacing w:before="160" w:after="80"/>
      </w:pPr>
      <w:r>
        <w:rPr>
          <w:b/>
          <w:sz w:val="22"/>
        </w:rPr>
        <w:t>3.5 Evaluation Metrics</w:t>
      </w:r>
    </w:p>
    <w:p>
      <w:pPr>
        <w:spacing w:after="120"/>
        <w:jc w:val="both"/>
      </w:pPr>
      <w:r>
        <w:t>Minimum k achieved, equivalence-class size distribution, and share of records in small cells for risk. Discernibility metric, normalised certainty penalty, and aggregate-query error against the ungeneralised copy for information loss. Quality is reported per dimension from the rule catalogue.</w:t>
      </w:r>
    </w:p>
    <w:p>
      <w:pPr>
        <w:keepNext/>
        <w:spacing w:before="160" w:after="80"/>
      </w:pPr>
      <w:r>
        <w:rPr>
          <w:b/>
          <w:sz w:val="22"/>
        </w:rPr>
        <w:t>3.6 Ethical Considerations</w:t>
      </w:r>
    </w:p>
    <w:p>
      <w:pPr>
        <w:spacing w:after="120"/>
        <w:jc w:val="both"/>
      </w:pPr>
      <w:r>
        <w:t>The study targets an Exempt classification, with no human participants and no identifiable information received. NPC guidance that de-identified data is not automatically anonymous means the research copy is still treated as restricted. No re-identification or linkage is attempted, the record-level extract is never published, and row-level files are destroyed within thirty days after the final defence unless the city's terms require earlier.</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Open-source stack; Mondrian has published pseudocode and reference tools</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Letter sent and a documented request channel exists; reply pending</w:t>
            </w:r>
          </w:p>
        </w:tc>
      </w:tr>
      <w:tr>
        <w:tc>
          <w:tcPr>
            <w:tcW w:type="dxa" w:w="3168"/>
          </w:tcPr>
          <w:p>
            <w:r/>
            <w:r>
              <w:rPr>
                <w:sz w:val="18"/>
              </w:rPr>
              <w:t>Algorithm or model feasibility</w:t>
            </w:r>
          </w:p>
        </w:tc>
        <w:tc>
          <w:tcPr>
            <w:tcW w:type="dxa" w:w="864"/>
          </w:tcPr>
          <w:p>
            <w:r/>
            <w:r>
              <w:rPr>
                <w:sz w:val="18"/>
              </w:rPr>
              <w:t>4</w:t>
            </w:r>
          </w:p>
        </w:tc>
        <w:tc>
          <w:tcPr>
            <w:tcW w:type="dxa" w:w="6192"/>
          </w:tcPr>
          <w:p>
            <w:r/>
            <w:r>
              <w:rPr>
                <w:sz w:val="18"/>
              </w:rPr>
              <w:t>Clear primary method and a real-practice baseline</w:t>
            </w:r>
          </w:p>
        </w:tc>
      </w:tr>
      <w:tr>
        <w:tc>
          <w:tcPr>
            <w:tcW w:type="dxa" w:w="3168"/>
          </w:tcPr>
          <w:p>
            <w:r/>
            <w:r>
              <w:rPr>
                <w:sz w:val="18"/>
              </w:rPr>
              <w:t>Operational feasibility</w:t>
            </w:r>
          </w:p>
        </w:tc>
        <w:tc>
          <w:tcPr>
            <w:tcW w:type="dxa" w:w="864"/>
          </w:tcPr>
          <w:p>
            <w:r/>
            <w:r>
              <w:rPr>
                <w:sz w:val="18"/>
              </w:rPr>
              <w:t>4</w:t>
            </w:r>
          </w:p>
        </w:tc>
        <w:tc>
          <w:tcPr>
            <w:tcW w:type="dxa" w:w="6192"/>
          </w:tcPr>
          <w:p>
            <w:r/>
            <w:r>
              <w:rPr>
                <w:sz w:val="18"/>
              </w:rPr>
              <w:t>A named responsible department</w:t>
            </w:r>
          </w:p>
        </w:tc>
      </w:tr>
      <w:tr>
        <w:tc>
          <w:tcPr>
            <w:tcW w:type="dxa" w:w="3168"/>
          </w:tcPr>
          <w:p>
            <w:r/>
            <w:r>
              <w:rPr>
                <w:sz w:val="18"/>
              </w:rPr>
              <w:t>Economic feasibility</w:t>
            </w:r>
          </w:p>
        </w:tc>
        <w:tc>
          <w:tcPr>
            <w:tcW w:type="dxa" w:w="864"/>
          </w:tcPr>
          <w:p>
            <w:r/>
            <w:r>
              <w:rPr>
                <w:sz w:val="18"/>
              </w:rPr>
              <w:t>5</w:t>
            </w:r>
          </w:p>
        </w:tc>
        <w:tc>
          <w:tcPr>
            <w:tcW w:type="dxa" w:w="6192"/>
          </w:tcPr>
          <w:p>
            <w:r/>
            <w:r>
              <w:rPr>
                <w:sz w:val="18"/>
              </w:rPr>
              <w:t>Under PHP 4,500, mostly travel</w:t>
            </w:r>
          </w:p>
        </w:tc>
      </w:tr>
      <w:tr>
        <w:tc>
          <w:tcPr>
            <w:tcW w:type="dxa" w:w="3168"/>
          </w:tcPr>
          <w:p>
            <w:r/>
            <w:r>
              <w:rPr>
                <w:sz w:val="18"/>
              </w:rPr>
              <w:t>Schedule feasibility</w:t>
            </w:r>
          </w:p>
        </w:tc>
        <w:tc>
          <w:tcPr>
            <w:tcW w:type="dxa" w:w="864"/>
          </w:tcPr>
          <w:p>
            <w:r/>
            <w:r>
              <w:rPr>
                <w:sz w:val="18"/>
              </w:rPr>
              <w:t>3</w:t>
            </w:r>
          </w:p>
        </w:tc>
        <w:tc>
          <w:tcPr>
            <w:tcW w:type="dxa" w:w="6192"/>
          </w:tcPr>
          <w:p>
            <w:r/>
            <w:r>
              <w:rPr>
                <w:sz w:val="18"/>
              </w:rPr>
              <w:t>City response time is outside the group's control</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Privacy is the study's subject; NPC guidance identified</w:t>
            </w:r>
          </w:p>
        </w:tc>
      </w:tr>
      <w:tr>
        <w:tc>
          <w:tcPr>
            <w:tcW w:type="dxa" w:w="3168"/>
          </w:tcPr>
          <w:p>
            <w:r/>
            <w:r>
              <w:rPr>
                <w:sz w:val="18"/>
              </w:rPr>
              <w:t>Risk manageability</w:t>
            </w:r>
          </w:p>
        </w:tc>
        <w:tc>
          <w:tcPr>
            <w:tcW w:type="dxa" w:w="864"/>
          </w:tcPr>
          <w:p>
            <w:r/>
            <w:r>
              <w:rPr>
                <w:sz w:val="18"/>
              </w:rPr>
              <w:t>4</w:t>
            </w:r>
          </w:p>
        </w:tc>
        <w:tc>
          <w:tcPr>
            <w:tcW w:type="dxa" w:w="6192"/>
          </w:tcPr>
          <w:p>
            <w:r/>
            <w:r>
              <w:rPr>
                <w:sz w:val="18"/>
              </w:rPr>
              <w:t>Three named fallbacks; the method survives all of them</w:t>
            </w:r>
          </w:p>
        </w:tc>
      </w:tr>
      <w:tr>
        <w:tc>
          <w:tcPr>
            <w:tcW w:type="dxa" w:w="3168"/>
          </w:tcPr>
          <w:p>
            <w:r/>
            <w:r>
              <w:rPr>
                <w:b/>
                <w:sz w:val="18"/>
              </w:rPr>
              <w:t>Total score</w:t>
            </w:r>
          </w:p>
        </w:tc>
        <w:tc>
          <w:tcPr>
            <w:tcW w:type="dxa" w:w="864"/>
          </w:tcPr>
          <w:p>
            <w:r/>
            <w:r>
              <w:rPr>
                <w:b/>
                <w:sz w:val="18"/>
              </w:rPr>
              <w:t>31/40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Alampay, E. A. (2021). Open data governance in the time of the pandemic. Proceedings of the 14th International Conference on Theory and Practice of Electronic Governance, 455–462. https://doi.org/10.1145/3494193.3494255</w:t>
      </w:r>
    </w:p>
    <w:p>
      <w:pPr>
        <w:spacing w:after="60"/>
        <w:ind w:left="576" w:hanging="576"/>
        <w:jc w:val="left"/>
      </w:pPr>
      <w:r>
        <w:t>de Montjoye, Y.-A., Hidalgo, C. A., Verleysen, M., &amp; Blondel, V. D. (2013). Unique in the crowd: The privacy bounds of human mobility. Scientific Reports, 3, 1376. https://doi.org/10.1038/srep01376</w:t>
      </w:r>
    </w:p>
    <w:p>
      <w:pPr>
        <w:spacing w:after="60"/>
        <w:ind w:left="576" w:hanging="576"/>
        <w:jc w:val="left"/>
      </w:pPr>
      <w:r>
        <w:t>El Emam, K., Dankar, F. K., Issa, R., Jonker, E., Amyot, D., Cogo, E., et al. (2009). A globally optimal k-anonymity method for the de-identification of health data. Journal of the American Medical Informatics Association, 16(5), 670–682. https://doi.org/10.1197/jamia.M3144</w:t>
      </w:r>
    </w:p>
    <w:p>
      <w:pPr>
        <w:spacing w:after="60"/>
        <w:ind w:left="576" w:hanging="576"/>
        <w:jc w:val="left"/>
      </w:pPr>
      <w:r>
        <w:t>Executive Order No. 2, s. 2016. (2016). Operationalizing in the executive branch the people's constitutional right to information. https://lawphil.net/executive/execord/eo2016/eo_2_2016.html</w:t>
      </w:r>
    </w:p>
    <w:p>
      <w:pPr>
        <w:spacing w:after="60"/>
        <w:ind w:left="576" w:hanging="576"/>
        <w:jc w:val="left"/>
      </w:pPr>
      <w:r>
        <w:t>Janssen, M., Charalabidis, Y., &amp; Zuiderwijk, A. (2012). Benefits, adoption barriers and myths of open data and open government. Information Systems Management, 29(4), 258–268. https://doi.org/10.1080/10580530.2012.716740</w:t>
      </w:r>
    </w:p>
    <w:p>
      <w:pPr>
        <w:spacing w:after="60"/>
        <w:ind w:left="576" w:hanging="576"/>
        <w:jc w:val="left"/>
      </w:pPr>
      <w:r>
        <w:t>LeFevre, K., DeWitt, D. J., &amp; Ramakrishnan, R. (2006). Mondrian multidimensional k-anonymity. Proceedings of the 22nd International Conference on Data Engineering, 25. https://doi.org/10.1109/ICDE.2006.101</w:t>
      </w:r>
    </w:p>
    <w:p>
      <w:pPr>
        <w:spacing w:after="60"/>
        <w:ind w:left="576" w:hanging="576"/>
        <w:jc w:val="left"/>
      </w:pPr>
      <w:r>
        <w:t>Machanavajjhala, A., Kifer, D., Gehrke, J., &amp; Venkitasubramaniam, M. (2007). l-Diversity: Privacy beyond k-anonymity. ACM Transactions on Knowledge Discovery from Data, 1(1), 3. https://doi.org/10.1145/1217299.1217302</w:t>
      </w:r>
    </w:p>
    <w:p>
      <w:pPr>
        <w:spacing w:after="60"/>
        <w:ind w:left="576" w:hanging="576"/>
        <w:jc w:val="left"/>
      </w:pPr>
      <w:r>
        <w:t>National Privacy Commission. (2025). NPC Advisory No. 2025-02: Guidelines on privacy engineering in systems life cycle processes. https://privacy.gov.ph/wp-content/uploads/2025/12/NPC_Advisory2025-02.pdf</w:t>
      </w:r>
    </w:p>
    <w:p>
      <w:pPr>
        <w:spacing w:after="60"/>
        <w:ind w:left="576" w:hanging="576"/>
        <w:jc w:val="left"/>
      </w:pPr>
      <w:r>
        <w:t>Open Data Philippines. (n.d.). data.gov.ph. Retrieved September 19, 2026, from https://data.gov.ph</w:t>
      </w:r>
    </w:p>
    <w:p>
      <w:pPr>
        <w:spacing w:after="60"/>
        <w:ind w:left="576" w:hanging="576"/>
        <w:jc w:val="left"/>
      </w:pPr>
      <w:r>
        <w:t>Pacis, J. (2017). Open data in Philippines: An issue of access and awareness [Research brief]. IT for Change. https://projects.itforchange.net/mavc/wp-content/uploads/2017/06/Research-Brief-Philippines.pdf</w:t>
      </w:r>
    </w:p>
    <w:p>
      <w:pPr>
        <w:spacing w:after="60"/>
        <w:ind w:left="576" w:hanging="576"/>
        <w:jc w:val="left"/>
      </w:pPr>
      <w:r>
        <w:t>Perez, P. J. (2020). Why are freedom of information requests in the Philippines being denied? An analysis using a practice-based approach. Philippine Journal of Librarianship and Information Studies. https://phjlis.org/index.php/phjlis/article/view/41</w:t>
      </w:r>
    </w:p>
    <w:p>
      <w:pPr>
        <w:spacing w:after="60"/>
        <w:ind w:left="576" w:hanging="576"/>
        <w:jc w:val="left"/>
      </w:pPr>
      <w:r>
        <w:t>Perez, P. J. (2025). Public FOI requests in the Philippines: Transparency at the expense of privacy? In Intelligence and equity: Shaping the future of knowledge (Lecture Notes in Computer Science, pp. 417–426). Springer. https://doi.org/10.1007/978-981-95-4861-3_35</w:t>
      </w:r>
    </w:p>
    <w:p>
      <w:pPr>
        <w:spacing w:after="60"/>
        <w:ind w:left="576" w:hanging="576"/>
        <w:jc w:val="left"/>
      </w:pPr>
      <w:r>
        <w:t>Pitogo, V. (2019). National government agency's compliance on Data Privacy Act of 2012: A case study. Journal of Physics: Conference Series, 1201, 012021. https://doi.org/10.1088/1742-6596/1201/1/012021</w:t>
      </w:r>
    </w:p>
    <w:p>
      <w:pPr>
        <w:spacing w:after="60"/>
        <w:ind w:left="576" w:hanging="576"/>
        <w:jc w:val="left"/>
      </w:pPr>
      <w:r>
        <w:t>Prasser, F., Eicher, J., Spengler, H., Bild, R., &amp; Kuhn, K. A. (2020). Flexible data anonymization using ARX: Current status and challenges ahead. Software: Practice and Experience, 50(7), 1277–1304. https://doi.org/10.1002/spe.2812</w:t>
      </w:r>
    </w:p>
    <w:p>
      <w:pPr>
        <w:spacing w:after="60"/>
        <w:ind w:left="576" w:hanging="576"/>
        <w:jc w:val="left"/>
      </w:pPr>
      <w:r>
        <w:t>Quezon City Government. (n.d.). QC Open Data Dashboard. https://quezoncity.gov.ph/program/qc-open-data-dashboard/</w:t>
      </w:r>
    </w:p>
    <w:p>
      <w:pPr>
        <w:spacing w:after="60"/>
        <w:ind w:left="576" w:hanging="576"/>
        <w:jc w:val="left"/>
      </w:pPr>
      <w:r>
        <w:t>Republic Act No. 10173. (2012). Data Privacy Act of 2012. https://lawphil.net/statutes/repacts/ra2012/ra_10173_2012.html</w:t>
      </w:r>
    </w:p>
    <w:p>
      <w:pPr>
        <w:spacing w:after="60"/>
        <w:ind w:left="576" w:hanging="576"/>
        <w:jc w:val="left"/>
      </w:pPr>
      <w:r>
        <w:t>Rocher, L., Hendrickx, J. M., &amp; de Montjoye, Y.-A. (2019). Estimating the success of re-identifications in incomplete datasets using generative models. Nature Communications, 10, 3069. https://doi.org/10.1038/s41467-019-10933-3</w:t>
      </w:r>
    </w:p>
    <w:p>
      <w:pPr>
        <w:spacing w:after="60"/>
        <w:ind w:left="576" w:hanging="576"/>
        <w:jc w:val="left"/>
      </w:pPr>
      <w:r>
        <w:t>Sweeney, L. (2002). k-Anonymity: A model for protecting privacy. International Journal of Uncertainty, Fuzziness and Knowledge-Based Systems, 10(5), 557–570. https://doi.org/10.1142/S0218488502001648</w:t>
      </w:r>
    </w:p>
    <w:p>
      <w:pPr>
        <w:spacing w:after="60"/>
        <w:ind w:left="576" w:hanging="576"/>
        <w:jc w:val="left"/>
      </w:pPr>
      <w:r>
        <w:t>Vetrò, A., Canova, L., Torchiano, M., Minotas, C. O., Iemma, R., &amp; Morando, F. (2016). Open data quality measurement framework: Definition and application to open government data. Government Information Quarterly, 33(2), 325–337. https://doi.org/10.1016/j.giq.2016.02.001</w:t>
      </w:r>
    </w:p>
    <w:p>
      <w:pPr>
        <w:spacing w:after="60"/>
        <w:ind w:left="576" w:hanging="576"/>
        <w:jc w:val="left"/>
      </w:pPr>
      <w:r>
        <w:t>Wang, R. Y., &amp; Strong, D. M. (1996). Beyond accuracy: What data quality means to data consumers. Journal of Management Information Systems, 12(4), 5–33. https://doi.org/10.1080/07421222.1996.11518099</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6 OF 6</w:t>
            </w:r>
          </w:p>
          <w:p>
            <w:r>
              <w:rPr>
                <w:color w:val="E0E0E0"/>
                <w:sz w:val="18"/>
              </w:rPr>
              <w:t>A Personal Data Detection and Redaction Governance System for Contact Centers Using Conditional Random Fields</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Data Mining and Data Visualization.  </w:t>
      </w:r>
      <w:r>
        <w:rPr>
          <w:b/>
        </w:rPr>
        <w:t>Partner:</w:t>
      </w:r>
      <w:r>
        <w:t xml:space="preserve"> Transcom Philippines, reached through a classmate's contact in human resources.</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Contact centers are among the largest employers in the Philippines, and they handle customer data for clients around the world. During a call or chat, customers often read out card numbers, account numbers, addresses, birth dates, and government ID numbers. Agents sometimes type these into free-text case notes so they do not lose them. Those notes are stored, exported to clients, and sampled for quality assurance.</w:t>
      </w:r>
    </w:p>
    <w:p>
      <w:pPr>
        <w:spacing w:after="120"/>
        <w:jc w:val="both"/>
      </w:pPr>
      <w:r>
        <w:t>Structured fields in a customer database are easy to protect, because the organisation knows where they are. Free-text notes are not. Nobody reads every note, so nobody knows how often personal data ends up in them, and an exposure can go unnoticed until it becomes a breach that must be reported to the National Privacy Commission.</w:t>
      </w:r>
    </w:p>
    <w:p>
      <w:pPr>
        <w:keepNext/>
        <w:spacing w:before="160" w:after="80"/>
      </w:pPr>
      <w:r>
        <w:rPr>
          <w:b/>
          <w:sz w:val="22"/>
        </w:rPr>
        <w:t>1.2 Statement of the Problem</w:t>
      </w:r>
    </w:p>
    <w:p>
      <w:pPr>
        <w:spacing w:after="120"/>
        <w:jc w:val="both"/>
      </w:pPr>
      <w:r>
        <w:t>Contact centers have no automated way to find and redact personal data in free-text agent notes. This study seeks to answer the following questions:</w:t>
      </w:r>
    </w:p>
    <w:p>
      <w:pPr>
        <w:spacing w:after="60"/>
        <w:jc w:val="both"/>
        <w:numPr>
          <w:ilvl w:val="0"/>
          <w:numId w:val="16"/>
        </w:numPr>
      </w:pPr>
      <w:r>
        <w:t>How accurately can Conditional Random Fields, combined with rules for strongly patterned identifiers, detect personal data in English and Taglish contact center notes?</w:t>
      </w:r>
    </w:p>
    <w:p>
      <w:pPr>
        <w:spacing w:after="60"/>
        <w:jc w:val="both"/>
        <w:numPr>
          <w:ilvl w:val="0"/>
          <w:numId w:val="16"/>
        </w:numPr>
      </w:pPr>
      <w:r>
        <w:t>Which entity types, such as names, addresses, mobile numbers, and government ID numbers, are hardest to detect, and why?</w:t>
      </w:r>
    </w:p>
    <w:p>
      <w:pPr>
        <w:spacing w:after="60"/>
        <w:jc w:val="both"/>
        <w:numPr>
          <w:ilvl w:val="0"/>
          <w:numId w:val="16"/>
        </w:numPr>
      </w:pPr>
      <w:r>
        <w:t>How does detection accuracy compare with published de-identification benchmarks and with a neural baseline?</w:t>
      </w:r>
    </w:p>
    <w:p>
      <w:pPr>
        <w:spacing w:after="60"/>
        <w:jc w:val="both"/>
        <w:numPr>
          <w:ilvl w:val="0"/>
          <w:numId w:val="16"/>
        </w:numPr>
      </w:pPr>
      <w:r>
        <w:t>How can detection, redaction, and review be recorded in an audit trail that supports data breach management?</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and evaluate a system that detects and redacts personal data in contact center free-text notes and keeps an auditable record of every action.</w:t>
      </w:r>
    </w:p>
    <w:p>
      <w:pPr>
        <w:spacing w:after="120"/>
        <w:jc w:val="both"/>
      </w:pPr>
      <w:r>
        <w:rPr>
          <w:b/>
        </w:rPr>
        <w:t>Specific objectives.</w:t>
      </w:r>
    </w:p>
    <w:p>
      <w:pPr>
        <w:spacing w:after="60"/>
        <w:jc w:val="both"/>
        <w:numPr>
          <w:ilvl w:val="0"/>
          <w:numId w:val="17"/>
        </w:numPr>
      </w:pPr>
      <w:r>
        <w:t>Build an annotated corpus of at least 20,000 personal data spans from public de-identification corpora and synthetic Philippine-context notes.</w:t>
      </w:r>
    </w:p>
    <w:p>
      <w:pPr>
        <w:spacing w:after="60"/>
        <w:jc w:val="both"/>
        <w:numPr>
          <w:ilvl w:val="0"/>
          <w:numId w:val="17"/>
        </w:numPr>
      </w:pPr>
      <w:r>
        <w:t>Train token-level and character-level Conditional Random Fields, combined with a rule layer for patterned identifiers such as TIN, SSS, PhilHealth, card, and mobile numbers.</w:t>
      </w:r>
    </w:p>
    <w:p>
      <w:pPr>
        <w:spacing w:after="60"/>
        <w:jc w:val="both"/>
        <w:numPr>
          <w:ilvl w:val="0"/>
          <w:numId w:val="17"/>
        </w:numPr>
      </w:pPr>
      <w:r>
        <w:t>Redact detected spans with typed placeholders that keep the note readable, and send low-confidence spans to a review queue.</w:t>
      </w:r>
    </w:p>
    <w:p>
      <w:pPr>
        <w:spacing w:after="60"/>
        <w:jc w:val="both"/>
        <w:numPr>
          <w:ilvl w:val="0"/>
          <w:numId w:val="17"/>
        </w:numPr>
      </w:pPr>
      <w:r>
        <w:t>Evaluate precision, recall, and F1 per entity type under strict and relaxed matching.</w:t>
      </w:r>
    </w:p>
    <w:p>
      <w:pPr>
        <w:spacing w:after="60"/>
        <w:jc w:val="both"/>
        <w:numPr>
          <w:ilvl w:val="0"/>
          <w:numId w:val="17"/>
        </w:numPr>
      </w:pPr>
      <w:r>
        <w:t>Record every detection, redaction, and review decision in an audit trail with a governance dashboard.</w:t>
      </w:r>
    </w:p>
    <w:p>
      <w:pPr>
        <w:spacing w:after="0"/>
      </w:pPr>
    </w:p>
    <w:p>
      <w:pPr>
        <w:keepNext/>
        <w:spacing w:before="160" w:after="80"/>
      </w:pPr>
      <w:r>
        <w:rPr>
          <w:b/>
          <w:sz w:val="22"/>
        </w:rPr>
        <w:t>1.4 Significance of the Study</w:t>
      </w:r>
    </w:p>
    <w:p>
      <w:pPr>
        <w:spacing w:after="60"/>
        <w:jc w:val="both"/>
        <w:numPr>
          <w:ilvl w:val="0"/>
          <w:numId w:val="18"/>
        </w:numPr>
      </w:pPr>
      <w:r>
        <w:rPr>
          <w:b/>
        </w:rPr>
        <w:t>Contact center data protection officers</w:t>
      </w:r>
      <w:r>
        <w:t xml:space="preserve"> gain visibility into where personal data sits in unstructured records.</w:t>
      </w:r>
    </w:p>
    <w:p>
      <w:pPr>
        <w:spacing w:after="60"/>
        <w:jc w:val="both"/>
        <w:numPr>
          <w:ilvl w:val="0"/>
          <w:numId w:val="18"/>
        </w:numPr>
      </w:pPr>
      <w:r>
        <w:rPr>
          <w:b/>
        </w:rPr>
        <w:t>Customers</w:t>
      </w:r>
      <w:r>
        <w:t xml:space="preserve"> gain protection for data they share during calls and chats.</w:t>
      </w:r>
    </w:p>
    <w:p>
      <w:pPr>
        <w:spacing w:after="60"/>
        <w:jc w:val="both"/>
        <w:numPr>
          <w:ilvl w:val="0"/>
          <w:numId w:val="18"/>
        </w:numPr>
      </w:pPr>
      <w:r>
        <w:rPr>
          <w:b/>
        </w:rPr>
        <w:t>Quality assurance teams</w:t>
      </w:r>
      <w:r>
        <w:t xml:space="preserve"> can review notes without being exposed to customer data.</w:t>
      </w:r>
    </w:p>
    <w:p>
      <w:pPr>
        <w:spacing w:after="60"/>
        <w:jc w:val="both"/>
        <w:numPr>
          <w:ilvl w:val="0"/>
          <w:numId w:val="18"/>
        </w:numPr>
      </w:pPr>
      <w:r>
        <w:rPr>
          <w:b/>
        </w:rPr>
        <w:t>Future researchers</w:t>
      </w:r>
      <w:r>
        <w:t xml:space="preserve"> gain a Philippine-context de-identification corpus design and baseline results for Taglish text.</w:t>
      </w:r>
    </w:p>
    <w:p>
      <w:pPr>
        <w:spacing w:after="0"/>
      </w:pPr>
    </w:p>
    <w:p>
      <w:pPr>
        <w:keepNext/>
        <w:spacing w:before="160" w:after="80"/>
      </w:pPr>
      <w:r>
        <w:rPr>
          <w:b/>
          <w:sz w:val="22"/>
        </w:rPr>
        <w:t>1.5 Scope and Limitations</w:t>
      </w:r>
    </w:p>
    <w:p>
      <w:pPr>
        <w:spacing w:after="120"/>
        <w:jc w:val="both"/>
      </w:pPr>
      <w:r>
        <w:t>The study covers personal data in free-text agent notes and chat turns written in English and Taglish. The group never receives live customer data. The system is built and evaluated on public and synthetic material, and any testing on real notes runs on Transcom's side with only the scores returned. The system does not monitor, score, or evaluate agents. Voice recordings are out of scope.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establishes the Philippine legal duties around personal data, the concepts behind automatic de-identification of free text, and the language resources available for Filipino text.</w:t>
      </w:r>
    </w:p>
    <w:p>
      <w:pPr>
        <w:keepNext/>
        <w:spacing w:before="120" w:after="40"/>
      </w:pPr>
      <w:r>
        <w:rPr>
          <w:b/>
        </w:rPr>
        <w:t>1. Republic Act No. 10173, the Data Privacy Act of 2012</w:t>
      </w:r>
      <w:r>
        <w:rPr>
          <w:color w:val="595959"/>
          <w:sz w:val="18"/>
        </w:rPr>
        <w:t xml:space="preserve">  [Local Literature]</w:t>
      </w:r>
    </w:p>
    <w:p>
      <w:pPr>
        <w:spacing w:after="40"/>
        <w:ind w:left="432"/>
        <w:jc w:val="both"/>
      </w:pPr>
      <w:r>
        <w:t>The law protects personal information processed by government and private organisations. It classifies identifiers issued by government agencies, such as social security numbers, as sensitive personal information. Section 20 requires reasonable organisational, physical and technical security measures, and the law keeps an organisation accountable for personal data even when processing is outsourced.</w:t>
      </w:r>
    </w:p>
    <w:p>
      <w:pPr>
        <w:spacing w:after="40"/>
        <w:ind w:left="432"/>
        <w:jc w:val="both"/>
      </w:pPr>
      <w:r>
        <w:rPr>
          <w:b/>
        </w:rPr>
        <w:t>Relevance to the proposed study.</w:t>
      </w:r>
      <w:r>
        <w:t xml:space="preserve"> Customer identifiers typed into case notes are personal data under this law, and several are sensitive personal information. That is the legal reason a contact center needs to know where that data sits in its records.</w:t>
      </w:r>
    </w:p>
    <w:p>
      <w:pPr>
        <w:spacing w:after="40"/>
        <w:ind w:left="432"/>
        <w:jc w:val="left"/>
      </w:pPr>
      <w:r>
        <w:t>Source link: https://lawphil.net/statutes/repacts/ra2012/ra_10173_2012.html</w:t>
      </w:r>
    </w:p>
    <w:p>
      <w:pPr>
        <w:keepNext/>
        <w:spacing w:before="120" w:after="40"/>
      </w:pPr>
      <w:r>
        <w:rPr>
          <w:b/>
        </w:rPr>
        <w:t>2. NPC Circular No. 16-03, Personal Data Breach Management</w:t>
      </w:r>
      <w:r>
        <w:rPr>
          <w:color w:val="595959"/>
          <w:sz w:val="18"/>
        </w:rPr>
        <w:t xml:space="preserve">  [Local Literature]</w:t>
      </w:r>
    </w:p>
    <w:p>
      <w:pPr>
        <w:spacing w:after="40"/>
        <w:ind w:left="432"/>
        <w:jc w:val="both"/>
      </w:pPr>
      <w:r>
        <w:t>This National Privacy Commission circular sets out how organisations must prepare for and respond to personal data breaches. It requires a security incident management policy and a data breach response team, and it requires notifying the Commission within 72 hours of knowing about a breach, with a full report to follow.</w:t>
      </w:r>
    </w:p>
    <w:p>
      <w:pPr>
        <w:spacing w:after="40"/>
        <w:ind w:left="432"/>
        <w:jc w:val="both"/>
      </w:pPr>
      <w:r>
        <w:rPr>
          <w:b/>
        </w:rPr>
        <w:t>Relevance to the proposed study.</w:t>
      </w:r>
      <w:r>
        <w:t xml:space="preserve"> A detector that finds exposed personal data in notes lets an organisation act before an exposure becomes a breach. The system's audit trail also supports the documentation this circular expects.</w:t>
      </w:r>
    </w:p>
    <w:p>
      <w:pPr>
        <w:spacing w:after="40"/>
        <w:ind w:left="432"/>
        <w:jc w:val="left"/>
      </w:pPr>
      <w:r>
        <w:t>Source link: https://privacy.gov.ph/wp-content/uploads/2022/01/sgd-npc-circular-16-03-personal-data-breach-management.pdf</w:t>
      </w:r>
    </w:p>
    <w:p>
      <w:pPr>
        <w:spacing w:after="40"/>
        <w:ind w:left="432"/>
        <w:jc w:val="both"/>
      </w:pPr>
      <w:r>
        <w:rPr>
          <w:highlight w:val="yellow"/>
        </w:rPr>
        <w:t>[The official NPC PDF blocks automated access. One member should open it once in a browser.]</w:t>
      </w:r>
    </w:p>
    <w:p>
      <w:pPr>
        <w:keepNext/>
        <w:spacing w:before="120" w:after="40"/>
      </w:pPr>
      <w:r>
        <w:rPr>
          <w:b/>
        </w:rPr>
        <w:t>3. calamanCy: A Tagalog Natural Language Processing Toolkit</w:t>
      </w:r>
      <w:r>
        <w:rPr>
          <w:color w:val="595959"/>
          <w:sz w:val="18"/>
        </w:rPr>
        <w:t xml:space="preserve">  [Local Literature]</w:t>
      </w:r>
    </w:p>
    <w:p>
      <w:pPr>
        <w:spacing w:after="40"/>
        <w:ind w:left="432"/>
        <w:jc w:val="both"/>
      </w:pPr>
      <w:r>
        <w:t>Miranda (2023) introduced calamanCy, an open-source toolkit for building natural language processing pipelines for Tagalog on top of spaCy. It brings scattered Tagalog resources into one framework and provides ready models for part-of-speech tagging, dependency parsing and named entity recognition.</w:t>
      </w:r>
    </w:p>
    <w:p>
      <w:pPr>
        <w:spacing w:after="40"/>
        <w:ind w:left="432"/>
        <w:jc w:val="both"/>
      </w:pPr>
      <w:r>
        <w:rPr>
          <w:b/>
        </w:rPr>
        <w:t>Relevance to the proposed study.</w:t>
      </w:r>
      <w:r>
        <w:t xml:space="preserve"> Agent notes in the Philippines are often written in Taglish. This toolkit gives the study Tagalog-aware tokenisation and entity features to use alongside the Conditional Random Fields.</w:t>
      </w:r>
    </w:p>
    <w:p>
      <w:pPr>
        <w:spacing w:after="40"/>
        <w:ind w:left="432"/>
        <w:jc w:val="left"/>
      </w:pPr>
      <w:r>
        <w:t>Source link: https://arxiv.org/abs/2311.07171</w:t>
      </w:r>
    </w:p>
    <w:p>
      <w:pPr>
        <w:keepNext/>
        <w:spacing w:before="120" w:after="40"/>
      </w:pPr>
      <w:r>
        <w:rPr>
          <w:b/>
        </w:rPr>
        <w:t>4. Automatic De-identification of Textual Documents in the Electronic Health Record: A Review of Recent Research</w:t>
      </w:r>
      <w:r>
        <w:rPr>
          <w:color w:val="595959"/>
          <w:sz w:val="18"/>
        </w:rPr>
        <w:t xml:space="preserve">  [Foreign Literature]</w:t>
      </w:r>
    </w:p>
    <w:p>
      <w:pPr>
        <w:spacing w:after="40"/>
        <w:ind w:left="432"/>
        <w:jc w:val="both"/>
      </w:pPr>
      <w:r>
        <w:t>Meystre et al. (2010) reviewed research since 1995 on automatically removing identifying information from free-text health records. They noted that manual de-identification is costly and slow, and compared the pattern-matching and machine learning approaches researchers have used and how those approaches were evaluated.</w:t>
      </w:r>
    </w:p>
    <w:p>
      <w:pPr>
        <w:spacing w:after="40"/>
        <w:ind w:left="432"/>
        <w:jc w:val="both"/>
      </w:pPr>
      <w:r>
        <w:rPr>
          <w:b/>
        </w:rPr>
        <w:t>Relevance to the proposed study.</w:t>
      </w:r>
      <w:r>
        <w:t xml:space="preserve"> It shows that automatic de-identification of free text is an established research area with known methods, which the proposed study transfers from health records to contact center notes.</w:t>
      </w:r>
    </w:p>
    <w:p>
      <w:pPr>
        <w:spacing w:after="40"/>
        <w:ind w:left="432"/>
        <w:jc w:val="left"/>
      </w:pPr>
      <w:r>
        <w:t>Source link: https://doi.org/10.1186/1471-2288-10-70</w:t>
      </w:r>
    </w:p>
    <w:p>
      <w:pPr>
        <w:keepNext/>
        <w:spacing w:before="120" w:after="40"/>
      </w:pPr>
      <w:r>
        <w:rPr>
          <w:b/>
        </w:rPr>
        <w:t>5. Annotating Longitudinal Clinical Narratives for De-identification: The 2014 i2b2/UTHealth Corpus</w:t>
      </w:r>
      <w:r>
        <w:rPr>
          <w:color w:val="595959"/>
          <w:sz w:val="18"/>
        </w:rPr>
        <w:t xml:space="preserve">  [Foreign Literature]</w:t>
      </w:r>
    </w:p>
    <w:p>
      <w:pPr>
        <w:spacing w:after="40"/>
        <w:ind w:left="432"/>
        <w:jc w:val="both"/>
      </w:pPr>
      <w:r>
        <w:t>Stubbs and Uzuner (2015) described how the corpus for the 2014 i2b2/UTHealth de-identification task was built and annotated, including which categories of identifying information were marked and the guidelines the annotators followed.</w:t>
      </w:r>
    </w:p>
    <w:p>
      <w:pPr>
        <w:spacing w:after="40"/>
        <w:ind w:left="432"/>
        <w:jc w:val="both"/>
      </w:pPr>
      <w:r>
        <w:rPr>
          <w:b/>
        </w:rPr>
        <w:t>Relevance to the proposed study.</w:t>
      </w:r>
      <w:r>
        <w:t xml:space="preserve"> It is a model for the annotation schema and guidelines the group will write for its synthetic Philippine-context corpus, and it is the corpus behind the benchmark the system will be compared against.</w:t>
      </w:r>
    </w:p>
    <w:p>
      <w:pPr>
        <w:spacing w:after="40"/>
        <w:ind w:left="432"/>
        <w:jc w:val="left"/>
      </w:pPr>
      <w:r>
        <w:t>Source link: https://doi.org/10.1016/j.jbi.2015.07.020</w:t>
      </w:r>
    </w:p>
    <w:p>
      <w:pPr>
        <w:keepNext/>
        <w:spacing w:before="160" w:after="80"/>
      </w:pPr>
      <w:r>
        <w:rPr>
          <w:b/>
          <w:sz w:val="22"/>
        </w:rPr>
        <w:t>2.2 Review of Related Studies</w:t>
      </w:r>
    </w:p>
    <w:p>
      <w:pPr>
        <w:spacing w:after="120"/>
        <w:jc w:val="both"/>
      </w:pPr>
      <w:r>
        <w:t>The studies present measured results for automatic de-identification, which set the benchmark the proposed system will be compared against, together with Philippine work on recognising entities in Filipino text.</w:t>
      </w:r>
    </w:p>
    <w:p>
      <w:pPr>
        <w:keepNext/>
        <w:spacing w:before="120" w:after="40"/>
      </w:pPr>
      <w:r>
        <w:rPr>
          <w:b/>
        </w:rPr>
        <w:t>1. Developing a Named Entity Recognition Dataset for Tagalog</w:t>
      </w:r>
      <w:r>
        <w:rPr>
          <w:color w:val="595959"/>
          <w:sz w:val="18"/>
        </w:rPr>
        <w:t xml:space="preserve">  [Local Study]</w:t>
      </w:r>
    </w:p>
    <w:p>
      <w:pPr>
        <w:spacing w:after="40"/>
        <w:ind w:left="432"/>
        <w:jc w:val="both"/>
      </w:pPr>
      <w:r>
        <w:t>Miranda (2023) built a Tagalog named entity recognition dataset of about 7,800 news documents labelled by native speakers for persons, organisations and locations. Annotator agreement, measured by Cohen's kappa, was 0.81, and the author evaluated current methods under supervised and transfer learning settings.</w:t>
      </w:r>
    </w:p>
    <w:p>
      <w:pPr>
        <w:spacing w:after="40"/>
        <w:ind w:left="432"/>
        <w:jc w:val="both"/>
      </w:pPr>
      <w:r>
        <w:rPr>
          <w:b/>
        </w:rPr>
        <w:t>Relevance to the proposed study.</w:t>
      </w:r>
      <w:r>
        <w:t xml:space="preserve"> It is a Philippine-language resource for recognising names and places in Filipino text. It also shows how to measure labelling agreement, which the group should apply to its own synthetic corpus.</w:t>
      </w:r>
    </w:p>
    <w:p>
      <w:pPr>
        <w:spacing w:after="40"/>
        <w:ind w:left="432"/>
        <w:jc w:val="left"/>
      </w:pPr>
      <w:r>
        <w:t>Source link: https://arxiv.org/abs/2311.07161</w:t>
      </w:r>
    </w:p>
    <w:p>
      <w:pPr>
        <w:keepNext/>
        <w:spacing w:before="120" w:after="40"/>
      </w:pPr>
      <w:r>
        <w:rPr>
          <w:b/>
        </w:rPr>
        <w:t>2. Automated Systems for the De-identification of Longitudinal Clinical Narratives: Overview of 2014 i2b2/UTHealth Shared Task Track 1</w:t>
      </w:r>
      <w:r>
        <w:rPr>
          <w:color w:val="595959"/>
          <w:sz w:val="18"/>
        </w:rPr>
        <w:t xml:space="preserve">  [Foreign Study]</w:t>
      </w:r>
    </w:p>
    <w:p>
      <w:pPr>
        <w:spacing w:after="40"/>
        <w:ind w:left="432"/>
        <w:jc w:val="both"/>
      </w:pPr>
      <w:r>
        <w:t>Stubbs, Kotfila and Uzuner (2015) reported the results of a shared task where ten teams submitted 22 systems for finding identifying information in clinical narratives, covering more categories than United States health privacy law requires. Three systems scored an F1 above 0.90, and the most successful systems combined Conditional Random Fields with hand-written rules.</w:t>
      </w:r>
    </w:p>
    <w:p>
      <w:pPr>
        <w:spacing w:after="40"/>
        <w:ind w:left="432"/>
        <w:jc w:val="both"/>
      </w:pPr>
      <w:r>
        <w:rPr>
          <w:b/>
        </w:rPr>
        <w:t>Relevance to the proposed study.</w:t>
      </w:r>
      <w:r>
        <w:t xml:space="preserve"> It supports the proposed design of Conditional Random Fields plus a rule layer, and provides the published benchmark the system's results will be compared against.</w:t>
      </w:r>
    </w:p>
    <w:p>
      <w:pPr>
        <w:spacing w:after="40"/>
        <w:ind w:left="432"/>
        <w:jc w:val="left"/>
      </w:pPr>
      <w:r>
        <w:t>Source link: https://doi.org/10.1016/j.jbi.2015.06.007</w:t>
      </w:r>
    </w:p>
    <w:p>
      <w:pPr>
        <w:keepNext/>
        <w:spacing w:before="120" w:after="40"/>
      </w:pPr>
      <w:r>
        <w:rPr>
          <w:b/>
        </w:rPr>
        <w:t>3. Automatic De-identification of Electronic Medical Records Using Token-Level and Character-Level Conditional Random Fields</w:t>
      </w:r>
      <w:r>
        <w:rPr>
          <w:color w:val="595959"/>
          <w:sz w:val="18"/>
        </w:rPr>
        <w:t xml:space="preserve">  [Foreign Study]</w:t>
      </w:r>
    </w:p>
    <w:p>
      <w:pPr>
        <w:spacing w:after="40"/>
        <w:ind w:left="432"/>
        <w:jc w:val="both"/>
      </w:pPr>
      <w:r>
        <w:t>Liu et al. (2015) built a hybrid system in which a token-level Conditional Random Field, a character-level Conditional Random Field and a rule-based classifier each find identifying information, and their outputs are merged by rules. On the 2014 i2b2 corpus it reached micro F-scores of 94.64 percent, 91.24 percent and 91.63 percent under the token, strict and relaxed criteria, which rose slightly after refined location dictionaries were added.</w:t>
      </w:r>
    </w:p>
    <w:p>
      <w:pPr>
        <w:spacing w:after="40"/>
        <w:ind w:left="432"/>
        <w:jc w:val="both"/>
      </w:pPr>
      <w:r>
        <w:rPr>
          <w:b/>
        </w:rPr>
        <w:t>Relevance to the proposed study.</w:t>
      </w:r>
      <w:r>
        <w:t xml:space="preserve"> This is the closest template for the proposed detector. The gain from location dictionaries also supports adding Philippine place names, such as barangays, to the system's features.</w:t>
      </w:r>
    </w:p>
    <w:p>
      <w:pPr>
        <w:spacing w:after="40"/>
        <w:ind w:left="432"/>
        <w:jc w:val="left"/>
      </w:pPr>
      <w:r>
        <w:t>Source link: https://doi.org/10.1016/j.jbi.2015.06.009</w:t>
      </w:r>
    </w:p>
    <w:p>
      <w:pPr>
        <w:keepNext/>
        <w:spacing w:before="120" w:after="40"/>
      </w:pPr>
      <w:r>
        <w:rPr>
          <w:b/>
        </w:rPr>
        <w:t>4. De-identification of Patient Notes with Recurrent Neural Networks</w:t>
      </w:r>
      <w:r>
        <w:rPr>
          <w:color w:val="595959"/>
          <w:sz w:val="18"/>
        </w:rPr>
        <w:t xml:space="preserve">  [Foreign Study]</w:t>
      </w:r>
    </w:p>
    <w:p>
      <w:pPr>
        <w:spacing w:after="40"/>
        <w:ind w:left="432"/>
        <w:jc w:val="both"/>
      </w:pPr>
      <w:r>
        <w:t>Dernoncourt et al. (2017) built the first de-identification system based on artificial neural networks, requiring no hand-crafted features or rules. It reached an F1-score of 97.85 on the 2014 i2b2 dataset and 99.23 on the MIMIC de-identification dataset, outperforming earlier systems.</w:t>
      </w:r>
    </w:p>
    <w:p>
      <w:pPr>
        <w:spacing w:after="40"/>
        <w:ind w:left="432"/>
        <w:jc w:val="both"/>
      </w:pPr>
      <w:r>
        <w:rPr>
          <w:b/>
        </w:rPr>
        <w:t>Relevance to the proposed study.</w:t>
      </w:r>
      <w:r>
        <w:t xml:space="preserve"> It shows that a stronger neural baseline exists. The proposed study uses Conditional Random Fields because they run without a GPU, give consistent and auditable output and keep text local, and it will report that trade-off honestly.</w:t>
      </w:r>
    </w:p>
    <w:p>
      <w:pPr>
        <w:spacing w:after="40"/>
        <w:ind w:left="432"/>
        <w:jc w:val="left"/>
      </w:pPr>
      <w:r>
        <w:t>Source link: https://doi.org/10.1093/jamia/ocw156</w:t>
      </w:r>
    </w:p>
    <w:p>
      <w:pPr>
        <w:keepNext/>
        <w:spacing w:before="120" w:after="40"/>
      </w:pPr>
      <w:r>
        <w:rPr>
          <w:b/>
        </w:rPr>
        <w:t>5. Can Zero-Shot Commercial APIs Deliver Regulatory-Grade Clinical Text De-Identification?</w:t>
      </w:r>
      <w:r>
        <w:rPr>
          <w:color w:val="595959"/>
          <w:sz w:val="18"/>
        </w:rPr>
        <w:t xml:space="preserve">  [Foreign Study]</w:t>
      </w:r>
    </w:p>
    <w:p>
      <w:pPr>
        <w:spacing w:after="40"/>
        <w:ind w:left="432"/>
        <w:jc w:val="both"/>
      </w:pPr>
      <w:r>
        <w:t>Kocaman et al. (2025) compared four de-identification services on 48 clinical documents annotated by medical experts. John Snow Labs scored an F1 of 96 percent, Azure 91 percent, AWS 83 percent and GPT-4o 79 percent. The authors are from John Snow Labs, so the comparison should be read with that interest in mind.</w:t>
      </w:r>
    </w:p>
    <w:p>
      <w:pPr>
        <w:spacing w:after="40"/>
        <w:ind w:left="432"/>
        <w:jc w:val="both"/>
      </w:pPr>
      <w:r>
        <w:rPr>
          <w:b/>
        </w:rPr>
        <w:t>Relevance to the proposed study.</w:t>
      </w:r>
      <w:r>
        <w:t xml:space="preserve"> It answers the likely question of why the study does not simply use a large language model. General commercial models did not reach the accuracy of specialised tools, and each one would require sending sensitive text to an outside service.</w:t>
      </w:r>
    </w:p>
    <w:p>
      <w:pPr>
        <w:spacing w:after="40"/>
        <w:ind w:left="432"/>
        <w:jc w:val="left"/>
      </w:pPr>
      <w:r>
        <w:t>Source link: https://arxiv.org/abs/2503.20794</w:t>
      </w:r>
    </w:p>
    <w:p>
      <w:pPr>
        <w:keepNext/>
        <w:spacing w:before="160" w:after="80"/>
      </w:pPr>
      <w:r>
        <w:rPr>
          <w:b/>
          <w:sz w:val="22"/>
        </w:rPr>
        <w:t>2.3 Synthesis and Research Gap</w:t>
      </w:r>
    </w:p>
    <w:p>
      <w:pPr>
        <w:spacing w:after="120"/>
        <w:jc w:val="both"/>
      </w:pPr>
      <w:r>
        <w:t>Automatic de-identification of free text is well established for clinical records. Conditional Random Fields combined with rules have been among the strongest approaches in shared tasks, and neural models now score higher at a greater computing cost. Commercial and large language model services fall short of specialised tools and require sending sensitive text to an outside provider. Philippine law makes contact centers accountable for customer data in their notes, and Tagalog language resources now exist.</w:t>
      </w:r>
    </w:p>
    <w:p>
      <w:pPr>
        <w:spacing w:after="120"/>
        <w:jc w:val="both"/>
      </w:pPr>
      <w:r>
        <w:rPr>
          <w:b/>
        </w:rPr>
        <w:t>The gap.</w:t>
      </w:r>
      <w:r>
        <w:t xml:space="preserve"> Published de-identification work targets clinical text in English. No study addresses contact center notes, Taglish text, or Philippine identifiers such as TIN, SSS, and PhilHealth numbers, and none pairs detection with a governance audit trail for breach management.</w:t>
      </w:r>
    </w:p>
    <w:p>
      <w:pPr>
        <w:keepNext/>
        <w:spacing w:before="160" w:after="80"/>
      </w:pPr>
      <w:r>
        <w:rPr>
          <w:b/>
          <w:sz w:val="22"/>
        </w:rPr>
        <w:t>2.4 Refined Title</w:t>
      </w:r>
    </w:p>
    <w:p>
      <w:pPr>
        <w:spacing w:after="120"/>
        <w:jc w:val="both"/>
      </w:pPr>
      <w:r>
        <w:rPr>
          <w:b/>
        </w:rPr>
        <w:t>A Personal Data Detection and Redaction Governance System for Contact Centers Using Conditional Random Fields</w:t>
      </w:r>
      <w:r>
        <w:t xml:space="preserve"> (15 words). The title is kept.</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detector is trained and evaluated on an annotated corpus and compared against published benchmarks and a neural baseline.</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Public de-identification corpora, such as the 2014 i2b2/UTHealth corpus under its data use agreement, plus a synthetic corpus of Philippine-context contact center notes written and annotated by the group</w:t>
            </w:r>
          </w:p>
        </w:tc>
      </w:tr>
      <w:tr>
        <w:tc>
          <w:tcPr>
            <w:tcW w:type="dxa" w:w="2160"/>
          </w:tcPr>
          <w:p>
            <w:r/>
            <w:r>
              <w:rPr>
                <w:sz w:val="18"/>
              </w:rPr>
              <w:t>Partner status</w:t>
            </w:r>
          </w:p>
        </w:tc>
        <w:tc>
          <w:tcPr>
            <w:tcW w:type="dxa" w:w="8064"/>
          </w:tcPr>
          <w:p>
            <w:r/>
            <w:r>
              <w:rPr>
                <w:sz w:val="18"/>
              </w:rPr>
              <w:t>The proposal letter was sent through a classmate's contact in Transcom human resources. A reply is pending. Transcom is asked only for an introduction and optional evaluation on its own side.</w:t>
            </w:r>
          </w:p>
        </w:tc>
      </w:tr>
      <w:tr>
        <w:tc>
          <w:tcPr>
            <w:tcW w:type="dxa" w:w="2160"/>
          </w:tcPr>
          <w:p>
            <w:r/>
            <w:r>
              <w:rPr>
                <w:sz w:val="18"/>
              </w:rPr>
              <w:t>Volume</w:t>
            </w:r>
          </w:p>
        </w:tc>
        <w:tc>
          <w:tcPr>
            <w:tcW w:type="dxa" w:w="8064"/>
          </w:tcPr>
          <w:p>
            <w:r/>
            <w:r>
              <w:rPr>
                <w:sz w:val="18"/>
              </w:rPr>
              <w:t>At least 20,000 annotated spans</w:t>
            </w:r>
          </w:p>
        </w:tc>
      </w:tr>
      <w:tr>
        <w:tc>
          <w:tcPr>
            <w:tcW w:type="dxa" w:w="2160"/>
          </w:tcPr>
          <w:p>
            <w:r/>
            <w:r>
              <w:rPr>
                <w:sz w:val="18"/>
              </w:rPr>
              <w:t>Open question</w:t>
            </w:r>
          </w:p>
        </w:tc>
        <w:tc>
          <w:tcPr>
            <w:tcW w:type="dxa" w:w="8064"/>
          </w:tcPr>
          <w:p>
            <w:r/>
            <w:r>
              <w:rPr>
                <w:sz w:val="18"/>
                <w:highlight w:val="yellow"/>
              </w:rPr>
              <w:t>[Ask Ma'am whether synthetic records count toward the 10,000-record floor. The design depends on it.]</w:t>
            </w:r>
          </w:p>
        </w:tc>
      </w:tr>
    </w:tbl>
    <w:p>
      <w:pPr>
        <w:spacing w:after="40"/>
      </w:pPr>
    </w:p>
    <w:p>
      <w:pPr>
        <w:keepNext/>
        <w:spacing w:before="160" w:after="80"/>
      </w:pPr>
      <w:r>
        <w:rPr>
          <w:b/>
          <w:sz w:val="22"/>
        </w:rPr>
        <w:t>3.3 Proposed Algorithm</w:t>
      </w:r>
    </w:p>
    <w:p>
      <w:pPr>
        <w:spacing w:after="120"/>
        <w:jc w:val="both"/>
      </w:pPr>
      <w:r>
        <w:t>A token-level Conditional Random Field and a character-level Conditional Random Field each label spans of personal data, using word shape, prefix and suffix, dictionary, and Tagalog-aware features from calamanCy. A rule layer detects strongly patterned identifiers. Outputs are merged by rules, following the design of Liu et al. (2015). A neural baseline is trained for comparison.</w:t>
      </w:r>
    </w:p>
    <w:p>
      <w:pPr>
        <w:keepNext/>
        <w:spacing w:before="160" w:after="80"/>
      </w:pPr>
      <w:r>
        <w:rPr>
          <w:b/>
          <w:sz w:val="22"/>
        </w:rPr>
        <w:t>3.4 System Architecture and Tools</w:t>
      </w:r>
    </w:p>
    <w:p>
      <w:pPr>
        <w:spacing w:after="120"/>
        <w:jc w:val="both"/>
      </w:pPr>
      <w:r>
        <w:t>Note import, then tokenisation, then feature extraction, then the CRF and rule detectors, then merging, then redaction with typed placeholders, then the review queue, then the audit trail and governance dashboard. The stack is Python with sklearn-crfsuite, spaCy with calamanCy, SQLite for the audit log, and Streamlit for the dashboard.</w:t>
      </w:r>
    </w:p>
    <w:p>
      <w:pPr>
        <w:keepNext/>
        <w:spacing w:before="160" w:after="80"/>
      </w:pPr>
      <w:r>
        <w:rPr>
          <w:b/>
          <w:sz w:val="22"/>
        </w:rPr>
        <w:t>3.5 Evaluation Metrics</w:t>
      </w:r>
    </w:p>
    <w:p>
      <w:pPr>
        <w:spacing w:after="120"/>
        <w:jc w:val="both"/>
      </w:pPr>
      <w:r>
        <w:t>Precision, recall, and F1 per entity type under token, strict, and relaxed matching, following the i2b2 evaluation. Recall is weighted most heavily, because a missed identifier is a privacy exposure. Annotation agreement on the synthetic corpus is measured with Cohen's kappa.</w:t>
      </w:r>
    </w:p>
    <w:p>
      <w:pPr>
        <w:keepNext/>
        <w:spacing w:before="160" w:after="80"/>
      </w:pPr>
      <w:r>
        <w:rPr>
          <w:b/>
          <w:sz w:val="22"/>
        </w:rPr>
        <w:t>3.6 Ethical Considerations</w:t>
      </w:r>
    </w:p>
    <w:p>
      <w:pPr>
        <w:spacing w:after="120"/>
        <w:jc w:val="both"/>
      </w:pPr>
      <w:r>
        <w:t>The study targets an Exempt classification by never receiving live personal data. Synthetic notes contain invented identifiers only. Any evaluation on real notes runs on Transcom's systems, and only aggregate scores are returned. The system does not monitor agents. The group keeps the right to publish the method and aggregate findings.</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Mature CRF libraries; runs without a GPU</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Public and synthetic data are in the group's control, but the synthetic-record ruling is pending</w:t>
            </w:r>
          </w:p>
        </w:tc>
      </w:tr>
      <w:tr>
        <w:tc>
          <w:tcPr>
            <w:tcW w:type="dxa" w:w="3168"/>
          </w:tcPr>
          <w:p>
            <w:r/>
            <w:r>
              <w:rPr>
                <w:sz w:val="18"/>
              </w:rPr>
              <w:t>Algorithm or model feasibility</w:t>
            </w:r>
          </w:p>
        </w:tc>
        <w:tc>
          <w:tcPr>
            <w:tcW w:type="dxa" w:w="864"/>
          </w:tcPr>
          <w:p>
            <w:r/>
            <w:r>
              <w:rPr>
                <w:sz w:val="18"/>
              </w:rPr>
              <w:t>5</w:t>
            </w:r>
          </w:p>
        </w:tc>
        <w:tc>
          <w:tcPr>
            <w:tcW w:type="dxa" w:w="6192"/>
          </w:tcPr>
          <w:p>
            <w:r/>
            <w:r>
              <w:rPr>
                <w:sz w:val="18"/>
              </w:rPr>
              <w:t>Published benchmark and a template design</w:t>
            </w:r>
          </w:p>
        </w:tc>
      </w:tr>
      <w:tr>
        <w:tc>
          <w:tcPr>
            <w:tcW w:type="dxa" w:w="3168"/>
          </w:tcPr>
          <w:p>
            <w:r/>
            <w:r>
              <w:rPr>
                <w:sz w:val="18"/>
              </w:rPr>
              <w:t>Operational feasibility</w:t>
            </w:r>
          </w:p>
        </w:tc>
        <w:tc>
          <w:tcPr>
            <w:tcW w:type="dxa" w:w="864"/>
          </w:tcPr>
          <w:p>
            <w:r/>
            <w:r>
              <w:rPr>
                <w:sz w:val="18"/>
              </w:rPr>
              <w:t>3</w:t>
            </w:r>
          </w:p>
        </w:tc>
        <w:tc>
          <w:tcPr>
            <w:tcW w:type="dxa" w:w="6192"/>
          </w:tcPr>
          <w:p>
            <w:r/>
            <w:r>
              <w:rPr>
                <w:sz w:val="18"/>
              </w:rPr>
              <w:t>Partner involvement is optional</w:t>
            </w:r>
          </w:p>
        </w:tc>
      </w:tr>
      <w:tr>
        <w:tc>
          <w:tcPr>
            <w:tcW w:type="dxa" w:w="3168"/>
          </w:tcPr>
          <w:p>
            <w:r/>
            <w:r>
              <w:rPr>
                <w:sz w:val="18"/>
              </w:rPr>
              <w:t>Economic feasibility</w:t>
            </w:r>
          </w:p>
        </w:tc>
        <w:tc>
          <w:tcPr>
            <w:tcW w:type="dxa" w:w="864"/>
          </w:tcPr>
          <w:p>
            <w:r/>
            <w:r>
              <w:rPr>
                <w:sz w:val="18"/>
              </w:rPr>
              <w:t>5</w:t>
            </w:r>
          </w:p>
        </w:tc>
        <w:tc>
          <w:tcPr>
            <w:tcW w:type="dxa" w:w="6192"/>
          </w:tcPr>
          <w:p>
            <w:r/>
            <w:r>
              <w:rPr>
                <w:sz w:val="18"/>
              </w:rPr>
              <w:t>No paid tools</w:t>
            </w:r>
          </w:p>
        </w:tc>
      </w:tr>
      <w:tr>
        <w:tc>
          <w:tcPr>
            <w:tcW w:type="dxa" w:w="3168"/>
          </w:tcPr>
          <w:p>
            <w:r/>
            <w:r>
              <w:rPr>
                <w:sz w:val="18"/>
              </w:rPr>
              <w:t>Schedule feasibility</w:t>
            </w:r>
          </w:p>
        </w:tc>
        <w:tc>
          <w:tcPr>
            <w:tcW w:type="dxa" w:w="864"/>
          </w:tcPr>
          <w:p>
            <w:r/>
            <w:r>
              <w:rPr>
                <w:sz w:val="18"/>
              </w:rPr>
              <w:t>4</w:t>
            </w:r>
          </w:p>
        </w:tc>
        <w:tc>
          <w:tcPr>
            <w:tcW w:type="dxa" w:w="6192"/>
          </w:tcPr>
          <w:p>
            <w:r/>
            <w:r>
              <w:rPr>
                <w:sz w:val="18"/>
              </w:rPr>
              <w:t>Little waiting on outside parties</w:t>
            </w:r>
          </w:p>
        </w:tc>
      </w:tr>
      <w:tr>
        <w:tc>
          <w:tcPr>
            <w:tcW w:type="dxa" w:w="3168"/>
          </w:tcPr>
          <w:p>
            <w:r/>
            <w:r>
              <w:rPr>
                <w:sz w:val="18"/>
              </w:rPr>
              <w:t>Legal and ethical feasibility</w:t>
            </w:r>
          </w:p>
        </w:tc>
        <w:tc>
          <w:tcPr>
            <w:tcW w:type="dxa" w:w="864"/>
          </w:tcPr>
          <w:p>
            <w:r/>
            <w:r>
              <w:rPr>
                <w:sz w:val="18"/>
              </w:rPr>
              <w:t>5</w:t>
            </w:r>
          </w:p>
        </w:tc>
        <w:tc>
          <w:tcPr>
            <w:tcW w:type="dxa" w:w="6192"/>
          </w:tcPr>
          <w:p>
            <w:r/>
            <w:r>
              <w:rPr>
                <w:sz w:val="18"/>
              </w:rPr>
              <w:t>No live personal data received</w:t>
            </w:r>
          </w:p>
        </w:tc>
      </w:tr>
      <w:tr>
        <w:tc>
          <w:tcPr>
            <w:tcW w:type="dxa" w:w="3168"/>
          </w:tcPr>
          <w:p>
            <w:r/>
            <w:r>
              <w:rPr>
                <w:sz w:val="18"/>
              </w:rPr>
              <w:t>Risk manageability</w:t>
            </w:r>
          </w:p>
        </w:tc>
        <w:tc>
          <w:tcPr>
            <w:tcW w:type="dxa" w:w="864"/>
          </w:tcPr>
          <w:p>
            <w:r/>
            <w:r>
              <w:rPr>
                <w:sz w:val="18"/>
              </w:rPr>
              <w:t>4</w:t>
            </w:r>
          </w:p>
        </w:tc>
        <w:tc>
          <w:tcPr>
            <w:tcW w:type="dxa" w:w="6192"/>
          </w:tcPr>
          <w:p>
            <w:r/>
            <w:r>
              <w:rPr>
                <w:sz w:val="18"/>
              </w:rPr>
              <w:t>Main risk is the synthetic-data ruling</w:t>
            </w:r>
          </w:p>
        </w:tc>
      </w:tr>
      <w:tr>
        <w:tc>
          <w:tcPr>
            <w:tcW w:type="dxa" w:w="3168"/>
          </w:tcPr>
          <w:p>
            <w:r/>
            <w:r>
              <w:rPr>
                <w:b/>
                <w:sz w:val="18"/>
              </w:rPr>
              <w:t>Total score</w:t>
            </w:r>
          </w:p>
        </w:tc>
        <w:tc>
          <w:tcPr>
            <w:tcW w:type="dxa" w:w="864"/>
          </w:tcPr>
          <w:p>
            <w:r/>
            <w:r>
              <w:rPr>
                <w:b/>
                <w:sz w:val="18"/>
              </w:rPr>
              <w:t>33/40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Dernoncourt, F., Lee, J. Y., Uzuner, O., &amp; Szolovits, P. (2017). De-identification of patient notes with recurrent neural networks. Journal of the American Medical Informatics Association, 24(3), 596–606. https://doi.org/10.1093/jamia/ocw156</w:t>
      </w:r>
    </w:p>
    <w:p>
      <w:pPr>
        <w:spacing w:after="60"/>
        <w:ind w:left="576" w:hanging="576"/>
        <w:jc w:val="left"/>
      </w:pPr>
      <w:r>
        <w:t>Kocaman, V., et al. (2025). Can zero-shot commercial APIs deliver regulatory-grade clinical text de-identification? arXiv. https://arxiv.org/abs/2503.20794</w:t>
      </w:r>
    </w:p>
    <w:p>
      <w:pPr>
        <w:spacing w:after="60"/>
        <w:ind w:left="576" w:hanging="576"/>
        <w:jc w:val="left"/>
      </w:pPr>
      <w:r>
        <w:t>Liu, Z., Chen, Y., Tang, B., Wang, X., Chen, Q., Li, H., et al. (2015). Automatic de-identification of electronic medical records using token-level and character-level conditional random fields. Journal of Biomedical Informatics, 58, S47–S52. https://doi.org/10.1016/j.jbi.2015.06.009</w:t>
      </w:r>
    </w:p>
    <w:p>
      <w:pPr>
        <w:spacing w:after="60"/>
        <w:ind w:left="576" w:hanging="576"/>
        <w:jc w:val="left"/>
      </w:pPr>
      <w:r>
        <w:t>Meystre, S. M., Friedlin, F. J., South, B. R., Shen, S., &amp; Samore, M. H. (2010). Automatic de-identification of textual documents in the electronic health record: A review of recent research. BMC Medical Research Methodology, 10, 70. https://doi.org/10.1186/1471-2288-10-70</w:t>
      </w:r>
    </w:p>
    <w:p>
      <w:pPr>
        <w:spacing w:after="60"/>
        <w:ind w:left="576" w:hanging="576"/>
        <w:jc w:val="left"/>
      </w:pPr>
      <w:r>
        <w:t>Miranda, L. J. V. (2023a). calamanCy: A Tagalog natural language processing toolkit. arXiv. https://arxiv.org/abs/2311.07171</w:t>
      </w:r>
    </w:p>
    <w:p>
      <w:pPr>
        <w:spacing w:after="60"/>
        <w:ind w:left="576" w:hanging="576"/>
        <w:jc w:val="left"/>
      </w:pPr>
      <w:r>
        <w:t>Miranda, L. J. V. (2023b). Developing a named entity recognition dataset for Tagalog. arXiv. https://arxiv.org/abs/2311.07161</w:t>
      </w:r>
    </w:p>
    <w:p>
      <w:pPr>
        <w:spacing w:after="60"/>
        <w:ind w:left="576" w:hanging="576"/>
        <w:jc w:val="left"/>
      </w:pPr>
      <w:r>
        <w:t>National Privacy Commission. (2016). NPC Circular No. 16-03: Personal data breach management. https://privacy.gov.ph/wp-content/uploads/2022/01/sgd-npc-circular-16-03-personal-data-breach-management.pdf</w:t>
      </w:r>
    </w:p>
    <w:p>
      <w:pPr>
        <w:spacing w:after="60"/>
        <w:ind w:left="576" w:hanging="576"/>
        <w:jc w:val="left"/>
      </w:pPr>
      <w:r>
        <w:t>Republic Act No. 10173. (2012). Data Privacy Act of 2012. https://lawphil.net/statutes/repacts/ra2012/ra_10173_2012.html</w:t>
      </w:r>
    </w:p>
    <w:p>
      <w:pPr>
        <w:spacing w:after="60"/>
        <w:ind w:left="576" w:hanging="576"/>
        <w:jc w:val="left"/>
      </w:pPr>
      <w:r>
        <w:t>Stubbs, A., Kotfila, C., &amp; Uzuner, Ö. (2015). Automated systems for the de-identification of longitudinal clinical narratives: Overview of 2014 i2b2/UTHealth shared task Track 1. Journal of Biomedical Informatics, 58, S11–S19. https://doi.org/10.1016/j.jbi.2015.06.007</w:t>
      </w:r>
    </w:p>
    <w:p>
      <w:pPr>
        <w:spacing w:after="60"/>
        <w:ind w:left="576" w:hanging="576"/>
        <w:jc w:val="left"/>
      </w:pPr>
      <w:r>
        <w:t>Stubbs, A., &amp; Uzuner, Ö. (2015). Annotating longitudinal clinical narratives for de-identification: The 2014 i2b2/UTHealth corpus. Journal of Biomedical Informatics, 58, S20–S29. https://doi.org/10.1016/j.jbi.2015.07.020</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540" w:hanging="300"/>
      </w:pPr>
    </w:lvl>
  </w:abstractNum>
  <w:abstractNum w:abstractNumId="10">
    <w:lvl w:ilvl="0">
      <w:start w:val="1"/>
      <w:numFmt w:val="bullet"/>
      <w:lvlText w:val="•"/>
      <w:lvlJc w:val="left"/>
      <w:pPr>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